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0" w:type="dxa"/>
            <w:vAlign w:val="bottom"/>
            <w:gridSpan w:val="5"/>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w:t>
            </w:r>
          </w:p>
        </w:tc>
        <w:tc>
          <w:tcPr>
            <w:tcW w:w="32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00" w:type="dxa"/>
            <w:vAlign w:val="bottom"/>
          </w:tcPr>
          <w:p>
            <w:pPr>
              <w:spacing w:after="0"/>
              <w:rPr>
                <w:sz w:val="20"/>
                <w:szCs w:val="20"/>
                <w:color w:val="auto"/>
              </w:rPr>
            </w:pPr>
          </w:p>
        </w:tc>
      </w:tr>
      <w:tr>
        <w:trPr>
          <w:trHeight w:val="432"/>
        </w:trPr>
        <w:tc>
          <w:tcPr>
            <w:tcW w:w="8040" w:type="dxa"/>
            <w:vAlign w:val="bottom"/>
            <w:gridSpan w:val="7"/>
          </w:tcPr>
          <w:p>
            <w:pPr>
              <w:jc w:val="center"/>
              <w:ind w:left="311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18, 2022</w:t>
            </w:r>
          </w:p>
        </w:tc>
        <w:tc>
          <w:tcPr>
            <w:tcW w:w="320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2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420" w:type="dxa"/>
            <w:vAlign w:val="bottom"/>
            <w:gridSpan w:val="6"/>
          </w:tcPr>
          <w:p>
            <w:pPr>
              <w:jc w:val="center"/>
              <w:ind w:right="4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00" w:type="dxa"/>
            <w:vAlign w:val="bottom"/>
          </w:tcPr>
          <w:p>
            <w:pPr>
              <w:spacing w:after="0"/>
              <w:rPr>
                <w:sz w:val="20"/>
                <w:szCs w:val="20"/>
                <w:color w:val="auto"/>
              </w:rPr>
            </w:pPr>
          </w:p>
        </w:tc>
      </w:tr>
      <w:tr>
        <w:trPr>
          <w:trHeight w:val="452"/>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2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200" w:type="dxa"/>
            <w:vAlign w:val="bottom"/>
            <w:tcBorders>
              <w:top w:val="single" w:sz="8" w:color="auto"/>
            </w:tcBorders>
          </w:tcPr>
          <w:p>
            <w:pPr>
              <w:jc w:val="center"/>
              <w:ind w:right="35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76 Treble Cove Rd.</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16"/>
        </w:trPr>
        <w:tc>
          <w:tcPr>
            <w:tcW w:w="36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Building 3</w:t>
            </w: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r>
      <w:tr>
        <w:trPr>
          <w:trHeight w:val="245"/>
        </w:trPr>
        <w:tc>
          <w:tcPr>
            <w:tcW w:w="3620" w:type="dxa"/>
            <w:vAlign w:val="bottom"/>
            <w:tcBorders>
              <w:bottom w:val="single" w:sz="8" w:color="auto"/>
            </w:tcBorders>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Billerica, MA 01862</w:t>
            </w: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2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01862</w:t>
            </w:r>
          </w:p>
        </w:tc>
      </w:tr>
      <w:tr>
        <w:trPr>
          <w:trHeight w:val="234"/>
        </w:trPr>
        <w:tc>
          <w:tcPr>
            <w:tcW w:w="5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00" w:type="dxa"/>
            <w:vAlign w:val="bottom"/>
            <w:gridSpan w:val="3"/>
          </w:tcPr>
          <w:p>
            <w:pPr>
              <w:spacing w:after="0"/>
              <w:rPr>
                <w:sz w:val="20"/>
                <w:szCs w:val="20"/>
                <w:color w:val="auto"/>
              </w:rPr>
            </w:pPr>
          </w:p>
        </w:tc>
        <w:tc>
          <w:tcPr>
            <w:tcW w:w="320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18, 2022, Agrify Corporation (the “Company”) entered into an Equity Distribution Agreement (the “Sales Agreement”) with Canaccord Genuity LLC (the “Agent”), pursuant to which the Company may issue and sell, from time to time, shares of its common stock having an aggregate offering price of up to $50,000,000 (the “Shares”), depending on market demand, with the Agent acting as an agent for sales. Sales of the Shares may be made by any method permitted by law deemed to be an “at the market offering” as defined in Rule 415(a)(4) of the Securities Act of 1933, as amended (the “Securities Act”), including, without limitation, sales made directly on or through The Nasdaq Capital Market. The Agent will use its commercially reasonable efforts to sell the Shares requested by the Company to be sold on its behalf, consistent with the Agent’s normal trading and sales practices, under the terms and subject to the conditions set forth in the Sales Agreement. The Company has no obligation to sell any of the Shares. The Company may instruct the Agent not to sell the Shares if the sales cannot be effected at or above the price designated by the Company from time to time and the Company may at any time suspend sales pursuant to the Sales Agreement.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will pay the Agent a commission of up to 3.0% of the gross proceeds from the sale of Shares by the Agent under the Sales Agreement. The Company has also agreed to reimburse the Agent for its reasonable fees and disbursements counsel to the Agent in the amount of $75,000. In addition, the Company has agreed to provide customary indemnification rights to the Agent.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Offering will terminate upon the earlier of (i) the issuance and sale of all Shares subject to the Sales Agreement, or (ii) the termination of the Sales Agreement as permitted therein, including by either party at any time without liability of any party.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sales of Shares under the Sales Agreement will be made pursuant to the Company’s Registration Statement on Form S-3 (File No. 333-265710), including the related prospectus, filed with the Securities and Exchange Commission (the “SEC”) on June 17, 2022 and declared effective on June 24, 2022, as supplemented by the prospectus supplement dated October 18, 2022, and any applicable additional prospectus supplements related to the Offering that form a part of the Registration Statement. The Company intends to use the net proceeds from this offering for working capital and general corporate purposes, which may include capital expenditures and repayment of debt.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Sales Agreement does not purport to be complete and is qualified in its entirety by reference to the Sales Agreement, which is filed as Exhibit 1.1 to this report and is incorporated herein by reference. A copy of the legal opinion of Sherman &amp; Howard L.L.C. regarding the legality of the issuance and sale of the Shares is filed as Exhibit 5.1 to this report and is incorporated by reference herein.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a solicitation of an offer to buy any Shares in any state or jurisdiction in which such an offer, solicitation or sale would be unlawful prior to registration or qualification under the securities laws of any such state or other jurisdiction.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410"/>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Equity Distribution Agreement between Agrify Corporation and Canaccord Genuity LLC, dated as of October 18, 2022.</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96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Sherman &amp; Howard L.L.C.</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Sherman &amp; Howard L.L.C. (contained in Exhibit 5.1)</w:t>
            </w: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96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0"/>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October 18,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R. Oakes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Timothy R. Oakes</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DISTRIBUTION AGREEMENT</w:t>
      </w:r>
    </w:p>
    <w:p>
      <w:pPr>
        <w:spacing w:after="0" w:line="229"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October 18,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99 High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As further set forth in this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Agrify Corporation,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proposes to issue and sell from time to time through Canaccord Genuity LLC (the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xml:space="preserve">), as sales agent, the Company’s common stock, $0.001 par value per share (the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(such Common Shares to be sold pursuant to this Agreement, the</w:t>
      </w:r>
      <w:r>
        <w:rPr>
          <w:rFonts w:ascii="Times New Roman" w:cs="Times New Roman" w:eastAsia="Times New Roman" w:hAnsi="Times New Roman"/>
          <w:sz w:val="18"/>
          <w:szCs w:val="18"/>
          <w:b w:val="1"/>
          <w:bCs w:val="1"/>
          <w:i w:val="1"/>
          <w:iCs w:val="1"/>
          <w:color w:val="auto"/>
        </w:rPr>
        <w:t xml:space="preserve"> “Shares”</w:t>
      </w:r>
      <w:r>
        <w:rPr>
          <w:rFonts w:ascii="Times New Roman" w:cs="Times New Roman" w:eastAsia="Times New Roman" w:hAnsi="Times New Roman"/>
          <w:sz w:val="18"/>
          <w:szCs w:val="18"/>
          <w:color w:val="auto"/>
        </w:rPr>
        <w:t>), having an aggregate offering price of up to $50,000,000, on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forth herein. Notwithstanding anything to the contrary contained herein, the parties hereto agree that compliance with the limitation set forth in Section 2 of this Agreement on the number of Shares issued and sold under this Agreement shall be the sole responsibility of the Company, and the Agent shall have no obligation in connection with such compliance.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Agent with respect to the sale of the Shares.</w:t>
      </w:r>
    </w:p>
    <w:p>
      <w:pPr>
        <w:spacing w:after="0" w:line="221" w:lineRule="exact"/>
        <w:rPr>
          <w:sz w:val="20"/>
          <w:szCs w:val="20"/>
          <w:color w:val="auto"/>
        </w:rPr>
      </w:pPr>
    </w:p>
    <w:p>
      <w:pPr>
        <w:ind w:left="840" w:hanging="184"/>
        <w:spacing w:after="0"/>
        <w:tabs>
          <w:tab w:leader="none" w:pos="84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Representations and Warranties of the Company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i w:val="1"/>
          <w:iCs w:val="1"/>
          <w:color w:val="auto"/>
        </w:rPr>
      </w:pPr>
    </w:p>
    <w:p>
      <w:pPr>
        <w:ind w:right="20" w:firstLine="1304"/>
        <w:spacing w:after="0" w:line="282" w:lineRule="auto"/>
        <w:tabs>
          <w:tab w:leader="none" w:pos="15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Agent that as of the date of this Agreement, each Representation Date, each date on which a Placement Notice (as defined in Section 2(a)(i) below) is given, and any date on which Shares are sold hereunder as follows:</w:t>
      </w:r>
    </w:p>
    <w:p>
      <w:pPr>
        <w:spacing w:after="0" w:line="159" w:lineRule="exact"/>
        <w:rPr>
          <w:rFonts w:ascii="Times New Roman" w:cs="Times New Roman" w:eastAsia="Times New Roman" w:hAnsi="Times New Roman"/>
          <w:sz w:val="18"/>
          <w:szCs w:val="18"/>
          <w:color w:val="auto"/>
        </w:rPr>
      </w:pPr>
    </w:p>
    <w:p>
      <w:pPr>
        <w:jc w:val="both"/>
        <w:ind w:left="660" w:firstLine="1292"/>
        <w:spacing w:after="0" w:line="251" w:lineRule="auto"/>
        <w:tabs>
          <w:tab w:leader="none" w:pos="218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Statement and Prospectus</w:t>
      </w:r>
      <w:r>
        <w:rPr>
          <w:rFonts w:ascii="Times New Roman" w:cs="Times New Roman" w:eastAsia="Times New Roman" w:hAnsi="Times New Roman"/>
          <w:sz w:val="18"/>
          <w:szCs w:val="18"/>
          <w:color w:val="auto"/>
        </w:rPr>
        <w:t>. The Company has filed, in accordance with the provisions of the Securities 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1933, as amended, and the rules and regulations thereunder (collectively,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a registration statement on Form S-3 (File No. 333-265710), including a base prospectus, relating to certain securities, including the Common Shares,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The Company has prepared a prospectus supplement to the base prospectus included as part of such registration statement specifically relating to a portion of the Shares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xml:space="preserve">). The Company has furnished to the Agent, for use by Agent, copies of the prospectus included as part of such registration statement, as supplemented by the Prospectus Supplement, relating to the Shares. Except where the context otherwise requires, such registration statement, as amended when it became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is herein called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xml:space="preserve">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cs="Times New Roman" w:eastAsia="Times New Roman" w:hAnsi="Times New Roman"/>
          <w:sz w:val="18"/>
          <w:szCs w:val="18"/>
          <w:b w:val="1"/>
          <w:bCs w:val="1"/>
          <w:i w:val="1"/>
          <w:iCs w:val="1"/>
          <w:color w:val="auto"/>
        </w:rPr>
        <w:t>“Rule 433”</w:t>
      </w:r>
      <w:r>
        <w:rPr>
          <w:rFonts w:ascii="Times New Roman" w:cs="Times New Roman" w:eastAsia="Times New Roman" w:hAnsi="Times New Roman"/>
          <w:sz w:val="18"/>
          <w:szCs w:val="18"/>
          <w:color w:val="auto"/>
        </w:rPr>
        <w:t xml:space="preserve">), relating to the Shares, if any,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both"/>
        <w:ind w:left="-460" w:firstLine="1292"/>
        <w:spacing w:after="0" w:line="257" w:lineRule="auto"/>
        <w:tabs>
          <w:tab w:leader="none" w:pos="110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Effectiveness of Registration Statement</w:t>
      </w:r>
      <w:r>
        <w:rPr>
          <w:rFonts w:ascii="Times New Roman" w:cs="Times New Roman" w:eastAsia="Times New Roman" w:hAnsi="Times New Roman"/>
          <w:sz w:val="18"/>
          <w:szCs w:val="18"/>
          <w:color w:val="auto"/>
        </w:rPr>
        <w:t>. The Registration Statement and any Rule 462(b)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contemplated or threatened by the Commission. The Company meets the requirements for use of Form S-3 under the Securities Act. The sale of the Shares hereunder meets the requirements of General Instruction I.B.1 of Form S-3.</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1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Misstatements or Omissions</w:t>
      </w:r>
      <w:r>
        <w:rPr>
          <w:rFonts w:ascii="Times New Roman" w:cs="Times New Roman" w:eastAsia="Times New Roman" w:hAnsi="Times New Roman"/>
          <w:sz w:val="18"/>
          <w:szCs w:val="18"/>
          <w:color w:val="auto"/>
        </w:rPr>
        <w:t>. The Prospectus when filed complied, and as amended or supplemented,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will comply in all material respects with the Securities Act. Each of the Registration Statement, any Rule 462(b) Registration Statement, the Prospectus and any post-effective amendments or supplements thereto, at the time it became effective or its date, as applicable, and as of each Settlement Date (as defined in Section 2(a)(vii) below), complied in all material respects with the Securities Act, and as of each effective date and each Settlement Date, did not and will not contain any untrue statement of a material fact or omit to state a material fact required to be stated therein or necessary to make the statements therein not misleading. The Prospectus, as amended or supplemented, as of its date, did not and, as of each of the Settlement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There are no contracts or other documents required to be described in the Prospectus or to be filed as exhibits to the Registration Statement which have not been described or filed as required.</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Eligible Issuer</w:t>
      </w:r>
      <w:r>
        <w:rPr>
          <w:rFonts w:ascii="Times New Roman" w:cs="Times New Roman" w:eastAsia="Times New Roman" w:hAnsi="Times New Roman"/>
          <w:sz w:val="18"/>
          <w:szCs w:val="18"/>
          <w:color w:val="auto"/>
        </w:rPr>
        <w:t>. The Company is not an “ineligible issuer” (as defined in Rule 405 under the Securities Act)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eligibility determination date for purposes of Rules 164 and 433 under the Securities Act with respect to the offering of the Shares contemplated by the Registration Statement; the parties hereto agree and understand that the content of any and all “road shows” (as defined in Rule 433 under the Securities Act) related to the offering of the Shares contemplated hereby is solely the property of the Company.</w:t>
      </w:r>
    </w:p>
    <w:p>
      <w:pPr>
        <w:spacing w:after="0" w:line="39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6" w:name="page7"/>
    <w:bookmarkEnd w:id="6"/>
    <w:p>
      <w:pPr>
        <w:jc w:val="both"/>
        <w:ind w:left="-460" w:firstLine="1292"/>
        <w:spacing w:after="0" w:line="252" w:lineRule="auto"/>
        <w:tabs>
          <w:tab w:leader="none" w:pos="113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historical financial statements (including the related notes and supporting schedules)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or incorporated by reference, in the Registration Statement, and the Prospectus comply as to form in all material respects with the requirements of Regulation S-X under the Securities Act (</w:t>
      </w:r>
      <w:r>
        <w:rPr>
          <w:rFonts w:ascii="Times New Roman" w:cs="Times New Roman" w:eastAsia="Times New Roman" w:hAnsi="Times New Roman"/>
          <w:sz w:val="18"/>
          <w:szCs w:val="18"/>
          <w:b w:val="1"/>
          <w:bCs w:val="1"/>
          <w:i w:val="1"/>
          <w:iCs w:val="1"/>
          <w:color w:val="auto"/>
        </w:rPr>
        <w:t>“Regulation S-X”</w:t>
      </w:r>
      <w:r>
        <w:rPr>
          <w:rFonts w:ascii="Times New Roman" w:cs="Times New Roman" w:eastAsia="Times New Roman" w:hAnsi="Times New Roman"/>
          <w:sz w:val="18"/>
          <w:szCs w:val="18"/>
          <w:color w:val="auto"/>
        </w:rPr>
        <w:t>) and present fairly in all material respects, the financial condition, results of operations and cash flows of the entities purported to be shown thereby at the dates and for the periods indicated and have been prepared in conformity with generally accepted accounting principles in the United States applied on a consistent basis throughout the periods involved. There are no financial statements (historical or pro forma) that are required to be included in the Registration Statement or the Prospectus that are not so included as required. The interactive data in eXtensible Business Reporting Language (</w:t>
      </w:r>
      <w:r>
        <w:rPr>
          <w:rFonts w:ascii="Times New Roman" w:cs="Times New Roman" w:eastAsia="Times New Roman" w:hAnsi="Times New Roman"/>
          <w:sz w:val="18"/>
          <w:szCs w:val="18"/>
          <w:b w:val="1"/>
          <w:bCs w:val="1"/>
          <w:i w:val="1"/>
          <w:iCs w:val="1"/>
          <w:color w:val="auto"/>
        </w:rPr>
        <w:t>“XBRL”</w:t>
      </w:r>
      <w:r>
        <w:rPr>
          <w:rFonts w:ascii="Times New Roman" w:cs="Times New Roman" w:eastAsia="Times New Roman" w:hAnsi="Times New Roman"/>
          <w:sz w:val="18"/>
          <w:szCs w:val="18"/>
          <w:color w:val="auto"/>
        </w:rPr>
        <w:t>) included or incorporated by reference in the Registration Statement and the Prospectus fairly present the information called for in all material respects and have been prepared in accordance with the Commission’s rules and guidelines applicable thereto. There are no pro forma financial statements which are required to be included in the Registration Statement and the Prospectus in accordance with Regulation S-X which have not been included as so required. The pro forma financial information included in the Registration Statement and the Prospectus has been properly compiled and prepared in accordance with the applicable requirements of the Securities Act and the rules and regulations thereunder and include all adjustments necessary to present fairly in accordance with United States generally accepted accounting principles the pro forma financial position of the respective entity or entities presented therein at the respective dates indicated and their cash flows and the results of operations for the respective periods specified. The assumptions used in preparing the pro forma financial information included in the Registration Statement and the Prospectus provide a reasonable basis for presenting the significant effects directly attributable to the transactions or events described therein. The related pro forma adjustments give appropriate effect to those assumptions; and the pro forma financial information reflect the proper application of those adjustments to the corresponding historical financial statement amounts.</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6" w:lineRule="auto"/>
        <w:tabs>
          <w:tab w:leader="none" w:pos="11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Off-Balance Sheet Transactions</w:t>
      </w:r>
      <w:r>
        <w:rPr>
          <w:rFonts w:ascii="Times New Roman" w:cs="Times New Roman" w:eastAsia="Times New Roman" w:hAnsi="Times New Roman"/>
          <w:sz w:val="18"/>
          <w:szCs w:val="18"/>
          <w:color w:val="auto"/>
        </w:rPr>
        <w:t>. There are no transactions, arrangements and other relationships between and/or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and/or, to the knowledge of the Company, any of its affiliates and any unconsolidated entity, including, but not limited to, any structural finance, special purpose or limited purpose entity (each, an “</w:t>
      </w:r>
      <w:r>
        <w:rPr>
          <w:rFonts w:ascii="Times New Roman" w:cs="Times New Roman" w:eastAsia="Times New Roman" w:hAnsi="Times New Roman"/>
          <w:sz w:val="18"/>
          <w:szCs w:val="18"/>
          <w:b w:val="1"/>
          <w:bCs w:val="1"/>
          <w:i w:val="1"/>
          <w:iCs w:val="1"/>
          <w:color w:val="auto"/>
        </w:rPr>
        <w:t>Off-Balance Sheet Transaction”</w:t>
      </w:r>
      <w:r>
        <w:rPr>
          <w:rFonts w:ascii="Times New Roman" w:cs="Times New Roman" w:eastAsia="Times New Roman" w:hAnsi="Times New Roman"/>
          <w:sz w:val="18"/>
          <w:szCs w:val="18"/>
          <w:color w:val="auto"/>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and are required to be described in the Prospectus, which have not been described as required.</w:t>
      </w:r>
    </w:p>
    <w:p>
      <w:pPr>
        <w:spacing w:after="0" w:line="182" w:lineRule="exact"/>
        <w:rPr>
          <w:rFonts w:ascii="Times New Roman" w:cs="Times New Roman" w:eastAsia="Times New Roman" w:hAnsi="Times New Roman"/>
          <w:sz w:val="18"/>
          <w:szCs w:val="18"/>
          <w:color w:val="auto"/>
        </w:rPr>
      </w:pPr>
    </w:p>
    <w:p>
      <w:pPr>
        <w:jc w:val="both"/>
        <w:ind w:left="-460" w:firstLine="1292"/>
        <w:spacing w:after="0" w:line="267" w:lineRule="auto"/>
        <w:tabs>
          <w:tab w:leader="none" w:pos="119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Auditor Independence. </w:t>
      </w:r>
      <w:r>
        <w:rPr>
          <w:rFonts w:ascii="Times New Roman" w:cs="Times New Roman" w:eastAsia="Times New Roman" w:hAnsi="Times New Roman"/>
          <w:sz w:val="18"/>
          <w:szCs w:val="18"/>
          <w:color w:val="auto"/>
        </w:rPr>
        <w:t>Marcum LLP, who have certified certain financial statements of the Company and its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(the </w:t>
      </w:r>
      <w:r>
        <w:rPr>
          <w:rFonts w:ascii="Times New Roman" w:cs="Times New Roman" w:eastAsia="Times New Roman" w:hAnsi="Times New Roman"/>
          <w:sz w:val="18"/>
          <w:szCs w:val="18"/>
          <w:b w:val="1"/>
          <w:bCs w:val="1"/>
          <w:i w:val="1"/>
          <w:iCs w:val="1"/>
          <w:color w:val="auto"/>
        </w:rPr>
        <w:t>“Subsidiaries”</w:t>
      </w:r>
      <w:r>
        <w:rPr>
          <w:rFonts w:ascii="Times New Roman" w:cs="Times New Roman" w:eastAsia="Times New Roman" w:hAnsi="Times New Roman"/>
          <w:sz w:val="18"/>
          <w:szCs w:val="18"/>
          <w:color w:val="auto"/>
        </w:rPr>
        <w:t>), whose report appears in the Registration Statement and the Prospectus, are independent public accountants as required by the Securities Act and the Public Accounting Oversight Board.</w:t>
      </w:r>
    </w:p>
    <w:p>
      <w:pPr>
        <w:spacing w:after="0" w:line="173"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2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Effect</w:t>
      </w:r>
      <w:r>
        <w:rPr>
          <w:rFonts w:ascii="Times New Roman" w:cs="Times New Roman" w:eastAsia="Times New Roman" w:hAnsi="Times New Roman"/>
          <w:sz w:val="18"/>
          <w:szCs w:val="18"/>
          <w:color w:val="auto"/>
        </w:rPr>
        <w:t>. The Company and each of its Subsidiaries (a complete list of the material Subsidiaries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has been duly organized, validly existing as a corporation and in good standing under the laws of their respective jurisdictions of organization. The Company and each of its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assets, business, operations, earnings, properties, condition (financial or otherwise), prospects, stockholders’ equity or results of operations of the Company and the Subsidiaries taken as a whole, or prevent or materially interfere with consummation of the transactions contemplated hereby (a </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xml:space="preserve">). The Company does not own or control, directly or indirectly, any material corporation, association or other entity other than the Subsidiaries listed on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w:t>
      </w:r>
    </w:p>
    <w:p>
      <w:pPr>
        <w:spacing w:after="0" w:line="200" w:lineRule="exact"/>
        <w:rPr>
          <w:sz w:val="20"/>
          <w:szCs w:val="20"/>
          <w:color w:val="auto"/>
        </w:rPr>
      </w:pPr>
    </w:p>
    <w:p>
      <w:pPr>
        <w:spacing w:after="0" w:line="20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7" w:name="page8"/>
    <w:bookmarkEnd w:id="7"/>
    <w:p>
      <w:pPr>
        <w:jc w:val="both"/>
        <w:ind w:left="-460" w:firstLine="1292"/>
        <w:spacing w:after="0" w:line="252" w:lineRule="auto"/>
        <w:tabs>
          <w:tab w:leader="none" w:pos="11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As of the dates indicated in the Registration Statement and the Prospectus, the authorized, issued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capital stock of the Company were as set forth in the Registration Statement and the Prospectus. No person has any right of first refusal, preemptive right, right of participation, or any similar right to participate in the transactions contemplated by this Agreement.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Shares will not obligate the Company to issue shares of Common Stock or other securities to any person (other than through the Agent pursuant to this Agreement).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91"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09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 Valid Issuance and Non-Assessiblity of Shares</w:t>
      </w:r>
      <w:r>
        <w:rPr>
          <w:rFonts w:ascii="Times New Roman" w:cs="Times New Roman" w:eastAsia="Times New Roman" w:hAnsi="Times New Roman"/>
          <w:sz w:val="18"/>
          <w:szCs w:val="18"/>
          <w:color w:val="auto"/>
        </w:rPr>
        <w:t>. The Shares to be issued and sold by the Company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hereunder have been duly authorized, and upon payment and delivery in accordance with this Agreement, will be validly issued, fully paid and non-assessable, will conform in all material respects to the description thereof contained in the Registration Statement and the Prospectus, will be issued in compliance with federal and state securities laws and will be free of statutory and contractual preemptive rights, rights of first refusal and similar rights.</w:t>
      </w:r>
    </w:p>
    <w:p>
      <w:pPr>
        <w:spacing w:after="0" w:line="183" w:lineRule="exact"/>
        <w:rPr>
          <w:rFonts w:ascii="Times New Roman" w:cs="Times New Roman" w:eastAsia="Times New Roman" w:hAnsi="Times New Roman"/>
          <w:sz w:val="18"/>
          <w:szCs w:val="18"/>
          <w:color w:val="auto"/>
        </w:rPr>
      </w:pPr>
    </w:p>
    <w:p>
      <w:pPr>
        <w:ind w:left="-460" w:firstLine="1292"/>
        <w:spacing w:after="0" w:line="284" w:lineRule="auto"/>
        <w:tabs>
          <w:tab w:leader="none" w:pos="11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 to Enter into this Agreement</w:t>
      </w:r>
      <w:r>
        <w:rPr>
          <w:rFonts w:ascii="Times New Roman" w:cs="Times New Roman" w:eastAsia="Times New Roman" w:hAnsi="Times New Roman"/>
          <w:sz w:val="18"/>
          <w:szCs w:val="18"/>
          <w:color w:val="auto"/>
        </w:rPr>
        <w:t>. The Company has all requisite corporate power and authority to execute, deliver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its obligations under this Agreement. This Agreement has been duly and validly authorized, executed and delivered by the Company.</w:t>
      </w:r>
    </w:p>
    <w:p>
      <w:pPr>
        <w:spacing w:after="0" w:line="158"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2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The issue and sale of the Shares, the execution, delivery and performance of this Agreement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consummation of the transactions contemplated hereby and the application of the proceeds from the sale of the Shares as described under “Use of Proceeds” in the Registration Statement and the Prospectus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for such conflicts, breaches, violations, liens, charges, encumbrances or defaults that would not, individually or in the aggregate, reasonably be expected to have a Material Adverse Effect.</w:t>
      </w:r>
    </w:p>
    <w:p>
      <w:pPr>
        <w:spacing w:after="0" w:line="200" w:lineRule="exact"/>
        <w:rPr>
          <w:sz w:val="20"/>
          <w:szCs w:val="20"/>
          <w:color w:val="auto"/>
        </w:rPr>
      </w:pP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8" w:name="page9"/>
    <w:bookmarkEnd w:id="8"/>
    <w:p>
      <w:pPr>
        <w:jc w:val="both"/>
        <w:ind w:left="-460" w:firstLine="1292"/>
        <w:spacing w:after="0" w:line="255" w:lineRule="auto"/>
        <w:tabs>
          <w:tab w:leader="none" w:pos="12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Consent or Approval Required</w:t>
      </w:r>
      <w:r>
        <w:rPr>
          <w:rFonts w:ascii="Times New Roman" w:cs="Times New Roman" w:eastAsia="Times New Roman" w:hAnsi="Times New Roman"/>
          <w:sz w:val="18"/>
          <w:szCs w:val="18"/>
          <w:color w:val="auto"/>
        </w:rPr>
        <w:t>. No consent, approval, authorization or order of, or filing, registration or qualification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any court or governmental agency or body having jurisdiction over the Company or any of its Subsidiaries or any of their properties or assets is required for the issue and sale of the Shares, the execution, delivery and performance of this Agreement by the Company, the consummation of the transactions contemplated hereby, the application of the proceeds from the sale of the Shares as described under “Use of Proceeds” in the Registration Statement and the Prospectus, except for (i) the registration of the Shares under the Securities Act; (ii) such consents, approvals, authorizations, orders, filings, registrations or qualifications as may be required under the Exchange Act, and applicable state or foreign securities laws and/or the bylaws and rules of the Financial Industry Regulatory Authority (the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xml:space="preserve">) in connection with the sale of the Shares by the Agent; and (iii) the inclusion of the Shares on the Nasdaq Capital Market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2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Internal Accounting and Disclosure Controls</w:t>
      </w:r>
      <w:r>
        <w:rPr>
          <w:rFonts w:ascii="Times New Roman" w:cs="Times New Roman" w:eastAsia="Times New Roman" w:hAnsi="Times New Roman"/>
          <w:sz w:val="18"/>
          <w:szCs w:val="18"/>
          <w:color w:val="auto"/>
        </w:rPr>
        <w:t>. The Company and the Subsidiaries are in compliance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all applicable requirements of the Sarbanes-Oxley Act of 2002 that are effective as of the date of this Agreement, and any and all applicable rules and regulations promulgated by the Commission thereunder that are effective as of the date of this Agreement. Except with respect to the material weaknesses disclosed in the Company’s Annual Report for the year ended December 31, 2021,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United States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with respect to the material weaknesses disclosed in the Company’s Annual Report for the year ended December 31, 2021,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(or that the Company will file or submit) under the Exchange Act is recorded, processed, summarized and reported, within the time periods specified in the Commission’s rules and forms.</w:t>
      </w:r>
    </w:p>
    <w:p>
      <w:pPr>
        <w:spacing w:after="0" w:line="185"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2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 Accounting Policies</w:t>
      </w:r>
      <w:r>
        <w:rPr>
          <w:rFonts w:ascii="Times New Roman" w:cs="Times New Roman" w:eastAsia="Times New Roman" w:hAnsi="Times New Roman"/>
          <w:sz w:val="18"/>
          <w:szCs w:val="18"/>
          <w:color w:val="auto"/>
        </w:rPr>
        <w:t>. The section entitled “Critical Accounting Policies” incorporated by reference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and the Prospectus accurately describes in all material respects (i) the accounting policies that the Company believes are the most important in the portrayal of the Company’s financial condition and results of operations and that require management’s most difficult, subjective or complex judgments (“</w:t>
      </w:r>
      <w:r>
        <w:rPr>
          <w:rFonts w:ascii="Times New Roman" w:cs="Times New Roman" w:eastAsia="Times New Roman" w:hAnsi="Times New Roman"/>
          <w:sz w:val="18"/>
          <w:szCs w:val="18"/>
          <w:b w:val="1"/>
          <w:bCs w:val="1"/>
          <w:i w:val="1"/>
          <w:iCs w:val="1"/>
          <w:color w:val="auto"/>
        </w:rPr>
        <w:t>Critical Accounting Policies</w:t>
      </w:r>
      <w:r>
        <w:rPr>
          <w:rFonts w:ascii="Times New Roman" w:cs="Times New Roman" w:eastAsia="Times New Roman" w:hAnsi="Times New Roman"/>
          <w:sz w:val="18"/>
          <w:szCs w:val="18"/>
          <w:color w:val="auto"/>
        </w:rPr>
        <w:t>”); (ii) the judgments and uncertainties affecting the application of Critical Accounting Policies; and (iii) the likelihood that materially different amounts would be reported under different conditions or using different assumptions, and an explanation thereof.</w:t>
      </w: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9" w:name="page10"/>
    <w:bookmarkEnd w:id="9"/>
    <w:p>
      <w:pPr>
        <w:jc w:val="both"/>
        <w:ind w:left="-460" w:firstLine="1292"/>
        <w:spacing w:after="0" w:line="253" w:lineRule="auto"/>
        <w:tabs>
          <w:tab w:leader="none" w:pos="1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Except as would not, in the aggregate, reasonably be expected to have a Material Adverse Effect, since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of the latest audited financial statements included in the Registration Statement and the Prospectus, and, except as disclosed in the Registration Statement and the Prospectus, neither the Company nor any of its Subsidiaries has (i) sustained any loss or interference with its business from fire, explosion, flood or other calamity, whether or not covered by insurance, or from any labor dispute or court or governmental action, order or decree, (ii) issued or granted any securities (other than pursuant to employee benefit plans, qualified stock option plans or other equity compensation plans or arrangements existing on the date hereof and disclosed in the Registration Statement and the Prospectus (the </w:t>
      </w:r>
      <w:r>
        <w:rPr>
          <w:rFonts w:ascii="Times New Roman" w:cs="Times New Roman" w:eastAsia="Times New Roman" w:hAnsi="Times New Roman"/>
          <w:sz w:val="18"/>
          <w:szCs w:val="18"/>
          <w:b w:val="1"/>
          <w:bCs w:val="1"/>
          <w:i w:val="1"/>
          <w:iCs w:val="1"/>
          <w:color w:val="auto"/>
        </w:rPr>
        <w:t>“Specified Equity Plans”</w:t>
      </w:r>
      <w:r>
        <w:rPr>
          <w:rFonts w:ascii="Times New Roman" w:cs="Times New Roman" w:eastAsia="Times New Roman" w:hAnsi="Times New Roman"/>
          <w:sz w:val="18"/>
          <w:szCs w:val="18"/>
          <w:color w:val="auto"/>
        </w:rPr>
        <w:t>)), (iii) incurred any material liability or obligation, direct or contingent, other than liabilities and obligations that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incurred in the ordinary course of business, (iv) entered into any material transaction not in the ordinary course of business, or (v) declared or paid any dividend on its share capital; and since such date, except as disclosed in the Registration Statement and the Prospectus, there has not been any change in the share capital (other than in connection with issuances pursuant to the Specified Equity Plans), long-term debt, net current assets or short-term debt of the Company or any of its Subsidiaries or any adverse change, or any development involving a prospective adverse change, in or affecting the condition (financial or otherwise), results of operations, shareholders’ equity, properties, management, business or prospects of the Company and its Subsidiaries taken as a whole.</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3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 Title</w:t>
      </w:r>
      <w:r>
        <w:rPr>
          <w:rFonts w:ascii="Times New Roman" w:cs="Times New Roman" w:eastAsia="Times New Roman" w:hAnsi="Times New Roman"/>
          <w:sz w:val="18"/>
          <w:szCs w:val="18"/>
          <w:color w:val="auto"/>
        </w:rPr>
        <w:t>. The Company and the Subsidiaries have good and marketable title in fee simple to, or have valid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United States generally accepted accounting principles,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4"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3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trademark applications, service marks, trade names, trade secrets, inventions, copyrights, licenses and other intellectual property rights and similar rights necessary or required for use in connection with their respective businesses as described in the Registration Statement and the Prospectus and which the failure to do so could have a Material Adverse Effect (collectively, the “</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Registration Statement and the Prospectus, a written notice of a claim or otherwise has any knowledge that the Intellectual Property Rights violate or infringe upon the rights of any Person.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460" w:firstLine="1292"/>
        <w:spacing w:after="0" w:line="257" w:lineRule="auto"/>
        <w:tabs>
          <w:tab w:leader="none" w:pos="1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Permits</w:t>
      </w:r>
      <w:r>
        <w:rPr>
          <w:rFonts w:ascii="Times New Roman" w:cs="Times New Roman" w:eastAsia="Times New Roman" w:hAnsi="Times New Roman"/>
          <w:sz w:val="18"/>
          <w:szCs w:val="18"/>
          <w:color w:val="auto"/>
        </w:rPr>
        <w:t>. The Company and the Subsidiaries possess all certificates, authorizations and permits issued by the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state, local or foreign regulatory authorities necessary to conduct their respective businesses as described in the Registration Statement and the Prospectus, except where the failure to possess such permits could not reasonably be expected to result in a Material Adverse Effect (each, a “</w:t>
      </w:r>
      <w:r>
        <w:rPr>
          <w:rFonts w:ascii="Times New Roman" w:cs="Times New Roman" w:eastAsia="Times New Roman" w:hAnsi="Times New Roman"/>
          <w:sz w:val="18"/>
          <w:szCs w:val="18"/>
          <w:b w:val="1"/>
          <w:bCs w:val="1"/>
          <w:i w:val="1"/>
          <w:iCs w:val="1"/>
          <w:color w:val="auto"/>
        </w:rPr>
        <w:t>Material Permit</w:t>
      </w:r>
      <w:r>
        <w:rPr>
          <w:rFonts w:ascii="Times New Roman" w:cs="Times New Roman" w:eastAsia="Times New Roman" w:hAnsi="Times New Roman"/>
          <w:sz w:val="18"/>
          <w:szCs w:val="18"/>
          <w:color w:val="auto"/>
        </w:rPr>
        <w:t>”). Neither the Company nor any Subsidiary has received any notice of proceedings relating to the termination, revocation or modification of any Material Permit. The disclosures in the Registration Statement and the Prospectus concerning the effects of federal, state, local and all foreign regulation on the Company’s business as currently contemplated are correct in all material respects.</w:t>
      </w: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0" w:name="page11"/>
    <w:bookmarkEnd w:id="10"/>
    <w:p>
      <w:pPr>
        <w:jc w:val="both"/>
        <w:ind w:left="4" w:firstLine="1292"/>
        <w:spacing w:after="0" w:line="252" w:lineRule="auto"/>
        <w:tabs>
          <w:tab w:leader="none" w:pos="16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Applicable Laws and Regulations</w:t>
      </w:r>
      <w:r>
        <w:rPr>
          <w:rFonts w:ascii="Times New Roman" w:cs="Times New Roman" w:eastAsia="Times New Roman" w:hAnsi="Times New Roman"/>
          <w:sz w:val="18"/>
          <w:szCs w:val="18"/>
          <w:color w:val="auto"/>
        </w:rPr>
        <w:t>. Except as would not reasonably be expected to have a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Adverse Effect or as described in the Registration Statement and Prospectus, as applicable, the Company and each of its Subsidiaries and, to the Company’s knowledge, the directors, officers, employees, and agents (while acting in such capacity) of the Company and each of its Subsidiaries are, and at all times have been, in compliance with, all laws and regulations applicable to the Company or its Subsidiaries (collectively, the </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(ii) have not received any notice from any court or arbitrator or governmental or regulatory authority or third party alleging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asserting noncompliance with any Applicable Laws or any licenses, exemptions, certificates, approvals, clearances, authorizations, permits, registrations and supplements or amendments thereto required by any such Applicable Laws (</w:t>
      </w:r>
      <w:r>
        <w:rPr>
          <w:rFonts w:ascii="Times New Roman" w:cs="Times New Roman" w:eastAsia="Times New Roman" w:hAnsi="Times New Roman"/>
          <w:sz w:val="18"/>
          <w:szCs w:val="18"/>
          <w:b w:val="1"/>
          <w:bCs w:val="1"/>
          <w:i w:val="1"/>
          <w:iCs w:val="1"/>
          <w:color w:val="auto"/>
        </w:rPr>
        <w:t>“Authorizations”</w:t>
      </w:r>
      <w:r>
        <w:rPr>
          <w:rFonts w:ascii="Times New Roman" w:cs="Times New Roman" w:eastAsia="Times New Roman" w:hAnsi="Times New Roman"/>
          <w:sz w:val="18"/>
          <w:szCs w:val="18"/>
          <w:color w:val="auto"/>
        </w:rPr>
        <w:t>); (iii) possess all Authorizations and such Authorizations are valid and in full force and effect and are not in violation of any term of any such Authorizations; (iv) have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w:t>
      </w:r>
    </w:p>
    <w:p>
      <w:pPr>
        <w:spacing w:after="0" w:line="5"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2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(vi)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 (vii) are not a party to any corporate integrity agreements, monitoring agreements, consent decrees, settlement orders, or similar agreements with or imposed by any governmental or regulatory authority.</w:t>
      </w:r>
    </w:p>
    <w:p>
      <w:pPr>
        <w:spacing w:after="0" w:line="186" w:lineRule="exact"/>
        <w:rPr>
          <w:rFonts w:ascii="Times New Roman" w:cs="Times New Roman" w:eastAsia="Times New Roman" w:hAnsi="Times New Roman"/>
          <w:sz w:val="18"/>
          <w:szCs w:val="18"/>
          <w:color w:val="auto"/>
        </w:rPr>
      </w:pPr>
    </w:p>
    <w:p>
      <w:pPr>
        <w:jc w:val="both"/>
        <w:ind w:left="4" w:right="20" w:firstLine="1292"/>
        <w:spacing w:after="0" w:line="267" w:lineRule="auto"/>
        <w:tabs>
          <w:tab w:leader="none" w:pos="16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Settlement Agreements or Undertakings</w:t>
      </w:r>
      <w:r>
        <w:rPr>
          <w:rFonts w:ascii="Times New Roman" w:cs="Times New Roman" w:eastAsia="Times New Roman" w:hAnsi="Times New Roman"/>
          <w:sz w:val="18"/>
          <w:szCs w:val="18"/>
          <w:color w:val="auto"/>
        </w:rPr>
        <w:t>. Except as disclosed in the Registration Statement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not a party to any corporate integrity agreements, monitoring agreements, consent decrees, settlement orders, or similar agreements with or imposed by any governmental authority.</w:t>
      </w:r>
    </w:p>
    <w:p>
      <w:pPr>
        <w:spacing w:after="0" w:line="173" w:lineRule="exact"/>
        <w:rPr>
          <w:rFonts w:ascii="Times New Roman" w:cs="Times New Roman" w:eastAsia="Times New Roman" w:hAnsi="Times New Roman"/>
          <w:sz w:val="18"/>
          <w:szCs w:val="18"/>
          <w:color w:val="auto"/>
        </w:rPr>
      </w:pPr>
    </w:p>
    <w:p>
      <w:pPr>
        <w:jc w:val="both"/>
        <w:ind w:left="4" w:firstLine="1292"/>
        <w:spacing w:after="0" w:line="257" w:lineRule="auto"/>
        <w:tabs>
          <w:tab w:leader="none" w:pos="17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Legal or Governmental Proceedings</w:t>
      </w:r>
      <w:r>
        <w:rPr>
          <w:rFonts w:ascii="Times New Roman" w:cs="Times New Roman" w:eastAsia="Times New Roman" w:hAnsi="Times New Roman"/>
          <w:sz w:val="18"/>
          <w:szCs w:val="18"/>
          <w:color w:val="auto"/>
        </w:rPr>
        <w:t>. Except as disclosed in the Registration Statement and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legal or governmental proceedings pending to which the Company or any of its Subsidiaries is a party or of which any property or assets of the Company or any of its Subsidiaries is the subject that, if determined adversely to the Company, would, in the aggregate, reasonably be expected to have a Material Adverse Effect or would, in the aggregate, reasonably be expected to have a Material Adverse Effect on the performance of this Agreement or the consummation of the transactions contemplated hereby; and to the Company’s knowledge, no such proceedings are threatened or contemplated by governmental authorities or others.</w:t>
      </w:r>
    </w:p>
    <w:p>
      <w:pPr>
        <w:spacing w:after="0" w:line="182" w:lineRule="exact"/>
        <w:rPr>
          <w:rFonts w:ascii="Times New Roman" w:cs="Times New Roman" w:eastAsia="Times New Roman" w:hAnsi="Times New Roman"/>
          <w:sz w:val="18"/>
          <w:szCs w:val="18"/>
          <w:color w:val="auto"/>
        </w:rPr>
      </w:pPr>
    </w:p>
    <w:p>
      <w:pPr>
        <w:jc w:val="both"/>
        <w:ind w:left="4" w:firstLine="1292"/>
        <w:spacing w:after="0" w:line="252" w:lineRule="auto"/>
        <w:tabs>
          <w:tab w:leader="none" w:pos="182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Contracts</w:t>
      </w:r>
      <w:r>
        <w:rPr>
          <w:rFonts w:ascii="Times New Roman" w:cs="Times New Roman" w:eastAsia="Times New Roman" w:hAnsi="Times New Roman"/>
          <w:sz w:val="18"/>
          <w:szCs w:val="18"/>
          <w:color w:val="auto"/>
        </w:rPr>
        <w:t>. The agreements, contracts and documents of the Company and its Subsidiaries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and the Prospectus conform to the descriptions thereof contained therein. There are no agreements, contracts or other documents required by the Securities Act and the rules and regulations thereunder to be described in the Registration Statement and the Prospectus or to be filed with the Commission as exhibits to the Registration Statement that have not been so described or filed. Each agreement, contract or other document (however characterized or described) to which the Company or any Subsidiary is a party or by which it is or may be bound or affected and (i) that is referred to in the Registration Statement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contracts or documents has been assigned by the Company, and neither the Company or its Subsidiaries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contracts or documents will not result in a violation of any existing applicable law, rule, regulation, judgment, order or decree of any governmental agency or court, domestic or foreign, having jurisdiction over the Company or any of its Subsidiaries, assets or businesses.</w:t>
      </w:r>
    </w:p>
    <w:p>
      <w:pPr>
        <w:spacing w:after="0" w:line="200" w:lineRule="exact"/>
        <w:rPr>
          <w:sz w:val="20"/>
          <w:szCs w:val="20"/>
          <w:color w:val="auto"/>
        </w:rPr>
      </w:pPr>
    </w:p>
    <w:p>
      <w:pPr>
        <w:spacing w:after="0" w:line="21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1" w:name="page12"/>
    <w:bookmarkEnd w:id="11"/>
    <w:p>
      <w:pPr>
        <w:jc w:val="both"/>
        <w:ind w:left="-460" w:firstLine="1292"/>
        <w:spacing w:after="0" w:line="258" w:lineRule="auto"/>
        <w:tabs>
          <w:tab w:leader="none" w:pos="13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2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With Affiliates and Employees</w:t>
      </w:r>
      <w:r>
        <w:rPr>
          <w:rFonts w:ascii="Times New Roman" w:cs="Times New Roman" w:eastAsia="Times New Roman" w:hAnsi="Times New Roman"/>
          <w:sz w:val="18"/>
          <w:szCs w:val="18"/>
          <w:color w:val="auto"/>
        </w:rPr>
        <w:t>. Except as set forth in the Registration Statement and the Prospectus, none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3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the business of the Company or such Subsidiary, except in each case as could not have or reasonably be expected to result in a Material Adverse Effect. Without limiting the generality of the foregoing, the Company and its Subsidiaries are in compliance, an expect to continue to be in compliance, with all federal, state, municipal, local or foreign laws, rules and regulations relating to cannabis, controlled drugs and substances or pharmaceuticals. The Company and its Subsidiaries have instituted and maintained and will continue to maintain policies and procedures reasonably designed to ensure that the Company and its Subsidiaries do not carry on any activities or distribute any products in a manner that violates applicable federal, state, municipal, local or foreign laws, rules and regulations relating to cannabis, controlled drugs and substances or pharmaceuticals.</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2" w:name="page13"/>
    <w:bookmarkEnd w:id="12"/>
    <w:p>
      <w:pPr>
        <w:jc w:val="both"/>
        <w:ind w:left="4" w:firstLine="1292"/>
        <w:spacing w:after="0" w:line="253" w:lineRule="auto"/>
        <w:tabs>
          <w:tab w:leader="none" w:pos="184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Solvency</w:t>
      </w:r>
      <w:r>
        <w:rPr>
          <w:rFonts w:ascii="Times New Roman" w:cs="Times New Roman" w:eastAsia="Times New Roman" w:hAnsi="Times New Roman"/>
          <w:sz w:val="18"/>
          <w:szCs w:val="18"/>
          <w:color w:val="auto"/>
        </w:rPr>
        <w:t>. Based on the consolidated financial condition of the Company as of the date of this Agreement, after giving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date of this Agreement. The Registration Statement and the Prospectus sets forth as of the date of this Agreement all outstanding secured and unsecured indebtedness of the Company or any Subsidiary, or for which the Company or any Subsidiary has commitments.</w:t>
      </w:r>
    </w:p>
    <w:p>
      <w:pPr>
        <w:spacing w:after="0" w:line="187" w:lineRule="exact"/>
        <w:rPr>
          <w:sz w:val="20"/>
          <w:szCs w:val="20"/>
          <w:color w:val="auto"/>
        </w:rPr>
      </w:pPr>
    </w:p>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(xxviii)</w:t>
      </w:r>
      <w:r>
        <w:rPr>
          <w:rFonts w:ascii="Times New Roman" w:cs="Times New Roman" w:eastAsia="Times New Roman" w:hAnsi="Times New Roman"/>
          <w:sz w:val="18"/>
          <w:szCs w:val="18"/>
          <w:i w:val="1"/>
          <w:iCs w:val="1"/>
          <w:color w:val="auto"/>
        </w:rPr>
        <w:t>Environmental Laws</w:t>
      </w:r>
      <w:r>
        <w:rPr>
          <w:rFonts w:ascii="Times New Roman" w:cs="Times New Roman" w:eastAsia="Times New Roman" w:hAnsi="Times New Roman"/>
          <w:sz w:val="18"/>
          <w:szCs w:val="18"/>
          <w:color w:val="auto"/>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b w:val="1"/>
          <w:bCs w:val="1"/>
          <w:i w:val="1"/>
          <w:i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as described in the Registration Statement and the Prospectus; and</w:t>
      </w:r>
    </w:p>
    <w:p>
      <w:pPr>
        <w:spacing w:after="0" w:line="3" w:lineRule="exact"/>
        <w:rPr>
          <w:sz w:val="20"/>
          <w:szCs w:val="20"/>
          <w:color w:val="auto"/>
        </w:rPr>
      </w:pPr>
    </w:p>
    <w:p>
      <w:pPr>
        <w:ind w:left="4" w:hanging="4"/>
        <w:spacing w:after="0" w:line="260" w:lineRule="auto"/>
        <w:tabs>
          <w:tab w:leader="none" w:pos="3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79" w:lineRule="exact"/>
        <w:rPr>
          <w:rFonts w:ascii="Times New Roman" w:cs="Times New Roman" w:eastAsia="Times New Roman" w:hAnsi="Times New Roman"/>
          <w:sz w:val="18"/>
          <w:szCs w:val="18"/>
          <w:color w:val="auto"/>
        </w:rPr>
      </w:pPr>
    </w:p>
    <w:p>
      <w:pPr>
        <w:jc w:val="both"/>
        <w:ind w:left="4" w:firstLine="1292"/>
        <w:spacing w:after="0" w:line="253" w:lineRule="auto"/>
        <w:tabs>
          <w:tab w:leader="none" w:pos="178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incorporated by reference as part of the Registration Statement and the Prospectus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200" w:lineRule="exact"/>
        <w:rPr>
          <w:sz w:val="20"/>
          <w:szCs w:val="20"/>
          <w:color w:val="auto"/>
        </w:rPr>
      </w:pPr>
    </w:p>
    <w:p>
      <w:pPr>
        <w:spacing w:after="0" w:line="20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2" w:right="339" w:bottom="1440" w:gutter="0" w:footer="0" w:header="0"/>
        </w:sectPr>
      </w:pPr>
    </w:p>
    <w:bookmarkStart w:id="13" w:name="page14"/>
    <w:bookmarkEnd w:id="13"/>
    <w:p>
      <w:pPr>
        <w:jc w:val="both"/>
        <w:ind w:left="-460" w:firstLine="1292"/>
        <w:spacing w:after="0" w:line="252" w:lineRule="auto"/>
        <w:tabs>
          <w:tab w:leader="none" w:pos="12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 Compliance</w:t>
      </w:r>
      <w:r>
        <w:rPr>
          <w:rFonts w:ascii="Times New Roman" w:cs="Times New Roman" w:eastAsia="Times New Roman" w:hAnsi="Times New Roman"/>
          <w:sz w:val="18"/>
          <w:szCs w:val="18"/>
          <w:color w:val="auto"/>
        </w:rPr>
        <w:t>. (i) Each “employee benefit plan” (within the meaning of Section 3(3) of the Employee Retirement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xml:space="preserve">)) for which the Company or any member of its “Controlled Group” (defined as any organization which is a member of a controlled group of corporations within the meaning of Section 414 of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xml:space="preserve">)) would have any liability (each a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been maintained in compliance in all material respects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 (A) no “reportable event” (within the meaning of Section 4043(c) of ERISA) has occurred or is reasonably expected to occur that would result in a material loss to the Company, (B) no “accumulated funding deficiency” (within the meaning of Section 302 of ERISA or Section 412 of the Code), whether or not waived, has occurred or is reasonably expected to occur, (C) the fair market value of the assets under each Plan that is required to be funded exceeds the present value of all benefits accrued under such Plan (determined based on those assumptions used to fund such Plan), and (D)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and (iv) each Plan that is intended to be qualified under Section 401(a) of the Code is so qualified and nothing has occurred, to the Company’s knowledge, whether by action or by failure to act, which would cause the loss of such qualification.</w:t>
      </w:r>
    </w:p>
    <w:p>
      <w:pPr>
        <w:spacing w:after="0" w:line="194"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3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Accuracy of Statistical and Market Data</w:t>
      </w:r>
      <w:r>
        <w:rPr>
          <w:rFonts w:ascii="Times New Roman" w:cs="Times New Roman" w:eastAsia="Times New Roman" w:hAnsi="Times New Roman"/>
          <w:sz w:val="18"/>
          <w:szCs w:val="18"/>
          <w:color w:val="auto"/>
        </w:rPr>
        <w:t>. The statistical, industry-related and market-related data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and the Prospectus are based on or derived from sources which the Company reasonably and in good faith believes are reliable and accurate, and such data agree with the sources from which they are derived, and the Company has obtained the written consent to the use of such data from such sources, to the extent required.</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37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 an Investment Company</w:t>
      </w:r>
      <w:r>
        <w:rPr>
          <w:rFonts w:ascii="Times New Roman" w:cs="Times New Roman" w:eastAsia="Times New Roman" w:hAnsi="Times New Roman"/>
          <w:sz w:val="18"/>
          <w:szCs w:val="18"/>
          <w:color w:val="auto"/>
        </w:rPr>
        <w:t>. The Company is not, and is not an affiliate of, and immediately after receipt of payment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460" w:firstLine="1292"/>
        <w:spacing w:after="0" w:line="284" w:lineRule="auto"/>
        <w:tabs>
          <w:tab w:leader="none" w:pos="14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Except as described in the Registration Statement and the Prospectus, no Person has any right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the Company or any Subsidiary to effect the registration under the Securities Act of any securities of the Company or any Subsidiary.</w:t>
      </w:r>
    </w:p>
    <w:p>
      <w:pPr>
        <w:spacing w:after="0" w:line="158" w:lineRule="exact"/>
        <w:rPr>
          <w:rFonts w:ascii="Times New Roman" w:cs="Times New Roman" w:eastAsia="Times New Roman" w:hAnsi="Times New Roman"/>
          <w:sz w:val="18"/>
          <w:szCs w:val="18"/>
          <w:color w:val="auto"/>
        </w:rPr>
      </w:pPr>
    </w:p>
    <w:p>
      <w:pPr>
        <w:jc w:val="both"/>
        <w:ind w:left="-460" w:firstLine="1292"/>
        <w:spacing w:after="0" w:line="254" w:lineRule="auto"/>
        <w:tabs>
          <w:tab w:leader="none" w:pos="1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Fees</w:t>
      </w:r>
      <w:r>
        <w:rPr>
          <w:rFonts w:ascii="Times New Roman" w:cs="Times New Roman" w:eastAsia="Times New Roman" w:hAnsi="Times New Roman"/>
          <w:sz w:val="18"/>
          <w:szCs w:val="18"/>
          <w:color w:val="auto"/>
        </w:rPr>
        <w:t>. Except as set forth in the Registration Statement and the Prospectus, no brokerage or finder’s fees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are or will be payable by the Company, any Subsidiary or affiliate of the Company to any broker, financial advisor or consultant, finder, placement agent, investment banker, bank or other person with respect to the transactions contemplated by this Agreement. To the Company’s knowledge, there are no other arrangements, agreements or understandings of the Company or, to the Company’s knowledge, any of its stockholders that may affect the Agent’s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date of this Agreement. None of the net proceeds of the offering will be paid by the Company to any participating FINRA member or its affiliates, except as specifically authorized herein.</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4" w:name="page15"/>
    <w:bookmarkEnd w:id="14"/>
    <w:p>
      <w:pPr>
        <w:jc w:val="both"/>
        <w:ind w:firstLine="1292"/>
        <w:spacing w:after="0" w:line="261" w:lineRule="auto"/>
        <w:tabs>
          <w:tab w:leader="none" w:pos="182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Neither the Company, nor any of its affiliates, nor any person acting on its or their behalf has,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made any offers or sales of any security or solicited any offers to buy any security, under circumstances that would cause this offering of the Shares to be integrated with prior offerings by the Company for purposes of the Securities Act or any applicable shareholder approval provisions of any trading market on which any of the securities of the Company are listed or designated.</w:t>
      </w:r>
    </w:p>
    <w:p>
      <w:pPr>
        <w:spacing w:after="0" w:line="179" w:lineRule="exact"/>
        <w:rPr>
          <w:rFonts w:ascii="Times New Roman" w:cs="Times New Roman" w:eastAsia="Times New Roman" w:hAnsi="Times New Roman"/>
          <w:sz w:val="18"/>
          <w:szCs w:val="18"/>
          <w:color w:val="auto"/>
        </w:rPr>
      </w:pPr>
    </w:p>
    <w:p>
      <w:pPr>
        <w:jc w:val="both"/>
        <w:ind w:firstLine="1292"/>
        <w:spacing w:after="0" w:line="267" w:lineRule="auto"/>
        <w:tabs>
          <w:tab w:leader="none" w:pos="188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Stabilization or Manipulation</w:t>
      </w:r>
      <w:r>
        <w:rPr>
          <w:rFonts w:ascii="Times New Roman" w:cs="Times New Roman" w:eastAsia="Times New Roman" w:hAnsi="Times New Roman"/>
          <w:sz w:val="18"/>
          <w:szCs w:val="18"/>
          <w:color w:val="auto"/>
        </w:rPr>
        <w:t>. The Company and its affiliates have not taken, directly or indirectly,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designed to or that has constituted or that could reasonably be expected to cause or result in the stabilization or manipulation of the price of any security of the Company in connection with the offering of the Shares.</w:t>
      </w:r>
    </w:p>
    <w:p>
      <w:pPr>
        <w:spacing w:after="0" w:line="173" w:lineRule="exact"/>
        <w:rPr>
          <w:rFonts w:ascii="Times New Roman" w:cs="Times New Roman" w:eastAsia="Times New Roman" w:hAnsi="Times New Roman"/>
          <w:sz w:val="18"/>
          <w:szCs w:val="18"/>
          <w:color w:val="auto"/>
        </w:rPr>
      </w:pPr>
    </w:p>
    <w:p>
      <w:pPr>
        <w:jc w:val="both"/>
        <w:ind w:firstLine="1292"/>
        <w:spacing w:after="0" w:line="254" w:lineRule="auto"/>
        <w:tabs>
          <w:tab w:leader="none" w:pos="196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Act Registration and Listing of the Common Shares</w:t>
      </w:r>
      <w:r>
        <w:rPr>
          <w:rFonts w:ascii="Times New Roman" w:cs="Times New Roman" w:eastAsia="Times New Roman" w:hAnsi="Times New Roman"/>
          <w:sz w:val="18"/>
          <w:szCs w:val="18"/>
          <w:color w:val="auto"/>
        </w:rPr>
        <w:t>. The Common Shares are registered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12(b) of the Exchange Act and listed on the Exchange; the Company has taken no action designed to, or reasonably likely to have the effect of, terminating the registration of the Common Shares under the Exchange Act or delisting the Common Shares from the Exchange, nor has the Company received any notification that the Commission or FINRA is contemplating terminating such registration or listing. The Common Shares are currently listed on the Exchange under the trading symbol “AGFY”. Except as disclosed in the Registration Statement and the Prospectus, the Company has not, in the twelve (12) months preceding the date hereof, received any notice from any Person to the effect that the Company is not in compliance with the rules and regulations of the Exchange. Except as disclosed in the Registration Statement and the Prospectus, the Company is, and has no reason to believe that it will not in the foreseeable future continue to be, in material compliance with the rules and regulations of the Exchange.</w:t>
      </w:r>
    </w:p>
    <w:p>
      <w:pPr>
        <w:spacing w:after="0" w:line="188" w:lineRule="exact"/>
        <w:rPr>
          <w:rFonts w:ascii="Times New Roman" w:cs="Times New Roman" w:eastAsia="Times New Roman" w:hAnsi="Times New Roman"/>
          <w:sz w:val="18"/>
          <w:szCs w:val="18"/>
          <w:color w:val="auto"/>
        </w:rPr>
      </w:pPr>
    </w:p>
    <w:p>
      <w:pPr>
        <w:jc w:val="both"/>
        <w:ind w:firstLine="1292"/>
        <w:spacing w:after="0" w:line="267" w:lineRule="auto"/>
        <w:tabs>
          <w:tab w:leader="none" w:pos="19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Material</w:t>
      </w:r>
      <w:r>
        <w:rPr>
          <w:rFonts w:ascii="Times New Roman" w:cs="Times New Roman" w:eastAsia="Times New Roman" w:hAnsi="Times New Roman"/>
          <w:sz w:val="18"/>
          <w:szCs w:val="18"/>
          <w:color w:val="auto"/>
        </w:rPr>
        <w:t>. The Company has not distributed and prior to any Settlement Date, will not distribute any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in connection with any Placement (as defined in Section 2(a)(i) below), other than the Prospectus, and any Permitted Free Writing Prospectus to which the Agent has consented.</w:t>
      </w:r>
    </w:p>
    <w:p>
      <w:pPr>
        <w:spacing w:after="0" w:line="173" w:lineRule="exact"/>
        <w:rPr>
          <w:rFonts w:ascii="Times New Roman" w:cs="Times New Roman" w:eastAsia="Times New Roman" w:hAnsi="Times New Roman"/>
          <w:sz w:val="18"/>
          <w:szCs w:val="18"/>
          <w:color w:val="auto"/>
        </w:rPr>
      </w:pPr>
    </w:p>
    <w:p>
      <w:pPr>
        <w:jc w:val="both"/>
        <w:ind w:firstLine="1292"/>
        <w:spacing w:after="0" w:line="258" w:lineRule="auto"/>
        <w:tabs>
          <w:tab w:leader="none" w:pos="187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FINRA Affiliation</w:t>
      </w:r>
      <w:r>
        <w:rPr>
          <w:rFonts w:ascii="Times New Roman" w:cs="Times New Roman" w:eastAsia="Times New Roman" w:hAnsi="Times New Roman"/>
          <w:sz w:val="18"/>
          <w:szCs w:val="18"/>
          <w:color w:val="auto"/>
        </w:rPr>
        <w:t>. No officer, director or any beneficial owner of 5% or more of the Company’s unregistered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any direct or indirect affiliation or association with any FINRA member (as determined in accordance with the rules and regulations of FINRA) that is participating in the offering. The Company will advise the Agent if it learns that any officer, director or owner of 5% or more of the Company’s outstanding shares of Common Stock or Common Stock equivalents is or becomes an affiliate or associated person of a FINRA member firm.</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i w:val="1"/>
          <w:iCs w:val="1"/>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5" w:name="page16"/>
    <w:bookmarkEnd w:id="1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i w:val="1"/>
          <w:iCs w:val="1"/>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U.S. Foreign Corrupt Practices Act of 1977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The Company has taken reasonable steps to ensure that its accounting controls and procedures are sufficient to cause the Company to comply in all material respects with the FCPA.</w:t>
      </w:r>
    </w:p>
    <w:p>
      <w:pPr>
        <w:spacing w:after="0" w:line="18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i w:val="1"/>
          <w:iCs w:val="1"/>
          <w:color w:val="auto"/>
        </w:rPr>
        <w:t>Anti-Money Laundering Compliance</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b w:val="1"/>
          <w:bCs w:val="1"/>
          <w:i w:val="1"/>
          <w:iCs w:val="1"/>
          <w:color w:val="auto"/>
        </w:rPr>
        <w:t>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involving the Company or any Subsidiary with respect to the Money Laundering Laws is pending or, to the knowledge of the Company, threatened.</w:t>
      </w:r>
    </w:p>
    <w:p>
      <w:pPr>
        <w:spacing w:after="0" w:line="18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i w:val="1"/>
          <w:iCs w:val="1"/>
          <w:color w:val="auto"/>
        </w:rPr>
        <w:t>OFAC Compliance</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i w:val="1"/>
          <w:iCs w:val="1"/>
          <w:color w:val="auto"/>
        </w:rPr>
        <w:t>No Taxes or Fees Due Upon Issuance</w:t>
      </w:r>
      <w:r>
        <w:rPr>
          <w:rFonts w:ascii="Times New Roman" w:cs="Times New Roman" w:eastAsia="Times New Roman" w:hAnsi="Times New Roman"/>
          <w:sz w:val="18"/>
          <w:szCs w:val="18"/>
          <w:color w:val="auto"/>
        </w:rPr>
        <w:t>. No stamp, issue, registration, documentary, transfer or other similar taxes and duties, including interest and penalties, are payable on or in connection with the issuance and sale of the Shares by the Company or the execution and delivery of this Agreement.</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i w:val="1"/>
          <w:iCs w:val="1"/>
          <w:color w:val="auto"/>
        </w:rPr>
        <w:t>No Immunity</w:t>
      </w:r>
      <w:r>
        <w:rPr>
          <w:rFonts w:ascii="Times New Roman" w:cs="Times New Roman" w:eastAsia="Times New Roman" w:hAnsi="Times New Roman"/>
          <w:sz w:val="18"/>
          <w:szCs w:val="18"/>
          <w:color w:val="auto"/>
        </w:rPr>
        <w:t>. Neither the Company nor any Subsidiary, nor any of their respective properties or assets, has any immunity from the jurisdiction of any court or from any legal process (whether through service or notice, attachment to prior judgment, attachment in aid of execution or otherwise) under the laws of any jurisdiction in which it is organized, headquartered or doing business.</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The Company had a reasonable basis for, and made in good faith, each “forward-looking statement” (within the meaning of Section 27A of the Securities Act or Section 21E of the Exchange Act) contained or incorporated by reference in the Registration Statement and the Prospectus.</w:t>
      </w:r>
    </w:p>
    <w:p>
      <w:pPr>
        <w:spacing w:after="0" w:line="17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(xlvii)</w:t>
      </w:r>
      <w:r>
        <w:rPr>
          <w:rFonts w:ascii="Times New Roman" w:cs="Times New Roman" w:eastAsia="Times New Roman" w:hAnsi="Times New Roman"/>
          <w:sz w:val="18"/>
          <w:szCs w:val="18"/>
          <w:i w:val="1"/>
          <w:iCs w:val="1"/>
          <w:color w:val="auto"/>
        </w:rPr>
        <w:t>No Legal, Accounting or Tax Advice</w:t>
      </w:r>
      <w:r>
        <w:rPr>
          <w:rFonts w:ascii="Times New Roman" w:cs="Times New Roman" w:eastAsia="Times New Roman" w:hAnsi="Times New Roman"/>
          <w:sz w:val="18"/>
          <w:szCs w:val="18"/>
          <w:color w:val="auto"/>
        </w:rPr>
        <w:t>. The Company has not relied upon the Agent or legal counsel for the Agent for any legal, tax or accounting advice in connection with the offering and sale of the Shares.</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(xlviii) </w:t>
      </w:r>
      <w:r>
        <w:rPr>
          <w:rFonts w:ascii="Times New Roman" w:cs="Times New Roman" w:eastAsia="Times New Roman" w:hAnsi="Times New Roman"/>
          <w:sz w:val="18"/>
          <w:szCs w:val="18"/>
          <w:i w:val="1"/>
          <w:iCs w:val="1"/>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the Agent’s request.</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(xlix)</w:t>
      </w:r>
      <w:r>
        <w:rPr>
          <w:rFonts w:ascii="Times New Roman" w:cs="Times New Roman" w:eastAsia="Times New Roman" w:hAnsi="Times New Roman"/>
          <w:sz w:val="18"/>
          <w:szCs w:val="18"/>
          <w:i w:val="1"/>
          <w:iCs w:val="1"/>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b w:val="1"/>
          <w:bCs w:val="1"/>
          <w:i w:val="1"/>
          <w:iCs w:val="1"/>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b w:val="1"/>
          <w:bCs w:val="1"/>
          <w:i w:val="1"/>
          <w:iCs w:val="1"/>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2" w:lineRule="exact"/>
        <w:rPr>
          <w:sz w:val="20"/>
          <w:szCs w:val="20"/>
          <w:color w:val="auto"/>
        </w:rPr>
      </w:pPr>
    </w:p>
    <w:p>
      <w:pPr>
        <w:jc w:val="both"/>
        <w:ind w:firstLine="1292"/>
        <w:spacing w:after="0" w:line="258" w:lineRule="auto"/>
        <w:tabs>
          <w:tab w:leader="none" w:pos="15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Agent and the Company fulfilling their obligations or exercising their rights under this Agreement.</w:t>
      </w:r>
    </w:p>
    <w:p>
      <w:pPr>
        <w:spacing w:after="0" w:line="18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(li) </w:t>
      </w:r>
      <w:r>
        <w:rPr>
          <w:rFonts w:ascii="Times New Roman" w:cs="Times New Roman" w:eastAsia="Times New Roman" w:hAnsi="Times New Roman"/>
          <w:sz w:val="18"/>
          <w:szCs w:val="18"/>
          <w:i w:val="1"/>
          <w:iCs w:val="1"/>
          <w:color w:val="auto"/>
        </w:rPr>
        <w:t>Certificate as Representation and Warranty</w:t>
      </w:r>
      <w:r>
        <w:rPr>
          <w:rFonts w:ascii="Times New Roman" w:cs="Times New Roman" w:eastAsia="Times New Roman" w:hAnsi="Times New Roman"/>
          <w:sz w:val="18"/>
          <w:szCs w:val="18"/>
          <w:color w:val="auto"/>
        </w:rPr>
        <w:t>. Any certificate signed by any officer of the Company and delivered to the Agent or the Agent’s counsel in connection with the offering of the Shares shall be deemed a representation and warranty by the Company to Agent as to the matters covered thereby.</w:t>
      </w:r>
    </w:p>
    <w:p>
      <w:pPr>
        <w:spacing w:after="0" w:line="3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6" w:name="page17"/>
    <w:bookmarkEnd w:id="16"/>
    <w:p>
      <w:pPr>
        <w:ind w:left="840" w:hanging="184"/>
        <w:spacing w:after="0"/>
        <w:tabs>
          <w:tab w:leader="none" w:pos="84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Sale and Delivery of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i w:val="1"/>
          <w:iCs w:val="1"/>
          <w:color w:val="auto"/>
        </w:rPr>
      </w:pPr>
    </w:p>
    <w:p>
      <w:pPr>
        <w:jc w:val="both"/>
        <w:ind w:firstLine="1304"/>
        <w:spacing w:after="0" w:line="255" w:lineRule="auto"/>
        <w:tabs>
          <w:tab w:leader="none" w:pos="155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At-the-Market Sales. </w:t>
      </w:r>
      <w:r>
        <w:rPr>
          <w:rFonts w:ascii="Times New Roman" w:cs="Times New Roman" w:eastAsia="Times New Roman" w:hAnsi="Times New Roman"/>
          <w:sz w:val="18"/>
          <w:szCs w:val="18"/>
          <w:color w:val="auto"/>
        </w:rPr>
        <w:t>On the basis of the representations, warranties and agreements herein contained, but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conditions herein set forth, the Company agrees to issue and sell through the Agent as sales agent, and the Agent agrees to use its commercially reasonable efforts to sell for and on behalf of the Company, the Shares on the following terms and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obligation of the Agent to use such commercially reasonable efforts shall be subject to the continuing accuracy of the representations and warranties of the Company herein, the performance by the Company of its covenants and obligations hereunder and the continuing satisfaction of the additional conditions specified in Section 4 of this Agreement. The Company acknowledges and agrees that (i) there can be no assurance that the Agent will be successful in selling Shares, and (ii) the Agent will incur no liability or obligation to the Company or any other person or entity if it does not sell Shares for any reason other than a failure by Agent to use its commercially reasonable efforts consistent with its normal trading and sales practices to sell such Shares as required under this Section 2.</w:t>
      </w:r>
    </w:p>
    <w:p>
      <w:pPr>
        <w:spacing w:after="0" w:line="182" w:lineRule="exact"/>
        <w:rPr>
          <w:rFonts w:ascii="Times New Roman" w:cs="Times New Roman" w:eastAsia="Times New Roman" w:hAnsi="Times New Roman"/>
          <w:sz w:val="18"/>
          <w:szCs w:val="18"/>
          <w:color w:val="auto"/>
        </w:rPr>
      </w:pPr>
    </w:p>
    <w:p>
      <w:pPr>
        <w:jc w:val="both"/>
        <w:ind w:left="660" w:firstLine="1292"/>
        <w:spacing w:after="0" w:line="252" w:lineRule="auto"/>
        <w:tabs>
          <w:tab w:leader="none" w:pos="2189"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time that the Company wishes to issue and sell the Shares hereunder (each, a </w:t>
      </w:r>
      <w:r>
        <w:rPr>
          <w:rFonts w:ascii="Times New Roman" w:cs="Times New Roman" w:eastAsia="Times New Roman" w:hAnsi="Times New Roman"/>
          <w:sz w:val="18"/>
          <w:szCs w:val="18"/>
          <w:b w:val="1"/>
          <w:bCs w:val="1"/>
          <w:i w:val="1"/>
          <w:iCs w:val="1"/>
          <w:color w:val="auto"/>
        </w:rPr>
        <w:t>“Placement”</w:t>
      </w:r>
      <w:r>
        <w:rPr>
          <w:rFonts w:ascii="Times New Roman" w:cs="Times New Roman" w:eastAsia="Times New Roman" w:hAnsi="Times New Roman"/>
          <w:sz w:val="18"/>
          <w:szCs w:val="18"/>
          <w:color w:val="auto"/>
        </w:rPr>
        <w:t xml:space="preserve">), it will notify Agent by email notice (or other method mutually agreed to in writing by the parties) (a </w:t>
      </w:r>
      <w:r>
        <w:rPr>
          <w:rFonts w:ascii="Times New Roman" w:cs="Times New Roman" w:eastAsia="Times New Roman" w:hAnsi="Times New Roman"/>
          <w:sz w:val="18"/>
          <w:szCs w:val="18"/>
          <w:b w:val="1"/>
          <w:bCs w:val="1"/>
          <w:i w:val="1"/>
          <w:iCs w:val="1"/>
          <w:color w:val="auto"/>
        </w:rPr>
        <w:t>“Placement Notice”</w:t>
      </w:r>
      <w:r>
        <w:rPr>
          <w:rFonts w:ascii="Times New Roman" w:cs="Times New Roman" w:eastAsia="Times New Roman" w:hAnsi="Times New Roman"/>
          <w:sz w:val="18"/>
          <w:szCs w:val="18"/>
          <w:color w:val="auto"/>
        </w:rPr>
        <w:t xml:space="preserve">) containing the parameters in accordance with which it desires the Shares to be sold, which shall at a minimum include the number of Shares to be issued, the time period during which sales are requested to be made, any limitation on the number of Shares that may be sold in any one Trading Day (as defined below) and any minimum price below which sales may not be made, a form of which containing such minimum sales parameters necessary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relevant Agent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may be amended from time to time. The Placement Notice shall be effective upon receipt by the relevant Agent unless and until (i) in accordance with the notice requirements set forth in Section 2(a)(iii) of this Agreement, such Agent declines to accept the terms contained therein for any reason, in its sole discretion, (ii) the entire amount of the Shares have been sold, (iii) the Company suspends or terminates the Placement Notice in accordance with the notice requirements set forth in Section 2(a)(iii) below, (iv) the Company issues a subsequent Placement Notice with parameters superseding those on the earlier dated Placement Notice, or (v) this Agreement has been terminated under the provisions of Section 7. The amount of any commission or other compensation to be paid by the Company to the relevant Agent in connection with the sale of the Shares shall be calculated in accordance with the terms set forth in Section 2(a)(v) below. It is expressly acknowledged and agreed that neither the Company nor the Agent will have any obligation whatsoever with respect to a Placement or any Shares unless and until the Company delivers a Placement Notice to the Agent and such Agent does not decline such Placement Notice pursuant to the terms set forth above, and then only upon the terms specified therein and herein. In the event of a conflict between the terms of this Agreement and the terms of the Placement Notice, the terms of the Placement Notice will control. For the purposes hereof,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any day on which the Company’s Common Shares are purchased and sold on the principal market on which the Common Shares are listed or quoted.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left="-460" w:firstLine="1292"/>
        <w:spacing w:after="0" w:line="261" w:lineRule="auto"/>
        <w:tabs>
          <w:tab w:leader="none" w:pos="110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to be sold by the Agent on a daily basis or otherwise as shall be agreed to by the Company and the Agent on any day that is a trading day for the Exchange (other than a day on which the Exchange is scheduled to close prior to its regular weekday closing time). The gross sales price of the Shares sold under this Section 2(a) shall be the market price for the Company’s Common Shares sold by the Agent under this Section 2(a) at the time of such sale.</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1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may instruct the Agent by telephone (confirmed promptly by email) not to sell the Shares if such sales cannot be effected at or above the price designated by the Company in any such instruction. Furthermore, the Company shall not authorize the issuance and sale of, and the Agent shall not be obligated to use its commercially reasonable efforts to sell, any Share at a price lower than the minimum price therefor designated from time to time by the Company’s Board of Directors and notified to the Agent in writing. In addition, the Company or Agent may, upon notice to the other party hereto by telephone (confirmed promptly by email), suspend the offering of the Shares, whereupon such Agent shall so suspend the offering of Shares until further notice is provided to the other party to the contrary;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suspension or termination shall not affect or impair the parties’ respective obligations with respect to the Shares sold hereunder prior to the giving of such notice. Notwithstanding any other provision of this Agreement, during any period in which the Company is in possession of material non-public information, the Company and the Agent agree that (i) no sale of Shares will take place, (ii) the Company shall not request the sale of any Shares, and (iii) Agent shall not be obligated to sell or offer to sell any Shares.</w:t>
      </w:r>
    </w:p>
    <w:p>
      <w:pPr>
        <w:spacing w:after="0" w:line="194" w:lineRule="exact"/>
        <w:rPr>
          <w:rFonts w:ascii="Times New Roman" w:cs="Times New Roman" w:eastAsia="Times New Roman" w:hAnsi="Times New Roman"/>
          <w:sz w:val="18"/>
          <w:szCs w:val="18"/>
          <w:color w:val="auto"/>
        </w:rPr>
      </w:pPr>
    </w:p>
    <w:p>
      <w:pPr>
        <w:jc w:val="both"/>
        <w:ind w:left="-460" w:firstLine="1292"/>
        <w:spacing w:after="0" w:line="255" w:lineRule="auto"/>
        <w:tabs>
          <w:tab w:leader="none" w:pos="114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Placement Notice, the Agent may sell the Shares by any method permitted by law deemed to be an “at the market offering” as defined in Rule 415(a)(4) under the Securities Act, including sales made directly on or through the Exchange. Subject to the terms of any Placement Notice, the Agent may also sell Shares in negotiated transactions at market prices prevailing at the time of sale or at prices related to such prevailing market prices and/or any other method permitted by law, subject to the prior written consent of the Company. During the term of this Agreement, and notwithstanding anything to the contrary herein, the Agent agrees that in no event will it or any of its affiliates engage in any market making, bidding, stabilization or other trading activity with regard to the Common Shares if such activity would be prohibited under Regulation M or other anti-manipulation rules under the Securities Act.</w:t>
      </w:r>
    </w:p>
    <w:p>
      <w:pPr>
        <w:spacing w:after="0" w:line="188"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0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to the Agent for sales of the Shares, as agent of the Company, shall be 3.0% of the gross sales price of the Shares sold by such Agent pursuant to this Section 2(a), payable in cash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The remaining proceeds, after further deduction for any transaction fees imposed by any governmental or self-regulatory organization in respect of such sales, and reimbursement of expenses that the Agent may be entitled to pursuant to Section 3(g), shall constitute the net proceeds to the Company for such Shares (the “</w:t>
      </w:r>
      <w:r>
        <w:rPr>
          <w:rFonts w:ascii="Times New Roman" w:cs="Times New Roman" w:eastAsia="Times New Roman" w:hAnsi="Times New Roman"/>
          <w:sz w:val="18"/>
          <w:szCs w:val="18"/>
          <w:b w:val="1"/>
          <w:bCs w:val="1"/>
          <w:i w:val="1"/>
          <w:iCs w:val="1"/>
          <w:color w:val="auto"/>
        </w:rPr>
        <w:t>Net Proceeds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60" w:firstLine="1292"/>
        <w:spacing w:after="0" w:line="261" w:lineRule="auto"/>
        <w:tabs>
          <w:tab w:leader="none" w:pos="11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Agent will provide written confirmation to the Company (including by email correspondence to each of the individuals of the Company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no later than the opening of the Trading Day immediately following the Trading Day on which it has made sales of Shares hereunder, setting forth the number of Shares sold on such day, the volume-weighted average price of the Shares sold, and the Net Proceeds payable to the Company.</w:t>
      </w:r>
    </w:p>
    <w:p>
      <w:pPr>
        <w:spacing w:after="0" w:line="39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left="660" w:firstLine="1292"/>
        <w:spacing w:after="0" w:line="253" w:lineRule="auto"/>
        <w:tabs>
          <w:tab w:leader="none" w:pos="231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sold pursuant to this Section 2(a) will be delivered by the Company to the relevant Agent for the account of such Agent, against payment of the Net Proceeds therefor, by wire transfer of same-day funds payable to the order of the Company at the offices of (i) Canaccord Genuity LLC, 99 High Street, Boston, Massachusetts 02110, or (ii) such other location as may be mutually acceptable, at 10:00 a.m. Eastern Time on the second full business day following the date on which such Shares are sold, or at such other time and date as such Agent and the Company determine pursuant to Rule 15c6-1(a) under the Exchange Act, each such time and date of delivery being herein referred to as a “</w:t>
      </w:r>
      <w:r>
        <w:rPr>
          <w:rFonts w:ascii="Times New Roman" w:cs="Times New Roman" w:eastAsia="Times New Roman" w:hAnsi="Times New Roman"/>
          <w:sz w:val="18"/>
          <w:szCs w:val="18"/>
          <w:b w:val="1"/>
          <w:bCs w:val="1"/>
          <w:i w:val="1"/>
          <w:iCs w:val="1"/>
          <w:color w:val="auto"/>
        </w:rPr>
        <w:t>Settlement Date</w:t>
      </w:r>
      <w:r>
        <w:rPr>
          <w:rFonts w:ascii="Times New Roman" w:cs="Times New Roman" w:eastAsia="Times New Roman" w:hAnsi="Times New Roman"/>
          <w:sz w:val="18"/>
          <w:szCs w:val="18"/>
          <w:color w:val="auto"/>
        </w:rPr>
        <w:t>.” If the Agent so elects, delivery of the Shares may be made by credit through full fast transfer to an account or accounts at The Depository Trust Company designated by such Agent. On each Settlement Date, such Agent will deliver the Net Proceeds in same day funds to an account designated by the Company on, or prior to, such Settlement Date. The Company agrees that if the Company, or its transfer agent (if applicable), defaults in its obligation to timely deliver duly authorized Shares on a Settlement Date, the Company agrees that in addition to and in no way limiting the rights and obligations set forth in Section 5 hereto, it will (i) hold the relevant Agent harmless against any loss, claim, damage, or expense (including reasonable legal fees and expenses), as incurred, arising out of or in connection with such default by the Company, (iii) reimburse such Agent for any losses incurred by the Agent attributable, directly or indirectly, to such default and (iii) pay to such Agent any commission or other compensation to which such Agent would otherwise have been entitled absent such default.</w:t>
      </w:r>
    </w:p>
    <w:p>
      <w:pPr>
        <w:spacing w:after="0" w:line="187"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36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neither Agent nor any of its affiliates or subsidiaries shall engage in (i) any short sale of any security of the Company or (ii) any sale of any security of the Company that such Agent does not own or any sale which is consummated by the delivery of a security of the Company borrowed by, or for the account of, such Agent. Neither Agent nor any of its affiliates or subsidiaries shall engage in any proprietary trading or trading for such Agent’s (or its affiliates’ or subsidiaries’) own account.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2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and notwithstanding anything to the contrary herein, Agent agrees that in no event will it or any of its affiliates engage in any market making, bidding, stabilization or other trading activity with regard to the Common Shares if such activity would be prohibited under Regulation M or other anti-manipulation rules under the Securities Act.</w:t>
      </w:r>
    </w:p>
    <w:p>
      <w:pPr>
        <w:spacing w:after="0" w:line="17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Amount</w:t>
      </w:r>
      <w:r>
        <w:rPr>
          <w:rFonts w:ascii="Times New Roman" w:cs="Times New Roman" w:eastAsia="Times New Roman" w:hAnsi="Times New Roman"/>
          <w:sz w:val="18"/>
          <w:szCs w:val="18"/>
          <w:color w:val="auto"/>
        </w:rPr>
        <w:t>. Under no circumstances shall the aggregate number or aggregate value of the Shares sold pursuant to this</w:t>
      </w:r>
    </w:p>
    <w:p>
      <w:pPr>
        <w:spacing w:after="0" w:line="2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 exceed: (i) the aggregate number and aggregate dollar amount of Common Shares available for issuance under the currently effective Registration Statement, (ii) the aggregate dollar amount of Common Shares permitted to be sold under the Company’s effective Registration Statement (including any limit set forth in General Instruction I.B.6 thereof, if applicable) or (iii) the aggregate number or aggregate dollar amount of the Common Shares for which the Company has filed any Prospectus Supplement in connection with the Shares (the lesser of (i), (ii) and (iii)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Amount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Association or Partnership</w:t>
      </w:r>
      <w:r>
        <w:rPr>
          <w:rFonts w:ascii="Times New Roman" w:cs="Times New Roman" w:eastAsia="Times New Roman" w:hAnsi="Times New Roman"/>
          <w:sz w:val="18"/>
          <w:szCs w:val="18"/>
          <w:color w:val="auto"/>
        </w:rPr>
        <w:t>. Nothing herein contained shall constitute the Agent an unincorporated association or partner with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4" w:lineRule="exact"/>
        <w:rPr>
          <w:rFonts w:ascii="Times New Roman" w:cs="Times New Roman" w:eastAsia="Times New Roman" w:hAnsi="Times New Roman"/>
          <w:sz w:val="18"/>
          <w:szCs w:val="18"/>
          <w:color w:val="auto"/>
        </w:rPr>
      </w:pPr>
    </w:p>
    <w:p>
      <w:pPr>
        <w:ind w:firstLine="1304"/>
        <w:spacing w:after="0" w:line="284" w:lineRule="auto"/>
        <w:tabs>
          <w:tab w:leader="none" w:pos="15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Duration</w:t>
      </w:r>
      <w:r>
        <w:rPr>
          <w:rFonts w:ascii="Times New Roman" w:cs="Times New Roman" w:eastAsia="Times New Roman" w:hAnsi="Times New Roman"/>
          <w:sz w:val="18"/>
          <w:szCs w:val="18"/>
          <w:color w:val="auto"/>
        </w:rPr>
        <w:t>. Under no circumstances shall any Shares be sold pursuant to this Agreement after the date which is three years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is first declared effective by the Commission.</w:t>
      </w:r>
    </w:p>
    <w:p>
      <w:pPr>
        <w:spacing w:after="0" w:line="15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Transactions by Agent</w:t>
      </w:r>
      <w:r>
        <w:rPr>
          <w:rFonts w:ascii="Times New Roman" w:cs="Times New Roman" w:eastAsia="Times New Roman" w:hAnsi="Times New Roman"/>
          <w:sz w:val="18"/>
          <w:szCs w:val="18"/>
          <w:color w:val="auto"/>
        </w:rPr>
        <w:t>. The Company acknowledges and agrees that the Agent has informed the Company that the Agent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extent permitted under the Securities Act, the Exchange Act and this Agreement, purchase and sell Common Shares for its own account while this Agreement is in effect,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no sale for its own account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 The Company consents to the Agent trading in the Common Shares for the account of any of its clients at the same time as sales of the Shares occur pursuant to this Agreement.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840" w:hanging="184"/>
        <w:spacing w:after="0"/>
        <w:tabs>
          <w:tab w:leader="none" w:pos="840" w:val="left"/>
        </w:tabs>
        <w:numPr>
          <w:ilvl w:val="0"/>
          <w:numId w:val="2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Covenants of the Company</w:t>
      </w:r>
      <w:r>
        <w:rPr>
          <w:rFonts w:ascii="Times New Roman" w:cs="Times New Roman" w:eastAsia="Times New Roman" w:hAnsi="Times New Roman"/>
          <w:sz w:val="18"/>
          <w:szCs w:val="18"/>
          <w:color w:val="auto"/>
        </w:rPr>
        <w:t>. The Company covenants and agrees with the Agent as follows:</w:t>
      </w:r>
    </w:p>
    <w:p>
      <w:pPr>
        <w:spacing w:after="0" w:line="227" w:lineRule="exact"/>
        <w:rPr>
          <w:rFonts w:ascii="Times New Roman" w:cs="Times New Roman" w:eastAsia="Times New Roman" w:hAnsi="Times New Roman"/>
          <w:sz w:val="18"/>
          <w:szCs w:val="18"/>
          <w:b w:val="1"/>
          <w:bCs w:val="1"/>
          <w:i w:val="1"/>
          <w:iCs w:val="1"/>
          <w:color w:val="auto"/>
        </w:rPr>
      </w:pPr>
    </w:p>
    <w:p>
      <w:pPr>
        <w:jc w:val="both"/>
        <w:ind w:firstLine="1304"/>
        <w:spacing w:after="0" w:line="252" w:lineRule="auto"/>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Registration Statement and Prospectus</w:t>
      </w:r>
      <w:r>
        <w:rPr>
          <w:rFonts w:ascii="Times New Roman" w:cs="Times New Roman" w:eastAsia="Times New Roman" w:hAnsi="Times New Roman"/>
          <w:sz w:val="18"/>
          <w:szCs w:val="18"/>
          <w:color w:val="auto"/>
        </w:rPr>
        <w:t>. After the date of this Agreement and during any period in which a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any Shares is required to be delivered by the Agent under the Securities Act (including in circumstances where such requirement may be satisfied pursuant to Rule 172 under the Securities Act), the Company agrees that it will: (i) notify the Agent promptly of the time when any subsequent amendment to the Registration Statement, other than documents incorporated by reference or amendments not related to the Shares, has been filed with the Commission and/or has become effective or any subsequent supplement to the Prospectus related to the Shares has been filed and of any request by the Commission for any amendment or supplement to the Registration Statement (insofar as it relates to the transactions contemplated hereby) or Prospectus or for additional information; (ii) prepare and file with the Commission, promptly upon the Agent’s request, any amendments or supplements to the Registration Statement or Prospectus that, in the Agent’s reasonable opinion, may be necessary or advisable in connection with the sale of the Shares by the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failure of the Agent to make such request shall not relieve the Company of any obligation or liability hereunder, or affect the Agent’s right to rely on the representations and warranties made by the Company in this Agreement); (iii) not file any amendment or supplement to the Registration Statement or Prospectus, other than documents incorporated by reference, relating to the Shares or a security convertible into the Shares unless a copy thereof has been submitted to the Agent within a reasonable period of time before the filing and the Agent has not reasonably objected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the failure of the Agent to make such objection shall not relieve the Company of any obligation or liability hereunder, or affect the Agent’s right to rely on the representations and warranties made by the Company in this Agreement), (B) the Company has no obligation to provide the Agent any advance copy of such filing or to provide the Agent an opportunity to object to such filing if the filing does not name the Agent or does not relate to a Placement or other transaction contemplated hereunder, and (C) the only remedy that the Agent shall have with respect to the failure by the Company to provide the Agent with such copy or the filing of such amendment or supplement despite the Agent’s objection shall be to cease making sales under this Agreement); (iv) furnish to the Agent at the time of filing thereof a copy of any document that upon filing is deemed to be incorporated by reference into the Registration Statement or Prospectus, except for those documents available via EDGAR; and (iv) cause each amendment or supplement to the Prospectus, other than documents incorporated by reference, to be filed with the Commission as required pursuant to the applicable paragraph of Rule 424(b) of the Securities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Stop Order</w:t>
      </w:r>
      <w:r>
        <w:rPr>
          <w:rFonts w:ascii="Times New Roman" w:cs="Times New Roman" w:eastAsia="Times New Roman" w:hAnsi="Times New Roman"/>
          <w:sz w:val="18"/>
          <w:szCs w:val="18"/>
          <w:color w:val="auto"/>
        </w:rPr>
        <w:t>. The Company will advise the Agent, promptly after it receives notice or obtains knowledge thereof, of the issuance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issuance by the Commission of any stop order suspending the effectiveness of the Registration Statement, of the suspension of the qualification of the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Amendments</w:t>
      </w:r>
      <w:r>
        <w:rPr>
          <w:rFonts w:ascii="Times New Roman" w:cs="Times New Roman" w:eastAsia="Times New Roman" w:hAnsi="Times New Roman"/>
          <w:sz w:val="18"/>
          <w:szCs w:val="18"/>
          <w:color w:val="auto"/>
        </w:rPr>
        <w:t>. During any period in which a Prospectus relating to the Shares is required to be delivered by the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Securities Act with respect to any Placement or pending sale of the Shares, (including in circumstances where such requirement may be satisfied pursuant to Rule 172 under the Securities Act), the Company will comply with all requirements imposed upon it by the Securities Act, as from time to time in force, and to file on or before their respective due dates all reports (taking into account any extensions available under the Exchange Act)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Shares during such period and the Company will promptly amend or supplement the Registration Statement or Prospectus (at the expense of the Company) so as to correct such statement or omission or effect such compliance.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1304"/>
        <w:spacing w:after="0" w:line="258" w:lineRule="auto"/>
        <w:tabs>
          <w:tab w:leader="none" w:pos="15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Qualification of the Shares</w:t>
      </w:r>
      <w:r>
        <w:rPr>
          <w:rFonts w:ascii="Times New Roman" w:cs="Times New Roman" w:eastAsia="Times New Roman" w:hAnsi="Times New Roman"/>
          <w:sz w:val="18"/>
          <w:szCs w:val="18"/>
          <w:color w:val="auto"/>
        </w:rPr>
        <w:t>. The Company shall take or cause to be taken all necessary action to qualify the Shares for sale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laws of such jurisdictions as the Agent reasonably designates and to continue such qualifications in effect so long as required for the distribution of the Shares, except that the Company shall not be required in connection therewith to qualify as a foreign corporation or to execute a general consent to service of process in any state. The Company shall promptly advise the Agent of the receipt by the Company of any notification with respect to the suspension of the qualification of the Shares for offer or sale in any jurisdiction or the initiation or threatening of any proceeding for such purpose.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Copies of Registration Statement and Prospectus</w:t>
      </w:r>
      <w:r>
        <w:rPr>
          <w:rFonts w:ascii="Times New Roman" w:cs="Times New Roman" w:eastAsia="Times New Roman" w:hAnsi="Times New Roman"/>
          <w:sz w:val="18"/>
          <w:szCs w:val="18"/>
          <w:color w:val="auto"/>
        </w:rPr>
        <w:t>. The Company will furnish to the Agent and counsel for the Agent copies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Registration Statement (which will include all consents and exhibits filed therewith), the Prospectus and all amendments and supplements to such documents, in each case as soon as available and in such quantities as the Agent may from time to time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79"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Section 11(a)</w:t>
      </w:r>
      <w:r>
        <w:rPr>
          <w:rFonts w:ascii="Times New Roman" w:cs="Times New Roman" w:eastAsia="Times New Roman" w:hAnsi="Times New Roman"/>
          <w:sz w:val="18"/>
          <w:szCs w:val="18"/>
          <w:color w:val="auto"/>
        </w:rPr>
        <w:t>. The Company will make generally available to its security holders as soon as practicable an earnings statement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 not be audited) covering a 12-month period that shall satisfy the provisions of Section 11(a) of the Securities Act and Rule 158 promulgated thereunder.</w:t>
      </w:r>
    </w:p>
    <w:p>
      <w:pPr>
        <w:spacing w:after="0" w:line="17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Company, whether or not the transactions contemplated hereunder are consummated or this Agreement is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pay or cause to be paid (i) all expenses (including stock or transfer taxes and stamp or similar duties allocated to the respective transferees) incurred in connection with the registration, issue, sale and delivery of the Shares, (ii) all expenses and fees (including, without limitation, fees and expenses of the Company’s accountants and counsel) in connection with the preparation, printing, filing, delivery, and shipping of the Registration Statement (including the financial statements therein and all amendments, schedules, and exhibits thereto), the Shares, the Prospectus and any amendment thereof or supplement thereto, and the producing, word-processing, printing, delivery, and shipping of this Agreement and other underwriting documents or closing documents, including Blue Sky Memoranda (covering the states and other applicable jurisdictions) and including the cost to furnish copies of each thereof to the Agent,</w:t>
      </w:r>
    </w:p>
    <w:p>
      <w:pPr>
        <w:spacing w:after="0" w:line="4" w:lineRule="exact"/>
        <w:rPr>
          <w:rFonts w:ascii="Times New Roman" w:cs="Times New Roman" w:eastAsia="Times New Roman" w:hAnsi="Times New Roman"/>
          <w:sz w:val="18"/>
          <w:szCs w:val="18"/>
          <w:color w:val="auto"/>
        </w:rPr>
      </w:pPr>
    </w:p>
    <w:p>
      <w:pPr>
        <w:jc w:val="both"/>
        <w:ind w:firstLine="8"/>
        <w:spacing w:after="0" w:line="251" w:lineRule="auto"/>
        <w:tabs>
          <w:tab w:leader="none" w:pos="3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filing fees, (iv) all fees and disbursements of the Agent’s counsel incurred in connection with the qualification of the Shares for offering and sale by the Agent or by dealers under the securities or blue sky laws of the states and other jurisdictions which Agent shall designate, (v) the fees and expenses of any transfer agent or registrar, (vi) the filing fees and fees and disbursements of Agent’s counsel incident to any required review and approval by FINRA of the terms of the sale of the Shares, (vii) listing fees, if any, (viii) the cost and expenses of the Company relating to investor presentations or any “roadshow” undertaken in connection with marketing of the Shares, and (ix) all other costs and expenses incident to the performance of its obligations hereunder that are not otherwise specifically provided for herein. The Company agrees to reimburse the reasonable fees and disbursements of Agent’s counsel (A) in the amount of $75,000 upon execution of this Agreement and (B) incurred on a quarterly basis after the date of this Agreement for the purposes of maintaining the Company’s ability to sell Shares pursuant to this Agreement, not to exceed $2,500 per quarter.</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apply the net proceeds from the sale of the Shares in the manner set forth in the Prospectus.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ind w:firstLine="1304"/>
        <w:spacing w:after="0" w:line="256" w:lineRule="auto"/>
        <w:tabs>
          <w:tab w:leader="none" w:pos="15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Future Sales</w:t>
      </w:r>
      <w:r>
        <w:rPr>
          <w:rFonts w:ascii="Times New Roman" w:cs="Times New Roman" w:eastAsia="Times New Roman" w:hAnsi="Times New Roman"/>
          <w:sz w:val="18"/>
          <w:szCs w:val="18"/>
          <w:color w:val="auto"/>
        </w:rPr>
        <w:t>. During the term of this Agreement, without giving the Agent prior written notice as promptly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possible specifying the nature of the proposed sale or disposition so as to permit the Agent to suspend activity under this Agreement for such period of time as requested by the Company the Company will not (i) directly or indirectly, offer to sell, sell, contract to sell, grant any option to sell or otherwise dispose of any Common Shares (other than the Shares offered pursuant to this Agreement) or securities convertible into or exchangeable for</w:t>
      </w:r>
    </w:p>
    <w:p>
      <w:pPr>
        <w:spacing w:after="0" w:line="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Common Shares, warrants or any rights to purchase or acquire Common Shares during the period beginning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immediately prior to the date on which any Placement Notice is delivered to the Agent hereunder and ending on the fifth (5th) Trading Day immediately following the final Settlement Date with respect to Shares sold pursuant to such Placement Notice (or, if the Placement Notice has been terminated or suspended prior to the sale of all Shares covered by a Placement Notice, the date of such suspension or termination); or (ii) directly or indirectly in any other “at-the-market”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later of the termination of this Agreement and the sixtieth (60th) day immediately following the final Settlement Date with respect to Shares sold pursuant to such Placement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be required in connection with the Company’s issuance or sale (either directly or indirectly) of (i) Common Shares, options to purchase Common Shares or Common Shares issuable upon the exercise of options, pursuant to any employee or director stock option or benefits plan, stock ownership plan or dividend reinvestment plan (but not Common Shares subject to a waiver to exceed plan limits in its dividend reinvestment plan) of the Company whether now in effect or hereafter implemented, (ii) Common Shares issuable upon conversion of securities or the exercise of warrants, options or other rights in effect or outstanding, and disclosed in filings by the Company available on EDGAR or otherwise in writing to the Agent; (iii) Common Shares or securities convertible into or exchangeable for Common Shares as consideration for mergers, acquisitions, other business combinations or strategic alliances, or offered and sold in a privately negotiated transaction to vendors, customers, lenders, investors, strategic partners or potential strategic partners, occurring after the date of this Agreement which are not issued primarily for capital raising purposes; and (iv) the Shares offered pursuant to this Agreement.</w:t>
      </w:r>
    </w:p>
    <w:p>
      <w:pPr>
        <w:spacing w:after="0" w:line="197" w:lineRule="exact"/>
        <w:rPr>
          <w:sz w:val="20"/>
          <w:szCs w:val="20"/>
          <w:color w:val="auto"/>
        </w:rPr>
      </w:pPr>
    </w:p>
    <w:p>
      <w:pPr>
        <w:jc w:val="both"/>
        <w:ind w:firstLine="1304"/>
        <w:spacing w:after="0" w:line="255" w:lineRule="auto"/>
        <w:tabs>
          <w:tab w:leader="none" w:pos="15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 or Manipulation</w:t>
      </w:r>
      <w:r>
        <w:rPr>
          <w:rFonts w:ascii="Times New Roman" w:cs="Times New Roman" w:eastAsia="Times New Roman" w:hAnsi="Times New Roman"/>
          <w:sz w:val="18"/>
          <w:szCs w:val="18"/>
          <w:color w:val="auto"/>
        </w:rPr>
        <w:t>. The Company has not taken and will not take, directly or indirectly, any action designed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which might reasonably be expected to cause or result in, or which constitutes: (i) the stabilization or manipulation of the price of the Common Shares or any other security of the Company to facilitate the sale or resale of the Shares, (ii) a violation of Regulation M. The Company shall notify the Agent of any violation of Regulation M by the Company or any of its Subsidiaries or any of their respective officers or directors promptly after the Company has received notice or obtained knowledge of any such violation. The Company shall not invest in futures contracts, options on futures contracts or options on commodities, unless the Company is exempt from the registration requirements of the Commodity Exchange Act, as amended (the </w:t>
      </w:r>
      <w:r>
        <w:rPr>
          <w:rFonts w:ascii="Times New Roman" w:cs="Times New Roman" w:eastAsia="Times New Roman" w:hAnsi="Times New Roman"/>
          <w:sz w:val="18"/>
          <w:szCs w:val="18"/>
          <w:b w:val="1"/>
          <w:bCs w:val="1"/>
          <w:i w:val="1"/>
          <w:iCs w:val="1"/>
          <w:color w:val="auto"/>
        </w:rPr>
        <w:t>“Commodity Act”</w:t>
      </w:r>
      <w:r>
        <w:rPr>
          <w:rFonts w:ascii="Times New Roman" w:cs="Times New Roman" w:eastAsia="Times New Roman" w:hAnsi="Times New Roman"/>
          <w:sz w:val="18"/>
          <w:szCs w:val="18"/>
          <w:color w:val="auto"/>
        </w:rPr>
        <w:t>), or otherwise complies with the Commodity Act. The Company will not engage in any activities bearing on the Commodity Act, unless such activities are exempt from the Commodity Act or otherwise comply with the Commodity Act.</w:t>
      </w:r>
    </w:p>
    <w:p>
      <w:pPr>
        <w:spacing w:after="0" w:line="184" w:lineRule="exact"/>
        <w:rPr>
          <w:rFonts w:ascii="Times New Roman" w:cs="Times New Roman" w:eastAsia="Times New Roman" w:hAnsi="Times New Roman"/>
          <w:sz w:val="18"/>
          <w:szCs w:val="18"/>
          <w:color w:val="auto"/>
        </w:rPr>
      </w:pPr>
    </w:p>
    <w:p>
      <w:pPr>
        <w:ind w:right="20" w:firstLine="1304"/>
        <w:spacing w:after="0" w:line="284" w:lineRule="auto"/>
        <w:tabs>
          <w:tab w:leader="none" w:pos="155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Broker</w:t>
      </w:r>
      <w:r>
        <w:rPr>
          <w:rFonts w:ascii="Times New Roman" w:cs="Times New Roman" w:eastAsia="Times New Roman" w:hAnsi="Times New Roman"/>
          <w:sz w:val="18"/>
          <w:szCs w:val="18"/>
          <w:color w:val="auto"/>
        </w:rPr>
        <w:t>. The Company will not incur any liability for any finder’s or broker’s fee or agent’s commission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execution and delivery of this Agreement, or the consummation of the transactions contemplated hereby.</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Timely Securities Act and Exchange Act Reports</w:t>
      </w:r>
      <w:r>
        <w:rPr>
          <w:rFonts w:ascii="Times New Roman" w:cs="Times New Roman" w:eastAsia="Times New Roman" w:hAnsi="Times New Roman"/>
          <w:sz w:val="18"/>
          <w:szCs w:val="18"/>
          <w:color w:val="auto"/>
        </w:rPr>
        <w:t>. During any prospectus delivery period, the Company will use its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file on a timely basis with the Commission such periodic and special reports as required by the Securities Act and the Exchange Act.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2" w:name="page23"/>
    <w:bookmarkEnd w:id="22"/>
    <w:p>
      <w:pPr>
        <w:jc w:val="both"/>
        <w:ind w:firstLine="1304"/>
        <w:spacing w:after="0" w:line="255" w:lineRule="auto"/>
        <w:tabs>
          <w:tab w:leader="none" w:pos="160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w:t>
      </w:r>
      <w:r>
        <w:rPr>
          <w:rFonts w:ascii="Times New Roman" w:cs="Times New Roman" w:eastAsia="Times New Roman" w:hAnsi="Times New Roman"/>
          <w:sz w:val="18"/>
          <w:szCs w:val="18"/>
          <w:color w:val="auto"/>
        </w:rPr>
        <w:t>. The Company and its Subsidiaries will maintain such controls and other procedures, including without limitation,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its principal financial officer, or persons performing similar functions, as appropriate to allow timely decisions regarding required disclosure, to ensure that material information relating to Company, including its Subsidiaries, is made known to them by others within those entities.</w:t>
      </w:r>
    </w:p>
    <w:p>
      <w:pPr>
        <w:spacing w:after="0" w:line="18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Permitted Free Writing Prospectus</w:t>
      </w:r>
      <w:r>
        <w:rPr>
          <w:rFonts w:ascii="Times New Roman" w:cs="Times New Roman" w:eastAsia="Times New Roman" w:hAnsi="Times New Roman"/>
          <w:sz w:val="18"/>
          <w:szCs w:val="18"/>
          <w:color w:val="auto"/>
        </w:rPr>
        <w:t>. The Company represents and agrees that, unless it obtains the prior written consent of the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the Agent represents and agrees that, unless it obtains the prior written consent of the Company, Agent has not made and will not make any offer relating to the Shares that would constitute an “issuer free writing prospectus,” as defined in Rule 433 under the Securities Act, or that would otherwise constitute a “free writing prospectus,” as defined in Rule 405 under the Securities Act, required to be filed with the Commission. Any such free writing prospectus consented to by the Company and the Agent is hereinafter referred to as a </w:t>
      </w:r>
      <w:r>
        <w:rPr>
          <w:rFonts w:ascii="Times New Roman" w:cs="Times New Roman" w:eastAsia="Times New Roman" w:hAnsi="Times New Roman"/>
          <w:sz w:val="18"/>
          <w:szCs w:val="18"/>
          <w:b w:val="1"/>
          <w:bCs w:val="1"/>
          <w:i w:val="1"/>
          <w:iCs w:val="1"/>
          <w:color w:val="auto"/>
        </w:rPr>
        <w:t>“Permitted Free Writing Prospectus.”</w:t>
      </w:r>
      <w:r>
        <w:rPr>
          <w:rFonts w:ascii="Times New Roman" w:cs="Times New Roman" w:eastAsia="Times New Roman" w:hAnsi="Times New Roman"/>
          <w:sz w:val="18"/>
          <w:szCs w:val="18"/>
          <w:color w:val="auto"/>
        </w:rPr>
        <w:t xml:space="preserve">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Commission filing where required, legending and record keeping.</w:t>
      </w:r>
    </w:p>
    <w:p>
      <w:pPr>
        <w:spacing w:after="0" w:line="18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 and Opinion of Counsel</w:t>
      </w:r>
      <w:r>
        <w:rPr>
          <w:rFonts w:ascii="Times New Roman" w:cs="Times New Roman" w:eastAsia="Times New Roman" w:hAnsi="Times New Roman"/>
          <w:sz w:val="18"/>
          <w:szCs w:val="18"/>
          <w:color w:val="auto"/>
        </w:rPr>
        <w:t>. Prior to the date of the first Placement Notice, and thereafter during the term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each time the Company (A) files an amendment to the Registration Statement or Prospectus (other than relating solely to the offering of securities other than the Shares), (B) files an annual report on Form 10-K under the Exchange Act or files its quarterly reports on Form 10-Q under the Exchange Act; and (C) files a report on Form 8-K containing amended financial statements (other than an earnings release) under the Exchange Act, (each of the dates in (A), (B) and (C) are referred to herein as a “</w:t>
      </w:r>
      <w:r>
        <w:rPr>
          <w:rFonts w:ascii="Times New Roman" w:cs="Times New Roman" w:eastAsia="Times New Roman" w:hAnsi="Times New Roman"/>
          <w:sz w:val="18"/>
          <w:szCs w:val="18"/>
          <w:b w:val="1"/>
          <w:bCs w:val="1"/>
          <w:i w:val="1"/>
          <w:iCs w:val="1"/>
          <w:color w:val="auto"/>
        </w:rPr>
        <w:t>Representation Date</w:t>
      </w:r>
      <w:r>
        <w:rPr>
          <w:rFonts w:ascii="Times New Roman" w:cs="Times New Roman" w:eastAsia="Times New Roman" w:hAnsi="Times New Roman"/>
          <w:sz w:val="18"/>
          <w:szCs w:val="18"/>
          <w:color w:val="auto"/>
        </w:rPr>
        <w:t>”), the Company shall cause each of (i) Burns &amp; Levinson LLP, counsel for the Company, and (ii) Sherman &amp; Howard L.L.C., special Nevada counsel to the Company, to furnish to the Agent the opinion of such counsel and, in the case of Burns &amp; Levinson LLP, the negative assurance statement of such counsel, dated as of such date and addressed to Agent, in form and substance reasonably satisfactory to the Agent.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foregoing, the requirement to provide counsel opinions under this Section 3(o) shall be waived for any Representation Date occurring at a time at which no Placement Notice is pending, which waiver shall continue until the date the Company delivers a Placement Notice to the Agent. Notwithstanding the foregoing, if the Company subsequently decides to sell Shares following a Representation Date when the Company relied on such waiver and did not provide the Agent with opinions under this Section 3(o), then before the Agent sells any Shares pursuant to Section 2(a), the Company shall cause the opinions (including the opinion pursuant to Section 3(o) if not delivered on the date of the prior Form 10-K), comfort letter, certificates and documents that would be delivered on a Representation Date to be delivered.</w:t>
      </w:r>
    </w:p>
    <w:p>
      <w:pPr>
        <w:spacing w:after="0" w:line="185" w:lineRule="exact"/>
        <w:rPr>
          <w:sz w:val="20"/>
          <w:szCs w:val="20"/>
          <w:color w:val="auto"/>
        </w:rPr>
      </w:pPr>
    </w:p>
    <w:p>
      <w:pPr>
        <w:jc w:val="both"/>
        <w:ind w:firstLine="1304"/>
        <w:spacing w:after="0" w:line="256" w:lineRule="auto"/>
        <w:tabs>
          <w:tab w:leader="none" w:pos="15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 and Comfort Letter</w:t>
      </w:r>
      <w:r>
        <w:rPr>
          <w:rFonts w:ascii="Times New Roman" w:cs="Times New Roman" w:eastAsia="Times New Roman" w:hAnsi="Times New Roman"/>
          <w:sz w:val="18"/>
          <w:szCs w:val="18"/>
          <w:color w:val="auto"/>
        </w:rPr>
        <w:t>. Prior to the date of the first Placement Notice and thereafter during the term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on each Representation Date to which a waiver does not apply, the Company shall cause each of (i) Marcum LLP or other independent accountants satisfactory to the Agent and (ii) Baker Tilly US LLP, to deliver to the Agent a letter, dated as of such date and addressed to Agent, confirming that they are independent public accountants within the meaning of the Securities Act and are in compliance with the applicable requirements relating to the qualifications of accountants under Rule 2-01 of Regulation S-X of the Commission, and stating the conclusions and findings of said firm with respect to the financial information and other matters covered by its letter in form and substance satisfactory to the Agent of the same tenor as the first such letter received hereunder.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3" w:name="page24"/>
    <w:bookmarkEnd w:id="23"/>
    <w:p>
      <w:pPr>
        <w:jc w:val="both"/>
        <w:ind w:firstLine="1304"/>
        <w:spacing w:after="0" w:line="261" w:lineRule="auto"/>
        <w:tabs>
          <w:tab w:leader="none" w:pos="155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Date and Representation Certificate</w:t>
      </w:r>
      <w:r>
        <w:rPr>
          <w:rFonts w:ascii="Times New Roman" w:cs="Times New Roman" w:eastAsia="Times New Roman" w:hAnsi="Times New Roman"/>
          <w:sz w:val="18"/>
          <w:szCs w:val="18"/>
          <w:color w:val="auto"/>
        </w:rPr>
        <w:t>. Prior to the date of the First Placement Notice and thereafter during the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Agreement, on each Representation Date to which a waiver does not apply, the Company shall furnish to the Agent a certificate (the </w:t>
      </w:r>
      <w:r>
        <w:rPr>
          <w:rFonts w:ascii="Times New Roman" w:cs="Times New Roman" w:eastAsia="Times New Roman" w:hAnsi="Times New Roman"/>
          <w:sz w:val="18"/>
          <w:szCs w:val="18"/>
          <w:b w:val="1"/>
          <w:bCs w:val="1"/>
          <w:i w:val="1"/>
          <w:iCs w:val="1"/>
          <w:color w:val="auto"/>
        </w:rPr>
        <w:t>“Representation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substantially in the form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dated as of such date, addressed to the Agent and signed by the chief executive officer and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or chief accounting officer of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2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of Shares Sold</w:t>
      </w:r>
      <w:r>
        <w:rPr>
          <w:rFonts w:ascii="Times New Roman" w:cs="Times New Roman" w:eastAsia="Times New Roman" w:hAnsi="Times New Roman"/>
          <w:sz w:val="18"/>
          <w:szCs w:val="18"/>
          <w:color w:val="auto"/>
        </w:rPr>
        <w:t>. The Company shall disclose in its quarterly reports on Form 10-Q and in its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the Shares sold through the Agent under this Agreement, the net proceeds to the Company and the compensation paid by the Company with respect to sales of the Shares pursuant to this Agreement during the relevant quarter.</w:t>
      </w:r>
    </w:p>
    <w:p>
      <w:pPr>
        <w:spacing w:after="0" w:line="17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Continued Listing of Shares</w:t>
      </w:r>
      <w:r>
        <w:rPr>
          <w:rFonts w:ascii="Times New Roman" w:cs="Times New Roman" w:eastAsia="Times New Roman" w:hAnsi="Times New Roman"/>
          <w:sz w:val="17"/>
          <w:szCs w:val="17"/>
          <w:color w:val="auto"/>
        </w:rPr>
        <w:t>. The Company shall use its commercially reasonable efforts to maintain the listing of the Common Shares</w:t>
      </w:r>
    </w:p>
    <w:p>
      <w:pPr>
        <w:spacing w:after="0" w:line="4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the Exchange.</w:t>
      </w:r>
    </w:p>
    <w:p>
      <w:pPr>
        <w:spacing w:after="0" w:line="204" w:lineRule="exact"/>
        <w:rPr>
          <w:rFonts w:ascii="Times New Roman" w:cs="Times New Roman" w:eastAsia="Times New Roman" w:hAnsi="Times New Roman"/>
          <w:sz w:val="17"/>
          <w:szCs w:val="17"/>
          <w:color w:val="auto"/>
        </w:rPr>
      </w:pPr>
    </w:p>
    <w:p>
      <w:pPr>
        <w:jc w:val="both"/>
        <w:ind w:firstLine="1304"/>
        <w:spacing w:after="0" w:line="267" w:lineRule="auto"/>
        <w:tabs>
          <w:tab w:leader="none" w:pos="15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Changes</w:t>
      </w:r>
      <w:r>
        <w:rPr>
          <w:rFonts w:ascii="Times New Roman" w:cs="Times New Roman" w:eastAsia="Times New Roman" w:hAnsi="Times New Roman"/>
          <w:sz w:val="18"/>
          <w:szCs w:val="18"/>
          <w:color w:val="auto"/>
        </w:rPr>
        <w:t>. At any time during the term of this Agreement, as supplemented from time to time, the Company shall advise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immediately after it shall have received notice or obtain knowledge thereof, of any information or fact that would alter or affect any opinion, certificate, letter and other document provided to the Agent pursuant to this Section 3.</w:t>
      </w:r>
    </w:p>
    <w:p>
      <w:pPr>
        <w:spacing w:after="0" w:line="173"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Amount</w:t>
      </w:r>
      <w:r>
        <w:rPr>
          <w:rFonts w:ascii="Times New Roman" w:cs="Times New Roman" w:eastAsia="Times New Roman" w:hAnsi="Times New Roman"/>
          <w:sz w:val="18"/>
          <w:szCs w:val="18"/>
          <w:color w:val="auto"/>
        </w:rPr>
        <w:t>. The Company will not instruct the Agent to sell or otherwise attempt to sell Shares in excess of the Maximum</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w:t>
      </w:r>
    </w:p>
    <w:p>
      <w:pPr>
        <w:spacing w:after="0" w:line="202" w:lineRule="exact"/>
        <w:rPr>
          <w:rFonts w:ascii="Times New Roman" w:cs="Times New Roman" w:eastAsia="Times New Roman" w:hAnsi="Times New Roman"/>
          <w:sz w:val="18"/>
          <w:szCs w:val="18"/>
          <w:color w:val="auto"/>
        </w:rPr>
      </w:pPr>
    </w:p>
    <w:p>
      <w:pPr>
        <w:jc w:val="both"/>
        <w:ind w:firstLine="656"/>
        <w:spacing w:after="0" w:line="262" w:lineRule="auto"/>
        <w:tabs>
          <w:tab w:leader="none" w:pos="841"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Conditions of Agent’s Obligations</w:t>
      </w:r>
      <w:r>
        <w:rPr>
          <w:rFonts w:ascii="Times New Roman" w:cs="Times New Roman" w:eastAsia="Times New Roman" w:hAnsi="Times New Roman"/>
          <w:sz w:val="18"/>
          <w:szCs w:val="18"/>
          <w:color w:val="auto"/>
        </w:rPr>
        <w:t>. The obligations of the Agent hereunder are subject to (i) the accuracy, as of the Effective Time,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Representation Date, each Time of Sale, and each Filing Date (in each case, as if made at such date) of and compliance with all representations, warranties and agreements of the Company contained herein, (ii) the performance by the Company of its obligations hereunder and (iii) the following additional conditions:</w:t>
      </w:r>
    </w:p>
    <w:p>
      <w:pPr>
        <w:spacing w:after="0" w:line="178" w:lineRule="exact"/>
        <w:rPr>
          <w:rFonts w:ascii="Times New Roman" w:cs="Times New Roman" w:eastAsia="Times New Roman" w:hAnsi="Times New Roman"/>
          <w:sz w:val="18"/>
          <w:szCs w:val="18"/>
          <w:b w:val="1"/>
          <w:bCs w:val="1"/>
          <w:i w:val="1"/>
          <w:iCs w:val="1"/>
          <w:color w:val="auto"/>
        </w:rPr>
      </w:pPr>
    </w:p>
    <w:p>
      <w:pPr>
        <w:jc w:val="both"/>
        <w:ind w:firstLine="1304"/>
        <w:spacing w:after="0" w:line="256" w:lineRule="auto"/>
        <w:tabs>
          <w:tab w:leader="none" w:pos="15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Amendments; No Stop Order</w:t>
      </w:r>
      <w:r>
        <w:rPr>
          <w:rFonts w:ascii="Times New Roman" w:cs="Times New Roman" w:eastAsia="Times New Roman" w:hAnsi="Times New Roman"/>
          <w:sz w:val="18"/>
          <w:szCs w:val="18"/>
          <w:color w:val="auto"/>
        </w:rPr>
        <w:t>. If filing of the Prospectus, or any amendment or supplement thereto, or any Permitted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is required under the Securities Act, the Company shall have filed the Prospectus (or such amendment or supplement) or such Permitted Free Writing Prospectus with the Commission in the manner and within the time period so required (without reliance on Rule 424(b)(8) or Rule 164(b)); the Registration Statement shall be effective; no stop order suspending the effectiveness of the Registration Statement or any part thereof, any Rule 462(b) Registration Statement, or any amendment thereof, nor suspending or preventing the use of the Prospectus shall have been issued; no proceedings for the issuance of such an order shall have been initiated or threatened; and any request of the Commission for additional information (to be included in the Registration Statement, the Prospectus or otherwise) shall have been complied with to the Agent’s satisfaction.</w:t>
      </w:r>
    </w:p>
    <w:p>
      <w:pPr>
        <w:spacing w:after="0" w:line="182"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Certain Events</w:t>
      </w:r>
      <w:r>
        <w:rPr>
          <w:rFonts w:ascii="Times New Roman" w:cs="Times New Roman" w:eastAsia="Times New Roman" w:hAnsi="Times New Roman"/>
          <w:sz w:val="18"/>
          <w:szCs w:val="18"/>
          <w:color w:val="auto"/>
        </w:rPr>
        <w:t>. None of the following events shall have occurred and be continuing: (i) receipt by the Company or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Shares for sale in any jurisdiction or the initiation or threatening of any proceeding for such purpose;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1304"/>
        <w:spacing w:after="0" w:line="267" w:lineRule="auto"/>
        <w:tabs>
          <w:tab w:leader="none" w:pos="15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Misstatement or Omission</w:t>
      </w:r>
      <w:r>
        <w:rPr>
          <w:rFonts w:ascii="Times New Roman" w:cs="Times New Roman" w:eastAsia="Times New Roman" w:hAnsi="Times New Roman"/>
          <w:sz w:val="18"/>
          <w:szCs w:val="18"/>
          <w:color w:val="auto"/>
        </w:rPr>
        <w:t>. The Agent shall not have advised the Company that the Registration Statement or any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contains an untrue statement of fact which, in the Agent’s opinion, is material, or omits to state a fact which, in the Agent’s opinion, is material and is required to be stated therein or necessary to make the statements therein not misleading.</w:t>
      </w:r>
    </w:p>
    <w:p>
      <w:pPr>
        <w:spacing w:after="0" w:line="17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Adverse Changes</w:t>
      </w:r>
      <w:r>
        <w:rPr>
          <w:rFonts w:ascii="Times New Roman" w:cs="Times New Roman" w:eastAsia="Times New Roman" w:hAnsi="Times New Roman"/>
          <w:sz w:val="18"/>
          <w:szCs w:val="18"/>
          <w:color w:val="auto"/>
        </w:rPr>
        <w:t>. Except as contemplated in the Prospectus, subsequent to the respective dates as of which information is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Prospectus, neither the Company nor any of its Subsidiaries shall have incurred any material liabilities or obligations, direct or contingent, or entered into any material transactions, or declared or paid any dividends or made any distribution of any kind with respect to its capital stock; and there shall not have been any change in the capital stock (other than a change in the number of outstanding Common Shares due to the issuance of shares upon the exercise of outstanding options or warrants), or any material change in the short-term or long-term debt of the Company, or any issuance of options, warrants, convertible securities or other rights to purchase the capital stock of the Company or any of its Subsidiaries, or any development involving a prospective Material Adverse Effect (whether or not arising in the ordinary course of business), or any loss by strike, fire, flood, earthquake, accident or other calamity, whether or not covered by insurance, incurred by the Company or any Subsidiary, the effect of which, in any such case described above, in the Agent’s judgment, makes it impractical or inadvisable to offer or deliver the Shares on the terms and in the manner contemplated in the Prospectus.</w:t>
      </w:r>
    </w:p>
    <w:p>
      <w:pPr>
        <w:spacing w:after="0" w:line="188"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Certain Obligations</w:t>
      </w:r>
      <w:r>
        <w:rPr>
          <w:rFonts w:ascii="Times New Roman" w:cs="Times New Roman" w:eastAsia="Times New Roman" w:hAnsi="Times New Roman"/>
          <w:sz w:val="18"/>
          <w:szCs w:val="18"/>
          <w:color w:val="auto"/>
        </w:rPr>
        <w:t>. The Company shall have performed each of its obligations under Sections 3(o) – 3(q).</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Assurance of Agent Counsel</w:t>
      </w:r>
      <w:r>
        <w:rPr>
          <w:rFonts w:ascii="Times New Roman" w:cs="Times New Roman" w:eastAsia="Times New Roman" w:hAnsi="Times New Roman"/>
          <w:sz w:val="18"/>
          <w:szCs w:val="18"/>
          <w:color w:val="auto"/>
        </w:rPr>
        <w:t>. On each Representation Date to which a waiver does not apply, there shall have been furnished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Agent the negative assurance letter of Goodwin Procter LLP, counsel for the Agent, dated as of such Representation Date and addressed to Agent, in a form reasonably satisfactory to the Agent, and such counsel shall have received such papers and information as they request to enable them to pass upon such matters.</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 Certificate</w:t>
      </w:r>
      <w:r>
        <w:rPr>
          <w:rFonts w:ascii="Times New Roman" w:cs="Times New Roman" w:eastAsia="Times New Roman" w:hAnsi="Times New Roman"/>
          <w:sz w:val="18"/>
          <w:szCs w:val="18"/>
          <w:color w:val="auto"/>
        </w:rPr>
        <w:t>. On or prior to the first Placement Notice, the Agent shall have received the Representation Certificate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and substance satisfactory to the Agent and its counsel.</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Objection by FINRA</w:t>
      </w:r>
      <w:r>
        <w:rPr>
          <w:rFonts w:ascii="Times New Roman" w:cs="Times New Roman" w:eastAsia="Times New Roman" w:hAnsi="Times New Roman"/>
          <w:sz w:val="18"/>
          <w:szCs w:val="18"/>
          <w:color w:val="auto"/>
        </w:rPr>
        <w:t>. The Financial Industry Regulatory Authority, Inc. shall have raised no objection to the fairness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reasonableness of the underwriting terms and arrangements.</w:t>
      </w:r>
    </w:p>
    <w:p>
      <w:pPr>
        <w:spacing w:after="0" w:line="158"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1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Timely Filing of Prospectus and Prospectus Supplement</w:t>
      </w:r>
      <w:r>
        <w:rPr>
          <w:rFonts w:ascii="Times New Roman" w:cs="Times New Roman" w:eastAsia="Times New Roman" w:hAnsi="Times New Roman"/>
          <w:sz w:val="18"/>
          <w:szCs w:val="18"/>
          <w:color w:val="auto"/>
        </w:rPr>
        <w:t>. All filings with the Commission required by Rule 424 under the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to have been filed by the Settlement Date, as the case may be, shall have been made within the applicable time period prescribed for such filing by Rule 424.</w:t>
      </w:r>
    </w:p>
    <w:p>
      <w:pPr>
        <w:spacing w:after="0" w:line="173"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Documents and Certificates</w:t>
      </w:r>
      <w:r>
        <w:rPr>
          <w:rFonts w:ascii="Times New Roman" w:cs="Times New Roman" w:eastAsia="Times New Roman" w:hAnsi="Times New Roman"/>
          <w:sz w:val="18"/>
          <w:szCs w:val="18"/>
          <w:color w:val="auto"/>
        </w:rPr>
        <w:t>. The Company shall have furnished to Agent and the Agent’s counsel such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certificates and evidence as they may have reasonably requested.</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All opinions, certificates, letters and other documents described in this Section 4 will be in compliance with the provisions hereof only if they are satisfactory in form and substance to Agent and the Agent’s counsel. The Company will furnish Agent with such conformed copies of such opinions, certificates, letters and other documents as Agent shall reasonably request.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ind w:left="840" w:hanging="184"/>
        <w:spacing w:after="0"/>
        <w:tabs>
          <w:tab w:leader="none" w:pos="840" w:val="left"/>
        </w:tabs>
        <w:numPr>
          <w:ilvl w:val="0"/>
          <w:numId w:val="3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Indemnification and Contribution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i w:val="1"/>
          <w:iCs w:val="1"/>
          <w:color w:val="auto"/>
        </w:rPr>
      </w:pPr>
    </w:p>
    <w:p>
      <w:pPr>
        <w:jc w:val="both"/>
        <w:ind w:firstLine="1304"/>
        <w:spacing w:after="0" w:line="261" w:lineRule="auto"/>
        <w:tabs>
          <w:tab w:leader="none" w:pos="15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Indemnification</w:t>
      </w:r>
      <w:r>
        <w:rPr>
          <w:rFonts w:ascii="Times New Roman" w:cs="Times New Roman" w:eastAsia="Times New Roman" w:hAnsi="Times New Roman"/>
          <w:sz w:val="18"/>
          <w:szCs w:val="18"/>
          <w:color w:val="auto"/>
        </w:rPr>
        <w:t>. The Company agrees to indemnify and hold harmless the Agent, its affiliates, directors, officers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each person, if any, who controls the Agent within the meaning of Section 15 of the Act or Section 20 of the Exchange Act against any losses, claims, damages or liabilities, joint or several, to which Agent may become subject, under the Securities Act or otherwise (including in settlement of any litigation), insofar as such losses, claims, damages or liabilities (or actions in respect thereof) arise out of or are based upon, in whole or in part:</w:t>
      </w:r>
    </w:p>
    <w:p>
      <w:pPr>
        <w:spacing w:after="0" w:line="182" w:lineRule="exact"/>
        <w:rPr>
          <w:sz w:val="20"/>
          <w:szCs w:val="20"/>
          <w:color w:val="auto"/>
        </w:rPr>
      </w:pPr>
    </w:p>
    <w:p>
      <w:pPr>
        <w:jc w:val="both"/>
        <w:ind w:firstLine="1304"/>
        <w:spacing w:after="0" w:line="256" w:lineRule="auto"/>
        <w:tabs>
          <w:tab w:leader="none" w:pos="15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untrue statement or alleged untrue statement of a material fact contained in the Registration Statement, including the 430B Information and at any subsequent time pursuant to Rules 430A and 430B promulgated under the Securities Act, and any other information deemed to be part of the Registration Statement at the time of effectiveness, and at any subsequent time pursuant to the Securities Act or the Exchange Act, and the Prospectus, or any amendment or supplement thereto (including any documents filed under the Exchange Act and deemed to be incorporated by reference into the Prospectus), any Permitted Free Writing Prospectus, or any roadshow as defined in Rule 433(h) under the Act (a </w:t>
      </w:r>
      <w:r>
        <w:rPr>
          <w:rFonts w:ascii="Times New Roman" w:cs="Times New Roman" w:eastAsia="Times New Roman" w:hAnsi="Times New Roman"/>
          <w:sz w:val="18"/>
          <w:szCs w:val="18"/>
          <w:b w:val="1"/>
          <w:bCs w:val="1"/>
          <w:i w:val="1"/>
          <w:iCs w:val="1"/>
          <w:color w:val="auto"/>
        </w:rPr>
        <w:t>“road show”</w:t>
      </w:r>
      <w:r>
        <w:rPr>
          <w:rFonts w:ascii="Times New Roman" w:cs="Times New Roman" w:eastAsia="Times New Roman" w:hAnsi="Times New Roman"/>
          <w:sz w:val="18"/>
          <w:szCs w:val="18"/>
          <w:color w:val="auto"/>
        </w:rPr>
        <w:t>), or an omission or alleged omission to state therein a material fact required to be stated therein or necessary to make the statements therein not misleading,</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inaccuracy in the representations and warranties of the Company contained herein;</w:t>
      </w:r>
    </w:p>
    <w:p>
      <w:pPr>
        <w:spacing w:after="0" w:line="225" w:lineRule="exact"/>
        <w:rPr>
          <w:sz w:val="20"/>
          <w:szCs w:val="20"/>
          <w:color w:val="auto"/>
        </w:rPr>
      </w:pPr>
    </w:p>
    <w:p>
      <w:pPr>
        <w:ind w:firstLine="1304"/>
        <w:spacing w:after="0" w:line="282" w:lineRule="auto"/>
        <w:tabs>
          <w:tab w:leader="none" w:pos="15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investigation or proceeding by any governmental authority, commenced or threatened (whether or not the Agent is a target of or party to such investigation or proceeding);</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Company to perform its respective obligations hereunder or under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and will reimburse the Agent for any legal or other expenses reasonably incurred by it in connection with investigating or defending against such loss, claim, damage, liability or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liable in any such case of (i) through (iv) to the extent that any such loss, claim, damage, liability or action arises out of or is based upon an untrue statement or alleged untrue statement or omission or alleged omission made in the Registration Statement, the Prospectus, or any such amendment or supplement, in reliance upon and in conformity with written information furnished to the Company by Agent specifically for use in the preparation thereof. “</w:t>
      </w:r>
      <w:r>
        <w:rPr>
          <w:rFonts w:ascii="Times New Roman" w:cs="Times New Roman" w:eastAsia="Times New Roman" w:hAnsi="Times New Roman"/>
          <w:sz w:val="18"/>
          <w:szCs w:val="18"/>
          <w:b w:val="1"/>
          <w:bCs w:val="1"/>
          <w:i w:val="1"/>
          <w:iCs w:val="1"/>
          <w:color w:val="auto"/>
        </w:rPr>
        <w:t>430B Information</w:t>
      </w:r>
      <w:r>
        <w:rPr>
          <w:rFonts w:ascii="Times New Roman" w:cs="Times New Roman" w:eastAsia="Times New Roman" w:hAnsi="Times New Roman"/>
          <w:sz w:val="18"/>
          <w:szCs w:val="18"/>
          <w:color w:val="auto"/>
        </w:rPr>
        <w:t>,” as used herein, means information with respect to the Shares and the offering thereof permitted to be omitted from the Registration Statement when it becomes effective pursuant to Rule 430B.</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In addition to its other obligations under this Section 5(a), the Company agrees that, as an interim measure during the pendency of any claim, action, investigation, inquiry or other proceeding arising out of or based upon any statement or omission, or any alleged statement or omission, described in this Section 5(a), it will reimburse the Agent on a monthly basis for all reasonable legal fees or other expenses incurred in connection with investigating or defending any such claim, action, investigation, inquiry or other proceeding, notwithstanding the absence of a judicial determination as to the propriety and enforceability of the Company’s obligation to reimburse the Agent for such expenses and the possibility that such payments might later be held to have been improper by a court of competent jurisdiction. Any such interim reimbursement payments which are not made to the Agent within 30 days of a request for reimbursement shall bear interest at the WSJ Prime Rate (as published from time to time by the Wall Street Journal).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both"/>
        <w:ind w:firstLine="1304"/>
        <w:spacing w:after="0" w:line="254"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Agent Indemnification</w:t>
      </w:r>
      <w:r>
        <w:rPr>
          <w:rFonts w:ascii="Times New Roman" w:cs="Times New Roman" w:eastAsia="Times New Roman" w:hAnsi="Times New Roman"/>
          <w:sz w:val="18"/>
          <w:szCs w:val="18"/>
          <w:color w:val="auto"/>
        </w:rPr>
        <w:t>. The Agent will indemnify and hold harmless the Company against any losses, claims, damages or liabilities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become subject, under the Securities Act or otherwise (including in settlement of any litigation, if such settlement is effected with the written consent of the Agent), but only insofar as such losses, claims, damages or liabilities (or actions in respect thereof) arise out of or are based upon an untrue statement or alleged untrue statement of a material fact contained in the Registration Statement, the Prospectus,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conformity with written information furnished to the Company by the Agent specifically for use in the preparation thereof, it being understood and agreed that the only information furnished by the Agent for use in the Registration Statement or the Prospectus consists of the statements set forth in the last paragraph under the caption “Plan of Distribution” in the Prospectus, and will reimburse the Company for any legal or other expenses reasonably incurred by the Company in connection with investigating or defending against any such loss, claim, damage, liability or action.</w:t>
      </w:r>
    </w:p>
    <w:p>
      <w:pPr>
        <w:spacing w:after="0" w:line="18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and Procedures</w:t>
      </w:r>
      <w:r>
        <w:rPr>
          <w:rFonts w:ascii="Times New Roman" w:cs="Times New Roman" w:eastAsia="Times New Roman" w:hAnsi="Times New Roman"/>
          <w:sz w:val="18"/>
          <w:szCs w:val="18"/>
          <w:color w:val="auto"/>
        </w:rPr>
        <w:t>. Promptly after receipt by an indemnified party under subsection (a) or (b) above of notice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the indemnifying party from any liability that it may have to any indemnified party except to the extent such indemnifying party has been materially prejudiced by such failure. In case any such action shall be brought against any indemnified party, and it shall notify the indemnifying party of the commencement thereof, the indemnifying party shall be entitled to participate in, and, to the extent that it shall wish, jointly with any other indemnifying party similarly notified, to assume the defense thereof, with counsel reasonably satisfactory to such indemnified party, and after notice from the indemnifying party to such indemnified party of the indemnifying party’s election so to assume the defense thereof, the indemnifying party shall not be liable to such indemnified party under such subsection for any legal or other expenses subsequently incurred by such indemnified party in connection with the defense thereof other than reasonable costs of investigation;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in the sole judgment of the Agent, it is advisable for the Agent to be represented by separate counsel, the Agent shall have the right to employ a single counsel to represent the Agent, in which event the reasonable fees and expenses of such separate counsel shall be borne by the indemnifying party or parties and reimbursed to the Agent as incurred (in accordance with the provisions of the second paragraph in subsection (a) above).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The indemnifying party under this Section 5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this Section 5, the indemnifying party agrees that it shall be liable for any settlement of any proceeding effected without its written consent if (i) such settlement is entered into more than 30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7" w:name="page28"/>
    <w:bookmarkEnd w:id="27"/>
    <w:p>
      <w:pPr>
        <w:jc w:val="both"/>
        <w:ind w:firstLine="1304"/>
        <w:spacing w:after="0" w:line="252" w:lineRule="auto"/>
        <w:tabs>
          <w:tab w:leader="none" w:pos="15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 Limitations on Liability; Non-Exclusive Remedy</w:t>
      </w:r>
      <w:r>
        <w:rPr>
          <w:rFonts w:ascii="Times New Roman" w:cs="Times New Roman" w:eastAsia="Times New Roman" w:hAnsi="Times New Roman"/>
          <w:sz w:val="18"/>
          <w:szCs w:val="18"/>
          <w:color w:val="auto"/>
        </w:rPr>
        <w:t>. If the indemnification provided for in this Section 5 is unavailable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to hold harmless an indemnified 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Agent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in connection with the statements or omissions that resulted in such losses, claims, damages or liabilities, as well as any other relevant equitable considerations. The relative benefits received by the Company on the one hand and the Agent on the other shall be deemed to be in the same proportion as the total net proceeds from the offering (before deducting expenses) received by the Company bear to the total commissions received by the Agent (before deducting expenses) from the sale of the Shares. The relative fault shall be determined by reference to, among other things, whether the untrue or alleged untrue statement of a material fact or the omission or alleged omission to state a material fact relates to information supplied by the Company or the Agent, the intent of the parties and their relative knowledge, access to information and opportunity to correct or prevent such untrue statement or omission. The Company and the Agent agree that it would not be just and equitable if contributions pursuant to this subsection (d) were to be determined by pro rata allocation or by any other method of allocation which does not take account of the equitable considerations referred to in this subsection (d). The amount paid or payable by an indemnified party as a result of the losses, claims, damages or liabilities referred to in this subsection (d) shall be deemed to include any legal or other expenses reasonably incurred by such indemnified party in connection with investigating or defending against any action or claim which is the subject of this subsection (d). Notwithstanding the provisions of this subsection (d), the Agent shall not be required to contribute any amount in excess of the commissions received by it under this Agreement. No person guilty of fraudulent misrepresentation (within the meaning of Section 11(f) of the Securities Act) shall be entitled to contribution from any person who was not guilty of such fraudulent misrepresentation.</w:t>
      </w:r>
    </w:p>
    <w:p>
      <w:pPr>
        <w:spacing w:after="0" w:line="188" w:lineRule="exact"/>
        <w:rPr>
          <w:rFonts w:ascii="Times New Roman" w:cs="Times New Roman" w:eastAsia="Times New Roman" w:hAnsi="Times New Roman"/>
          <w:sz w:val="18"/>
          <w:szCs w:val="18"/>
          <w:color w:val="auto"/>
        </w:rPr>
      </w:pPr>
    </w:p>
    <w:p>
      <w:pPr>
        <w:jc w:val="both"/>
        <w:ind w:firstLine="656"/>
        <w:spacing w:after="0" w:line="262" w:lineRule="auto"/>
        <w:tabs>
          <w:tab w:leader="none" w:pos="828"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Representations and Agreements to Survive Delivery</w:t>
      </w:r>
      <w:r>
        <w:rPr>
          <w:rFonts w:ascii="Times New Roman" w:cs="Times New Roman" w:eastAsia="Times New Roman" w:hAnsi="Times New Roman"/>
          <w:sz w:val="18"/>
          <w:szCs w:val="18"/>
          <w:color w:val="auto"/>
        </w:rPr>
        <w:t>. All representations, warranties, and agreements of the Company herein or in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delivered pursuant hereto, including but not limited to the agreements of the Agent and the Company contained in Section 5 hereof, shall remain operative and in full force and effect regardless of any investigation made by or on behalf of the Agent or any controlling person thereof, or the Company or any of its officers, directors, or controlling persons, and shall survive delivery of, and payment for, the Shares to and by the Agent hereunder.</w:t>
      </w:r>
    </w:p>
    <w:p>
      <w:pPr>
        <w:spacing w:after="0" w:line="176" w:lineRule="exact"/>
        <w:rPr>
          <w:rFonts w:ascii="Times New Roman" w:cs="Times New Roman" w:eastAsia="Times New Roman" w:hAnsi="Times New Roman"/>
          <w:sz w:val="18"/>
          <w:szCs w:val="18"/>
          <w:b w:val="1"/>
          <w:bCs w:val="1"/>
          <w:i w:val="1"/>
          <w:iCs w:val="1"/>
          <w:color w:val="auto"/>
        </w:rPr>
      </w:pPr>
    </w:p>
    <w:p>
      <w:pPr>
        <w:ind w:left="840" w:hanging="184"/>
        <w:spacing w:after="0"/>
        <w:tabs>
          <w:tab w:leader="none" w:pos="84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Termination of this Agreement.</w:t>
      </w:r>
    </w:p>
    <w:p>
      <w:pPr>
        <w:spacing w:after="0" w:line="229" w:lineRule="exact"/>
        <w:rPr>
          <w:rFonts w:ascii="Times New Roman" w:cs="Times New Roman" w:eastAsia="Times New Roman" w:hAnsi="Times New Roman"/>
          <w:sz w:val="18"/>
          <w:szCs w:val="18"/>
          <w:b w:val="1"/>
          <w:bCs w:val="1"/>
          <w:i w:val="1"/>
          <w:iCs w:val="1"/>
          <w:color w:val="auto"/>
        </w:rPr>
      </w:pPr>
    </w:p>
    <w:p>
      <w:pPr>
        <w:jc w:val="both"/>
        <w:ind w:firstLine="1304"/>
        <w:spacing w:after="0" w:line="258" w:lineRule="auto"/>
        <w:tabs>
          <w:tab w:leader="none" w:pos="154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by giving three (3) day’s written notice as hereinafter specified, to terminate the provisions of this Agreement relating to the solicitation of offers to purchase the Shares in its sole discretion at any time. Any such termination shall be without liability of any party to any other party except that (i) with respect to any pending sale, through the Agent for the Company, the obligations of the Company, including in respect of compensation of the Agent, shall remain in full force and effect notwithstanding the termination and (ii) the provisions of Section 3(g) Section 5 and Section 6 of this Agreement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shall have the right, by giving three (3) day’s written notice as hereinafter specified, to terminate the provisions of this Agreement solely with respect to such agent relating to the solicitation of offers to purchase the Shares in its sole discretion at any time. Any such termination shall be without liability of any party to any other party except that the provisions of Section 3(g) Section 5 and Section 6 of this Agreement shall remain in full force and effect notwithstanding such termination.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8" w:name="page29"/>
    <w:bookmarkEnd w:id="28"/>
    <w:p>
      <w:pPr>
        <w:jc w:val="both"/>
        <w:ind w:firstLine="1304"/>
        <w:spacing w:after="0" w:line="266" w:lineRule="auto"/>
        <w:tabs>
          <w:tab w:leader="none" w:pos="1546"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earlier terminated pursuant to this Section 7, this Agreement shall automatically terminate upon the issuance and sale of all of the Shares through the Agent on the terms and subject to the conditions set forth herein, except that the provisions of Section 3(g) Section 5 and Section 6 of this Agreement shall remain in full force and effect notwithstanding such termination.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remain in full force and effect unless terminated pursuant to Sections 7(a), (b) or (c) above or otherwise by mutual agreement of the parties; provided that any such termination by mutual agreement shall in all cases be deemed to provide that Section 3(g), Section 5 and Section 6 shall remain in full force and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2"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Agent or the Company, as the case may be. If such termination shall occur prior to the Settlement Date for any sale of the Shares, such sale shall settle in accordance with the provisions of Section 2(a)(vii)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828" w:val="left"/>
        </w:tabs>
        <w:numPr>
          <w:ilvl w:val="1"/>
          <w:numId w:val="3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Default by the Company</w:t>
      </w:r>
      <w:r>
        <w:rPr>
          <w:rFonts w:ascii="Times New Roman" w:cs="Times New Roman" w:eastAsia="Times New Roman" w:hAnsi="Times New Roman"/>
          <w:sz w:val="18"/>
          <w:szCs w:val="18"/>
          <w:color w:val="auto"/>
        </w:rPr>
        <w:t>. If the Company shall fail at any Settlement Date to sell and deliver the number of Shares which it is obligated to sell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hereunder, then this Agreement shall terminate without any liability on the part of the Agent or, except as provided in Section 3(g) hereof, any non-defaulting party. No action taken pursuant to this Section shall relieve the Company from liability, if any, in respect of such default, and the Company shall</w:t>
      </w:r>
    </w:p>
    <w:p>
      <w:pPr>
        <w:ind w:right="20" w:firstLine="8"/>
        <w:spacing w:after="0" w:line="260" w:lineRule="auto"/>
        <w:tabs>
          <w:tab w:leader="none" w:pos="3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Agent harmless against any loss, claim or damage arising from or as a result of such default by the Company and (B) pay the Agent any commission to which it would otherwise be entitled absent such default.</w:t>
      </w:r>
    </w:p>
    <w:p>
      <w:pPr>
        <w:spacing w:after="0" w:line="177" w:lineRule="exact"/>
        <w:rPr>
          <w:rFonts w:ascii="Times New Roman" w:cs="Times New Roman" w:eastAsia="Times New Roman" w:hAnsi="Times New Roman"/>
          <w:sz w:val="18"/>
          <w:szCs w:val="18"/>
          <w:color w:val="auto"/>
        </w:rPr>
      </w:pPr>
    </w:p>
    <w:p>
      <w:pPr>
        <w:ind w:right="20" w:firstLine="656"/>
        <w:spacing w:after="0" w:line="286" w:lineRule="auto"/>
        <w:tabs>
          <w:tab w:leader="none" w:pos="828" w:val="left"/>
        </w:tabs>
        <w:numPr>
          <w:ilvl w:val="1"/>
          <w:numId w:val="3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Notices</w:t>
      </w:r>
      <w:r>
        <w:rPr>
          <w:rFonts w:ascii="Times New Roman" w:cs="Times New Roman" w:eastAsia="Times New Roman" w:hAnsi="Times New Roman"/>
          <w:sz w:val="18"/>
          <w:szCs w:val="18"/>
          <w:color w:val="auto"/>
        </w:rPr>
        <w:t>. All communications hereunder will be in writing and effective only on receipt, and will be mailed, delivered, e-mailed or facsimiled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addresses of the Company and the Agent, respectively,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Agent,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Canaccord Genuity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99 High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aviles@cgf.com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New York Times Building</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620 Eighth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Thomas S. Levato</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tlevato@goodwinlaw.com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76 Treble Cove Rd.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Building 3, Unit 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Billerica, Massachusetts 01862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tim.oakes@agrify.com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Burns &amp; Levinson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Robert A. Petitt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rpetitt@burnslev.com</w:t>
      </w:r>
    </w:p>
    <w:p>
      <w:pPr>
        <w:spacing w:after="0" w:line="203" w:lineRule="exact"/>
        <w:rPr>
          <w:sz w:val="20"/>
          <w:szCs w:val="20"/>
          <w:color w:val="auto"/>
        </w:rPr>
      </w:pPr>
    </w:p>
    <w:p>
      <w:pPr>
        <w:jc w:val="both"/>
        <w:ind w:firstLine="656"/>
        <w:spacing w:after="0" w:line="262" w:lineRule="auto"/>
        <w:tabs>
          <w:tab w:leader="none" w:pos="931"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successors and assigns and the controlling persons, officers and directors referred to in Section 5. Nothing in this Agreement is intended or shall be construed to give to any other person, firm or corporation any legal or equitable remedy or claim under or in respect of this Agreement or any provision herein contained. The term “successors and assigns” as herein used shall not include any purchaser, as such purchaser, of any of the Shares from the Agent.</w:t>
      </w:r>
    </w:p>
    <w:p>
      <w:pPr>
        <w:spacing w:after="0" w:line="176" w:lineRule="exact"/>
        <w:rPr>
          <w:rFonts w:ascii="Times New Roman" w:cs="Times New Roman" w:eastAsia="Times New Roman" w:hAnsi="Times New Roman"/>
          <w:sz w:val="18"/>
          <w:szCs w:val="18"/>
          <w:b w:val="1"/>
          <w:bCs w:val="1"/>
          <w:i w:val="1"/>
          <w:iCs w:val="1"/>
          <w:color w:val="auto"/>
        </w:rPr>
      </w:pPr>
    </w:p>
    <w:p>
      <w:pPr>
        <w:jc w:val="both"/>
        <w:ind w:firstLine="656"/>
        <w:spacing w:after="0" w:line="252" w:lineRule="auto"/>
        <w:tabs>
          <w:tab w:leader="none" w:pos="921"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Absence of Fiduciary Relationship</w:t>
      </w:r>
      <w:r>
        <w:rPr>
          <w:rFonts w:ascii="Times New Roman" w:cs="Times New Roman" w:eastAsia="Times New Roman" w:hAnsi="Times New Roman"/>
          <w:sz w:val="18"/>
          <w:szCs w:val="18"/>
          <w:color w:val="auto"/>
        </w:rPr>
        <w:t>. The Company, having been advised by counsel, acknowledges and agrees that: (a) the Agent has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retained solely to act as a sales agent in connection with the sale of the Shares and that no fiduciary, advisory or agency relationship between the Company (including any of the Company’s affiliates (including directors), equity holders, creditors, employees or agents, hereafter, </w:t>
      </w:r>
      <w:r>
        <w:rPr>
          <w:rFonts w:ascii="Times New Roman" w:cs="Times New Roman" w:eastAsia="Times New Roman" w:hAnsi="Times New Roman"/>
          <w:sz w:val="18"/>
          <w:szCs w:val="18"/>
          <w:b w:val="1"/>
          <w:bCs w:val="1"/>
          <w:i w:val="1"/>
          <w:iCs w:val="1"/>
          <w:color w:val="auto"/>
        </w:rPr>
        <w:t>“Company Representatives”</w:t>
      </w:r>
      <w:r>
        <w:rPr>
          <w:rFonts w:ascii="Times New Roman" w:cs="Times New Roman" w:eastAsia="Times New Roman" w:hAnsi="Times New Roman"/>
          <w:sz w:val="18"/>
          <w:szCs w:val="18"/>
          <w:color w:val="auto"/>
        </w:rPr>
        <w:t xml:space="preserve">), on the one hand, and the Agent on the other, has been created or will be created in respect of any of the transactions contemplated by this Agreement, irrespective of whether the Agent has advised or is advising the Company on other matters and irrespective of the use of the defined term “Agent;” (b) neither of the Agent nor any of its affiliates (including directors), equity holders, creditors, employees or agents, hereafter, </w:t>
      </w:r>
      <w:r>
        <w:rPr>
          <w:rFonts w:ascii="Times New Roman" w:cs="Times New Roman" w:eastAsia="Times New Roman" w:hAnsi="Times New Roman"/>
          <w:sz w:val="18"/>
          <w:szCs w:val="18"/>
          <w:b w:val="1"/>
          <w:bCs w:val="1"/>
          <w:i w:val="1"/>
          <w:iCs w:val="1"/>
          <w:color w:val="auto"/>
        </w:rPr>
        <w:t>“Agent Representatives”</w:t>
      </w:r>
      <w:r>
        <w:rPr>
          <w:rFonts w:ascii="Times New Roman" w:cs="Times New Roman" w:eastAsia="Times New Roman" w:hAnsi="Times New Roman"/>
          <w:sz w:val="18"/>
          <w:szCs w:val="18"/>
          <w:color w:val="auto"/>
        </w:rPr>
        <w:t>) shall have any duty or obligation to the Company or any Company Representative except as set forth in this Agreement; (b) the price and other terms of any Placement executed pursuant to this Agreement, as well as the terms of this Agreement, are deemed acceptable to the Company and its counsel, following discussions and arms-length negotiations with the Agent; (c) the Company is capable of evaluating and understanding, and in fact has evaluated, understands and accepts the terms, risks and conditions of any Placement to be executed pursuant to this Agreement, and any other transactions contemplated by this Agreement; (c) the Company has been advised that the Agent and the Agent Representatives are engaged in a broad range of transactions which may involve interests that differ from those of the Company and that the Agent and the Agent Representatives have no obligation to disclose any such interests and transactions to the Company by virtue of any fiduciary, advisory or agency relationship, or otherwise; (d) the Company has been advised that the Agent is acting, in respect of any Placement and the transactions contemplated by this Agreement, solely for the benefit of the Agent, and not on behalf of the Company; and (e) the Company and the Company Representatives waive, to the fullest extent permitted by law, any claims that they may have against the Agent or any of the Agent Representatives for breach of fiduciary duty or alleged breach of fiduciary duty in respect of any Placement or any of the transactions contemplated by this Agreement and agree that the Agent and the Agent Representatives shall have no liability (whether direct or indirect, in contract, tort or otherwise) to the Company or any of the Company Representatives in respect of any person asserting any claim of breach of any fiduciary duty on behalf of or in right of the Company or any of the Company Representatives.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56"/>
        <w:spacing w:after="0" w:line="262" w:lineRule="auto"/>
        <w:tabs>
          <w:tab w:leader="none" w:pos="931"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Governing Law and Waiver of Jury Trial</w:t>
      </w:r>
      <w:r>
        <w:rPr>
          <w:rFonts w:ascii="Times New Roman" w:cs="Times New Roman" w:eastAsia="Times New Roman" w:hAnsi="Times New Roman"/>
          <w:sz w:val="18"/>
          <w:szCs w:val="18"/>
          <w:color w:val="auto"/>
        </w:rPr>
        <w:t>. This Agreement shall be governed by and construed in accordance with the laws of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York. THE COMPANY (ON ITS OWN BEHALF AND ON BEHALF OF ITS STOCKHOLDERS AND AFFILIATES) HEREBY IRREVOCABLY WAIVES, TO THE FULLEST EXTENT PERMITTED BY APPLICABLE LAW, ANY AND ALL RIGHT TO TRIAL BY JURY IN ANY LEGAL PROCEEDING ARISING OUT OF OR RELATING TO THIS AGREEMENT OR THE TRANSACTIONS CONTEMPLATED HEREBY.</w:t>
      </w:r>
    </w:p>
    <w:p>
      <w:pPr>
        <w:spacing w:after="0" w:line="176" w:lineRule="exact"/>
        <w:rPr>
          <w:rFonts w:ascii="Times New Roman" w:cs="Times New Roman" w:eastAsia="Times New Roman" w:hAnsi="Times New Roman"/>
          <w:sz w:val="18"/>
          <w:szCs w:val="18"/>
          <w:b w:val="1"/>
          <w:bCs w:val="1"/>
          <w:i w:val="1"/>
          <w:iCs w:val="1"/>
          <w:color w:val="auto"/>
        </w:rPr>
      </w:pPr>
    </w:p>
    <w:p>
      <w:pPr>
        <w:jc w:val="both"/>
        <w:ind w:firstLine="656"/>
        <w:spacing w:after="0" w:line="259" w:lineRule="auto"/>
        <w:tabs>
          <w:tab w:leader="none" w:pos="918"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Submission to Jurisdiction, Etc. </w:t>
      </w:r>
      <w:r>
        <w:rPr>
          <w:rFonts w:ascii="Times New Roman" w:cs="Times New Roman" w:eastAsia="Times New Roman" w:hAnsi="Times New Roman"/>
          <w:sz w:val="18"/>
          <w:szCs w:val="18"/>
          <w:color w:val="auto"/>
        </w:rPr>
        <w:t>Each party hereby submits to the exclusive jurisdiction of the U.S. federal and New York state courts sitting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Borough of Manhattan, City of New York, in any suit or proceeding arising out of or relating to this Agreement or the transactions contemplated hereby. The parties hereby irrevocably and unconditionally waive any objection to the laying of venue of any lawsuit, action or other proceeding in such courts, and hereby further irrevocably and unconditionally waive and agree not to plead or claim in any such court that any such lawsuit, action or other proceeding brought in any such court has been brought in an inconvenient forum.</w:t>
      </w:r>
    </w:p>
    <w:p>
      <w:pPr>
        <w:spacing w:after="0" w:line="179" w:lineRule="exact"/>
        <w:rPr>
          <w:rFonts w:ascii="Times New Roman" w:cs="Times New Roman" w:eastAsia="Times New Roman" w:hAnsi="Times New Roman"/>
          <w:sz w:val="18"/>
          <w:szCs w:val="18"/>
          <w:b w:val="1"/>
          <w:bCs w:val="1"/>
          <w:i w:val="1"/>
          <w:iCs w:val="1"/>
          <w:color w:val="auto"/>
        </w:rPr>
      </w:pPr>
    </w:p>
    <w:p>
      <w:pPr>
        <w:ind w:firstLine="656"/>
        <w:spacing w:after="0" w:line="286" w:lineRule="auto"/>
        <w:tabs>
          <w:tab w:leader="none" w:pos="931" w:val="left"/>
        </w:tabs>
        <w:numPr>
          <w:ilvl w:val="0"/>
          <w:numId w:val="4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an original, and all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together shall constitute one and the same instrument.</w:t>
      </w:r>
    </w:p>
    <w:p>
      <w:pPr>
        <w:spacing w:after="0" w:line="154" w:lineRule="exact"/>
        <w:rPr>
          <w:rFonts w:ascii="Times New Roman" w:cs="Times New Roman" w:eastAsia="Times New Roman" w:hAnsi="Times New Roman"/>
          <w:sz w:val="18"/>
          <w:szCs w:val="18"/>
          <w:b w:val="1"/>
          <w:bCs w:val="1"/>
          <w:i w:val="1"/>
          <w:iCs w:val="1"/>
          <w:color w:val="auto"/>
        </w:rPr>
      </w:pPr>
    </w:p>
    <w:p>
      <w:pPr>
        <w:jc w:val="both"/>
        <w:ind w:firstLine="656"/>
        <w:spacing w:after="0" w:line="262" w:lineRule="auto"/>
        <w:tabs>
          <w:tab w:leader="none" w:pos="91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Construction. </w:t>
      </w:r>
      <w:r>
        <w:rPr>
          <w:rFonts w:ascii="Times New Roman" w:cs="Times New Roman" w:eastAsia="Times New Roman" w:hAnsi="Times New Roman"/>
          <w:sz w:val="18"/>
          <w:szCs w:val="18"/>
          <w:color w:val="auto"/>
        </w:rPr>
        <w:t>The section and exhibit headings herein are for convenience only and shall not affect the construction hereof. References herein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sign and return to the Company the enclosed duplicates of this letter whereupon this letter will become a binding agreement between the Company and the Agent in accordance with its terms.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 as of the date first above mentioned: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CANACCORD GENUITY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Jennifer Pardi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Jennifer Pardi</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164465</wp:posOffset>
            </wp:positionV>
            <wp:extent cx="3926205" cy="651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26205" cy="651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480"/>
        <w:spacing w:after="0" w:line="286" w:lineRule="auto"/>
        <w:rPr>
          <w:sz w:val="20"/>
          <w:szCs w:val="20"/>
          <w:color w:val="auto"/>
        </w:rPr>
      </w:pPr>
      <w:r>
        <w:rPr>
          <w:rFonts w:ascii="Times New Roman" w:cs="Times New Roman" w:eastAsia="Times New Roman" w:hAnsi="Times New Roman"/>
          <w:sz w:val="18"/>
          <w:szCs w:val="18"/>
          <w:b w:val="1"/>
          <w:bCs w:val="1"/>
          <w:color w:val="auto"/>
        </w:rPr>
        <w:t>50 West Liberty Street, Suite 1000, Reno, Nevada 89501-1950 Telephone: 775.323.1980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3960 Howard Hughes Parkway, Suite 500, Las Vegas, Nevada 89169 Telephone: 702.387.6073</w:t>
      </w:r>
    </w:p>
    <w:p>
      <w:pPr>
        <w:spacing w:after="0" w:line="159" w:lineRule="exact"/>
        <w:rPr>
          <w:sz w:val="20"/>
          <w:szCs w:val="20"/>
          <w:color w:val="auto"/>
        </w:rPr>
      </w:pPr>
    </w:p>
    <w:p>
      <w:pPr>
        <w:sectPr>
          <w:pgSz w:w="11900" w:h="16838" w:orient="portrait"/>
          <w:cols w:equalWidth="0" w:num="2">
            <w:col w:w="5160" w:space="680"/>
            <w:col w:w="5400"/>
          </w:cols>
          <w:pgMar w:left="320" w:top="11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Treble Cove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3, Unit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Billerica, Massachusetts 01862</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 Agrify Corporation/Registration Statement on Form S-3 (File No. 333-265710)</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acted as special Nevada counsel to Agrify Corporation, a Nevada corporation (the “Company”), in connection with the issuance and sale by the Company of up to $50,000,000 of its shares of common stock, $0.001 par value per share (the “Shares”), to be sold by the Company under an Equity Distribution Agreement dated October 18, 2022 (the “Agreement”) between the Company and Canaccord Genuity LLC.</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are being registered under the above-referenced Registration Statement (the “Registration Statement”) as filed with the Securities and Exchange Commission (the “Commission”) under the Securities Act of 1933, as amended (the “Securities Act”) and the prospectus that forms a part of the Registration Statement (the “Base Prospectus”), and the prospectus supplement thereto dated October 18, 2022 (the “Prospectus Supplement” and together with the Base Prospectus, the “Prospectus”).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purposes of these opinions, we have examined the Registration Statement, the Agreement, and originals or copies, certified or otherwise identified to our satisfaction, of the charter documents and corporate records of the Company, certificates, forms of agreements, resolutions of the Board of Directors of the Company, and such other matters as relevant related to the issuance and the registration of the Shares under the Securities Act as we have deemed necessary or appropriate as a basis for the opinions set forth herein.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examination, we have assumed:</w:t>
      </w:r>
    </w:p>
    <w:p>
      <w:pPr>
        <w:spacing w:after="0" w:line="225" w:lineRule="exact"/>
        <w:rPr>
          <w:sz w:val="20"/>
          <w:szCs w:val="20"/>
          <w:color w:val="auto"/>
        </w:rPr>
      </w:pPr>
    </w:p>
    <w:p>
      <w:pPr>
        <w:ind w:left="900" w:hanging="244"/>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of all natural persons executing the documents;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on the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900" w:hanging="244"/>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Agreement is enforceable in accordance with its terms;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all documents submitted to us as originals, and the conformity to original documents of all documents submitted to us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w:t>
      </w:r>
    </w:p>
    <w:p>
      <w:pPr>
        <w:spacing w:after="0" w:line="207" w:lineRule="exact"/>
        <w:rPr>
          <w:sz w:val="20"/>
          <w:szCs w:val="20"/>
          <w:color w:val="auto"/>
        </w:rPr>
      </w:pPr>
    </w:p>
    <w:p>
      <w:pPr>
        <w:ind w:firstLine="656"/>
        <w:spacing w:after="0" w:line="282" w:lineRule="auto"/>
        <w:tabs>
          <w:tab w:leader="none" w:pos="9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parties to such documents, other than the Company, had the power, corporate or other, to enter into and perform all obligations thereunder;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8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the Company, the due authorization by all requisite action, corporate or other, the execution and delivery by all parties of the documents, and the validity and binding effect thereof on such parties.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and subject to the assumptions, limitations, and qualifications set forth herein, we are of the opinion that the Shares have been duly authorized, and when issued against payment in accordance with the terms of the Agreement, will be validly issued, fully paid, and nonassessable.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members of this firm are admitted to practice in certain jurisdictions other than Nevada, in rendering the foregoing opinions we have not examined the laws of any jurisdiction other than Nevada. Accordingly, we express no opinion regarding the effect of the laws of any other jurisdiction or state, including any federal laws. The opinions we express herein are limited solely to the laws of the State of Nevada, other than the securities laws and regulations of the State of Nevada (as to which we express no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October 18,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use of this opinion letter as Exhibit 5.1 to the Registration Statement and to the use of our name under the caption “Legal Matters” in the Registration Statement and in the Prospectus forming a part thereof and any supplement thereto. In giving the foregoing consent, we do not hereby admit that we are in the category of persons whose consent is required under Section 7 of the Securities Act or the rules and regulations of the Commission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
    <w:nsid w:val="75A2A8D4"/>
    <w:multiLevelType w:val="hybridMultilevel"/>
    <w:lvl w:ilvl="0">
      <w:lvlJc w:val="left"/>
      <w:lvlText w:val="(%1)"/>
      <w:numFmt w:val="lowerRoman"/>
      <w:start w:val="2"/>
    </w:lvl>
  </w:abstractNum>
  <w:abstractNum w:abstractNumId="4">
    <w:nsid w:val="8EDBDAB"/>
    <w:multiLevelType w:val="hybridMultilevel"/>
    <w:lvl w:ilvl="0">
      <w:lvlJc w:val="left"/>
      <w:lvlText w:val="(%1)"/>
      <w:numFmt w:val="lowerRoman"/>
      <w:start w:val="5"/>
    </w:lvl>
  </w:abstractNum>
  <w:abstractNum w:abstractNumId="5">
    <w:nsid w:val="79838CB2"/>
    <w:multiLevelType w:val="hybridMultilevel"/>
    <w:lvl w:ilvl="0">
      <w:lvlJc w:val="left"/>
      <w:lvlText w:val="(%1)"/>
      <w:numFmt w:val="lowerRoman"/>
      <w:start w:val="9"/>
    </w:lvl>
  </w:abstractNum>
  <w:abstractNum w:abstractNumId="6">
    <w:nsid w:val="4353D0CD"/>
    <w:multiLevelType w:val="hybridMultilevel"/>
    <w:lvl w:ilvl="0">
      <w:lvlJc w:val="left"/>
      <w:lvlText w:val="(%1)"/>
      <w:numFmt w:val="lowerRoman"/>
      <w:start w:val="13"/>
    </w:lvl>
  </w:abstractNum>
  <w:abstractNum w:abstractNumId="7">
    <w:nsid w:val="B03E0C6"/>
    <w:multiLevelType w:val="hybridMultilevel"/>
    <w:lvl w:ilvl="0">
      <w:lvlJc w:val="left"/>
      <w:lvlText w:val="(%1)"/>
      <w:numFmt w:val="lowerRoman"/>
      <w:start w:val="16"/>
    </w:lvl>
  </w:abstractNum>
  <w:abstractNum w:abstractNumId="8">
    <w:nsid w:val="189A769B"/>
    <w:multiLevelType w:val="hybridMultilevel"/>
    <w:lvl w:ilvl="0">
      <w:lvlJc w:val="left"/>
      <w:lvlText w:val="%1"/>
      <w:numFmt w:val="lowerRoman"/>
      <w:start w:val="1"/>
    </w:lvl>
    <w:lvl w:ilvl="1">
      <w:lvlJc w:val="left"/>
      <w:lvlText w:val="(%2)"/>
      <w:numFmt w:val="lowerRoman"/>
      <w:start w:val="20"/>
    </w:lvl>
  </w:abstractNum>
  <w:abstractNum w:abstractNumId="9">
    <w:nsid w:val="54E49EB4"/>
    <w:multiLevelType w:val="hybridMultilevel"/>
    <w:lvl w:ilvl="0">
      <w:lvlJc w:val="left"/>
      <w:lvlText w:val="(%1)"/>
      <w:numFmt w:val="lowerRoman"/>
      <w:start w:val="5"/>
    </w:lvl>
    <w:lvl w:ilvl="1">
      <w:lvlJc w:val="left"/>
      <w:lvlText w:val="(%2)"/>
      <w:numFmt w:val="lowerRoman"/>
      <w:start w:val="21"/>
    </w:lvl>
  </w:abstractNum>
  <w:abstractNum w:abstractNumId="10">
    <w:nsid w:val="71F32454"/>
    <w:multiLevelType w:val="hybridMultilevel"/>
    <w:lvl w:ilvl="0">
      <w:lvlJc w:val="left"/>
      <w:lvlText w:val="(%1)"/>
      <w:numFmt w:val="lowerRoman"/>
      <w:start w:val="24"/>
    </w:lvl>
  </w:abstractNum>
  <w:abstractNum w:abstractNumId="11">
    <w:nsid w:val="2CA88611"/>
    <w:multiLevelType w:val="hybridMultilevel"/>
    <w:lvl w:ilvl="0">
      <w:lvlJc w:val="left"/>
      <w:lvlText w:val="(%1)"/>
      <w:numFmt w:val="lowerRoman"/>
      <w:start w:val="27"/>
    </w:lvl>
  </w:abstractNum>
  <w:abstractNum w:abstractNumId="12">
    <w:nsid w:val="836C40E"/>
    <w:multiLevelType w:val="hybridMultilevel"/>
    <w:lvl w:ilvl="0">
      <w:lvlJc w:val="left"/>
      <w:lvlText w:val="(%1)"/>
      <w:numFmt w:val="lowerRoman"/>
      <w:start w:val="3"/>
    </w:lvl>
    <w:lvl w:ilvl="1">
      <w:lvlJc w:val="left"/>
      <w:lvlText w:val="(%2)"/>
      <w:numFmt w:val="lowerRoman"/>
      <w:start w:val="29"/>
    </w:lvl>
  </w:abstractNum>
  <w:abstractNum w:abstractNumId="13">
    <w:nsid w:val="2901D82"/>
    <w:multiLevelType w:val="hybridMultilevel"/>
    <w:lvl w:ilvl="0">
      <w:lvlJc w:val="left"/>
      <w:lvlText w:val="(%1)"/>
      <w:numFmt w:val="lowerRoman"/>
      <w:start w:val="30"/>
    </w:lvl>
  </w:abstractNum>
  <w:abstractNum w:abstractNumId="14">
    <w:nsid w:val="3A95F874"/>
    <w:multiLevelType w:val="hybridMultilevel"/>
    <w:lvl w:ilvl="0">
      <w:lvlJc w:val="left"/>
      <w:lvlText w:val="(%1)"/>
      <w:numFmt w:val="lowerRoman"/>
      <w:start w:val="35"/>
    </w:lvl>
  </w:abstractNum>
  <w:abstractNum w:abstractNumId="15">
    <w:nsid w:val="8138641"/>
    <w:multiLevelType w:val="hybridMultilevel"/>
    <w:lvl w:ilvl="0">
      <w:lvlJc w:val="left"/>
      <w:lvlText w:val="(%1)"/>
      <w:numFmt w:val="lowerLetter"/>
      <w:start w:val="12"/>
    </w:lvl>
  </w:abstractNum>
  <w:abstractNum w:abstractNumId="16">
    <w:nsid w:val="1E7FF52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7">
    <w:nsid w:val="7C3DBD3D"/>
    <w:multiLevelType w:val="hybridMultilevel"/>
    <w:lvl w:ilvl="0">
      <w:lvlJc w:val="left"/>
      <w:lvlText w:val="(%1)"/>
      <w:numFmt w:val="lowerRoman"/>
      <w:start w:val="2"/>
    </w:lvl>
  </w:abstractNum>
  <w:abstractNum w:abstractNumId="18">
    <w:nsid w:val="737B8DDC"/>
    <w:multiLevelType w:val="hybridMultilevel"/>
    <w:lvl w:ilvl="0">
      <w:lvlJc w:val="left"/>
      <w:lvlText w:val="%1"/>
      <w:numFmt w:val="lowerLetter"/>
      <w:start w:val="1"/>
    </w:lvl>
    <w:lvl w:ilvl="1">
      <w:lvlJc w:val="left"/>
      <w:lvlText w:val="(%2)"/>
      <w:numFmt w:val="lowerRoman"/>
      <w:start w:val="7"/>
    </w:lvl>
  </w:abstractNum>
  <w:abstractNum w:abstractNumId="19">
    <w:nsid w:val="6CEAF087"/>
    <w:multiLevelType w:val="hybridMultilevel"/>
    <w:lvl w:ilvl="0">
      <w:lvlJc w:val="left"/>
      <w:lvlText w:val="(%1)"/>
      <w:numFmt w:val="lowerLetter"/>
      <w:start w:val="2"/>
    </w:lvl>
    <w:lvl w:ilvl="1">
      <w:lvlJc w:val="left"/>
      <w:lvlText w:val="%2"/>
      <w:numFmt w:val="lowerRoman"/>
      <w:start w:val="1"/>
    </w:lvl>
  </w:abstractNum>
  <w:abstractNum w:abstractNumId="20">
    <w:nsid w:val="22221A70"/>
    <w:multiLevelType w:val="hybridMultilevel"/>
    <w:lvl w:ilvl="0">
      <w:lvlJc w:val="left"/>
      <w:lvlText w:val="%1."/>
      <w:numFmt w:val="decimal"/>
      <w:start w:val="3"/>
    </w:lvl>
    <w:lvl w:ilvl="1">
      <w:lvlJc w:val="left"/>
      <w:lvlText w:val="(%2)"/>
      <w:numFmt w:val="lowerLetter"/>
      <w:start w:val="1"/>
    </w:lvl>
  </w:abstractNum>
  <w:abstractNum w:abstractNumId="21">
    <w:nsid w:val="4516DDE9"/>
    <w:multiLevelType w:val="hybridMultilevel"/>
    <w:lvl w:ilvl="0">
      <w:lvlJc w:val="left"/>
      <w:lvlText w:val="%1"/>
      <w:numFmt w:val="lowerLetter"/>
      <w:start w:val="1"/>
    </w:lvl>
    <w:lvl w:ilvl="1">
      <w:lvlJc w:val="left"/>
      <w:lvlText w:val="(%2)"/>
      <w:numFmt w:val="lowerLetter"/>
      <w:start w:val="4"/>
    </w:lvl>
  </w:abstractNum>
  <w:abstractNum w:abstractNumId="22">
    <w:nsid w:val="3006C83E"/>
    <w:multiLevelType w:val="hybridMultilevel"/>
    <w:lvl w:ilvl="0">
      <w:lvlJc w:val="left"/>
      <w:lvlText w:val="(%1)"/>
      <w:numFmt w:val="lowerLetter"/>
      <w:start w:val="61"/>
    </w:lvl>
    <w:lvl w:ilvl="1">
      <w:lvlJc w:val="left"/>
      <w:lvlText w:val="(%2)"/>
      <w:numFmt w:val="lowerLetter"/>
      <w:start w:val="8"/>
    </w:lvl>
  </w:abstractNum>
  <w:abstractNum w:abstractNumId="23">
    <w:nsid w:val="614FD4A1"/>
    <w:multiLevelType w:val="hybridMultilevel"/>
    <w:lvl w:ilvl="0">
      <w:lvlJc w:val="left"/>
      <w:lvlText w:val="(%1)"/>
      <w:numFmt w:val="lowerRoman"/>
      <w:start w:val="1"/>
    </w:lvl>
  </w:abstractNum>
  <w:abstractNum w:abstractNumId="24">
    <w:nsid w:val="419AC241"/>
    <w:multiLevelType w:val="hybridMultilevel"/>
    <w:lvl w:ilvl="0">
      <w:lvlJc w:val="left"/>
      <w:lvlText w:val="(%1)"/>
      <w:numFmt w:val="lowerLetter"/>
      <w:start w:val="10"/>
    </w:lvl>
  </w:abstractNum>
  <w:abstractNum w:abstractNumId="25">
    <w:nsid w:val="5577F8E1"/>
    <w:multiLevelType w:val="hybridMultilevel"/>
    <w:lvl w:ilvl="0">
      <w:lvlJc w:val="left"/>
      <w:lvlText w:val="(%1)"/>
      <w:numFmt w:val="lowerLetter"/>
      <w:start w:val="13"/>
    </w:lvl>
  </w:abstractNum>
  <w:abstractNum w:abstractNumId="26">
    <w:nsid w:val="440BADFC"/>
    <w:multiLevelType w:val="hybridMultilevel"/>
    <w:lvl w:ilvl="0">
      <w:lvlJc w:val="left"/>
      <w:lvlText w:val="(%1)"/>
      <w:numFmt w:val="lowerLetter"/>
      <w:start w:val="16"/>
    </w:lvl>
  </w:abstractNum>
  <w:abstractNum w:abstractNumId="27">
    <w:nsid w:val="5072367"/>
    <w:multiLevelType w:val="hybridMultilevel"/>
    <w:lvl w:ilvl="0">
      <w:lvlJc w:val="left"/>
      <w:lvlText w:val="%1"/>
      <w:numFmt w:val="decimal"/>
      <w:start w:val="1"/>
    </w:lvl>
    <w:lvl w:ilvl="1">
      <w:lvlJc w:val="left"/>
      <w:lvlText w:val="(%2)"/>
      <w:numFmt w:val="lowerLetter"/>
      <w:start w:val="17"/>
    </w:lvl>
  </w:abstractNum>
  <w:abstractNum w:abstractNumId="28">
    <w:nsid w:val="3804823E"/>
    <w:multiLevelType w:val="hybridMultilevel"/>
    <w:lvl w:ilvl="0">
      <w:lvlJc w:val="left"/>
      <w:lvlText w:val="%1."/>
      <w:numFmt w:val="decimal"/>
      <w:start w:val="4"/>
    </w:lvl>
    <w:lvl w:ilvl="1">
      <w:lvlJc w:val="left"/>
      <w:lvlText w:val="(%2)"/>
      <w:numFmt w:val="lowerLetter"/>
      <w:start w:val="1"/>
    </w:lvl>
  </w:abstractNum>
  <w:abstractNum w:abstractNumId="29">
    <w:nsid w:val="77465F01"/>
    <w:multiLevelType w:val="hybridMultilevel"/>
    <w:lvl w:ilvl="0">
      <w:lvlJc w:val="left"/>
      <w:lvlText w:val="(%1)"/>
      <w:numFmt w:val="lowerLetter"/>
      <w:start w:val="3"/>
    </w:lvl>
  </w:abstractNum>
  <w:abstractNum w:abstractNumId="30">
    <w:nsid w:val="7724C67E"/>
    <w:multiLevelType w:val="hybridMultilevel"/>
    <w:lvl w:ilvl="0">
      <w:lvlJc w:val="left"/>
      <w:lvlText w:val="%1."/>
      <w:numFmt w:val="decimal"/>
      <w:start w:val="5"/>
    </w:lvl>
    <w:lvl w:ilvl="1">
      <w:lvlJc w:val="left"/>
      <w:lvlText w:val="(%2)"/>
      <w:numFmt w:val="lowerLetter"/>
      <w:start w:val="1"/>
    </w:lvl>
  </w:abstractNum>
  <w:abstractNum w:abstractNumId="31">
    <w:nsid w:val="5C482A97"/>
    <w:multiLevelType w:val="hybridMultilevel"/>
    <w:lvl w:ilvl="0">
      <w:lvlJc w:val="left"/>
      <w:lvlText w:val="(%1)"/>
      <w:numFmt w:val="lowerRoman"/>
      <w:start w:val="1"/>
    </w:lvl>
  </w:abstractNum>
  <w:abstractNum w:abstractNumId="32">
    <w:nsid w:val="2463B9EA"/>
    <w:multiLevelType w:val="hybridMultilevel"/>
    <w:lvl w:ilvl="0">
      <w:lvlJc w:val="left"/>
      <w:lvlText w:val="(%1)"/>
      <w:numFmt w:val="lowerRoman"/>
      <w:start w:val="1"/>
    </w:lvl>
  </w:abstractNum>
  <w:abstractNum w:abstractNumId="33">
    <w:nsid w:val="5E884ADC"/>
    <w:multiLevelType w:val="hybridMultilevel"/>
    <w:lvl w:ilvl="0">
      <w:lvlJc w:val="left"/>
      <w:lvlText w:val="(%1)"/>
      <w:numFmt w:val="lowerLetter"/>
      <w:start w:val="2"/>
    </w:lvl>
  </w:abstractNum>
  <w:abstractNum w:abstractNumId="34">
    <w:nsid w:val="51EAD36B"/>
    <w:multiLevelType w:val="hybridMultilevel"/>
    <w:lvl w:ilvl="0">
      <w:lvlJc w:val="left"/>
      <w:lvlText w:val="%1"/>
      <w:numFmt w:val="decimal"/>
      <w:start w:val="1"/>
    </w:lvl>
    <w:lvl w:ilvl="1">
      <w:lvlJc w:val="left"/>
      <w:lvlText w:val="(%2)"/>
      <w:numFmt w:val="lowerLetter"/>
      <w:start w:val="4"/>
    </w:lvl>
  </w:abstractNum>
  <w:abstractNum w:abstractNumId="35">
    <w:nsid w:val="2D517796"/>
    <w:multiLevelType w:val="hybridMultilevel"/>
    <w:lvl w:ilvl="0">
      <w:lvlJc w:val="left"/>
      <w:lvlText w:val="%1."/>
      <w:numFmt w:val="decimal"/>
      <w:start w:val="6"/>
    </w:lvl>
    <w:lvl w:ilvl="1">
      <w:lvlJc w:val="left"/>
      <w:lvlText w:val="(%2)"/>
      <w:numFmt w:val="lowerLetter"/>
      <w:start w:val="1"/>
    </w:lvl>
  </w:abstractNum>
  <w:abstractNum w:abstractNumId="36">
    <w:nsid w:val="580BD78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37">
    <w:nsid w:val="153EA438"/>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38">
    <w:nsid w:val="3855585C"/>
    <w:multiLevelType w:val="hybridMultilevel"/>
    <w:lvl w:ilvl="0">
      <w:lvlJc w:val="left"/>
      <w:lvlText w:val="(%1)"/>
      <w:numFmt w:val="upperLetter"/>
      <w:start w:val="1"/>
    </w:lvl>
    <w:lvl w:ilvl="1">
      <w:lvlJc w:val="left"/>
      <w:lvlText w:val="%2."/>
      <w:numFmt w:val="decimal"/>
      <w:start w:val="9"/>
    </w:lvl>
    <w:lvl w:ilvl="2">
      <w:lvlJc w:val="left"/>
      <w:lvlText w:val="%3"/>
      <w:numFmt w:val="lowerLetter"/>
      <w:start w:val="1"/>
    </w:lvl>
  </w:abstractNum>
  <w:abstractNum w:abstractNumId="39">
    <w:nsid w:val="70A64E2A"/>
    <w:multiLevelType w:val="hybridMultilevel"/>
    <w:lvl w:ilvl="0">
      <w:lvlJc w:val="left"/>
      <w:lvlText w:val="%1."/>
      <w:numFmt w:val="decimal"/>
      <w:start w:val="10"/>
    </w:lvl>
  </w:abstractNum>
  <w:abstractNum w:abstractNumId="40">
    <w:nsid w:val="6A2342EC"/>
    <w:multiLevelType w:val="hybridMultilevel"/>
    <w:lvl w:ilvl="0">
      <w:lvlJc w:val="left"/>
      <w:lvlText w:val="%1."/>
      <w:numFmt w:val="decimal"/>
      <w:start w:val="12"/>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lowerLetter"/>
      <w:start w:val="3"/>
    </w:lvl>
  </w:abstractNum>
  <w:abstractNum w:abstractNumId="43">
    <w:nsid w:val="725A06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2022-10-18T12:34:54Z</dcterms:created>
  <dcterms:modified xsi:type="dcterms:W3CDTF">2022-10-18T12:34:54Z</dcterms:modified>
</cp:coreProperties>
</file>