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-636270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029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029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820" w:type="dxa"/>
            <w:vAlign w:val="bottom"/>
            <w:vMerge w:val="restart"/>
          </w:tcPr>
          <w:p>
            <w:pPr>
              <w:ind w:left="40"/>
              <w:spacing w:after="0" w:line="262" w:lineRule="exact"/>
              <w:rPr>
                <w:rFonts w:ascii="Arial" w:cs="Arial" w:eastAsia="Arial" w:hAnsi="Arial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u w:val="single" w:color="auto"/>
                  <w:color w:val="0000EE"/>
                </w:rPr>
                <w:t>MAHONEY TIMOTHY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01/27/2021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4"/>
          <w:szCs w:val="24"/>
          <w:color w:val="0000EE"/>
        </w:rPr>
      </w:pPr>
      <w:hyperlink r:id="rId11">
        <w:r>
          <w:rPr>
            <w:rFonts w:ascii="Arial" w:cs="Arial" w:eastAsia="Arial" w:hAnsi="Arial"/>
            <w:sz w:val="24"/>
            <w:szCs w:val="24"/>
            <w:u w:val="single" w:color="auto"/>
            <w:color w:val="0000EE"/>
          </w:rPr>
          <w:t>Agrify Corp</w:t>
        </w:r>
        <w:r>
          <w:rPr>
            <w:rFonts w:ascii="Arial" w:cs="Arial" w:eastAsia="Arial" w:hAnsi="Arial"/>
            <w:sz w:val="24"/>
            <w:szCs w:val="24"/>
            <w:color w:val="0000EE"/>
          </w:rPr>
          <w:t xml:space="preserve"> </w:t>
        </w:r>
      </w:hyperlink>
      <w:r>
        <w:rPr>
          <w:rFonts w:ascii="Arial" w:cs="Arial" w:eastAsia="Arial" w:hAnsi="Arial"/>
          <w:sz w:val="24"/>
          <w:szCs w:val="24"/>
          <w:color w:val="000000"/>
        </w:rPr>
        <w:t>[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FF"/>
        </w:rPr>
        <w:t>AGFY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24"/>
          <w:szCs w:val="24"/>
          <w:color w:val="000000"/>
        </w:rPr>
        <w:t>]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40" w:right="1617"/>
        <w:spacing w:after="0" w:line="32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101 MIDDLESEX TURNPIKE, SUITE 6, PMB 326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6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BURLINGTON MA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01803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0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81280</wp:posOffset>
            </wp:positionV>
            <wp:extent cx="6946900" cy="772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77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-18415</wp:posOffset>
            </wp:positionV>
            <wp:extent cx="6946900" cy="1677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677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9525</wp:posOffset>
            </wp:positionH>
            <wp:positionV relativeFrom="paragraph">
              <wp:posOffset>42545</wp:posOffset>
            </wp:positionV>
            <wp:extent cx="6927850" cy="1029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7850" cy="1029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Options</w:t>
            </w:r>
          </w:p>
        </w:tc>
        <w:tc>
          <w:tcPr>
            <w:tcW w:w="9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10/19/2030</w:t>
            </w:r>
          </w:p>
        </w:tc>
        <w:tc>
          <w:tcPr>
            <w:tcW w:w="1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41,120</w:t>
            </w:r>
          </w:p>
        </w:tc>
        <w:tc>
          <w:tcPr>
            <w:tcW w:w="9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4.86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9525</wp:posOffset>
            </wp:positionH>
            <wp:positionV relativeFrom="paragraph">
              <wp:posOffset>-398780</wp:posOffset>
            </wp:positionV>
            <wp:extent cx="6927850" cy="2476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7850" cy="247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 w:right="60" w:firstLine="5"/>
        <w:spacing w:after="0" w:line="329" w:lineRule="auto"/>
        <w:tabs>
          <w:tab w:leader="none" w:pos="190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25% of the options will vest on 10/19/21 and the balance vests in 36 equal monthly installments thereafter. This stock option grant provides for accelerated vesting in the event of a change of control transaction or an initial public offering under which 50% of such options (assuming none have previously vested) will vest immediately prior to such event.</w:t>
      </w: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9"/>
              </w:rPr>
              <w:t>/s/ Timothy Mahoney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01/27/2021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0" Type="http://schemas.openxmlformats.org/officeDocument/2006/relationships/hyperlink" Target="http://www.sec.gov/cgi-bin/browse-edgar?action=getcompany&amp;CIK=0000926012" TargetMode="External"/><Relationship Id="rId11" Type="http://schemas.openxmlformats.org/officeDocument/2006/relationships/hyperlink" Target="http://www.sec.gov/cgi-bin/browse-edgar?action=getcompany&amp;CIK=0001800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2021-01-27T20:12:37Z</dcterms:created>
  <dcterms:modified xsi:type="dcterms:W3CDTF">2021-01-27T20:12:37Z</dcterms:modified>
</cp:coreProperties>
</file>