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3"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5218430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-614680</wp:posOffset>
            </wp:positionV>
            <wp:extent cx="57785" cy="628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727710</wp:posOffset>
            </wp:positionV>
            <wp:extent cx="7047865" cy="63620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6362065"/>
                    </a:xfrm>
                    <a:prstGeom prst="rect">
                      <a:avLst/>
                    </a:prstGeom>
                    <a:noFill/>
                  </pic:spPr>
                </pic:pic>
              </a:graphicData>
            </a:graphic>
          </wp:anchor>
        </w:drawing>
      </w:r>
    </w:p>
    <w:p>
      <w:pPr>
        <w:spacing w:after="0" w:line="1152" w:lineRule="exact"/>
        <w:rPr>
          <w:sz w:val="24"/>
          <w:szCs w:val="24"/>
          <w:color w:val="auto"/>
        </w:rPr>
      </w:pPr>
    </w:p>
    <w:p>
      <w:pPr>
        <w:sectPr>
          <w:pgSz w:w="11900" w:h="16838" w:orient="portrait"/>
          <w:cols w:equalWidth="0" w:num="2">
            <w:col w:w="2280" w:space="360"/>
            <w:col w:w="8440"/>
          </w:cols>
          <w:pgMar w:left="460" w:top="215"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Chan I-Tseng Jenny</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1"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Agrify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AGFY</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Borders>
              <w:bottom w:val="single" w:sz="8" w:color="0000EE"/>
            </w:tcBorders>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8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7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80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1820" w:type="dxa"/>
            <w:vAlign w:val="bottom"/>
          </w:tcPr>
          <w:p>
            <w:pPr>
              <w:ind w:left="580"/>
              <w:spacing w:after="0" w:line="126"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14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11/05/2024</w:t>
            </w:r>
          </w:p>
        </w:tc>
        <w:tc>
          <w:tcPr>
            <w:tcW w:w="27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C/O AGRIFY CORPORATION</w:t>
            </w:r>
          </w:p>
        </w:tc>
        <w:tc>
          <w:tcPr>
            <w:tcW w:w="12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27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2468 INDUSTRIAL DRIVE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27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5" w:right="359" w:bottom="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6"/>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TROY</w:t>
            </w:r>
          </w:p>
        </w:tc>
        <w:tc>
          <w:tcPr>
            <w:tcW w:w="1180" w:type="dxa"/>
            <w:vAlign w:val="bottom"/>
          </w:tcPr>
          <w:p>
            <w:pPr>
              <w:ind w:left="380"/>
              <w:spacing w:after="0"/>
              <w:rPr>
                <w:sz w:val="20"/>
                <w:szCs w:val="20"/>
                <w:color w:val="auto"/>
              </w:rPr>
            </w:pPr>
            <w:r>
              <w:rPr>
                <w:rFonts w:ascii="Times New Roman" w:cs="Times New Roman" w:eastAsia="Times New Roman" w:hAnsi="Times New Roman"/>
                <w:sz w:val="16"/>
                <w:szCs w:val="16"/>
                <w:color w:val="0000FF"/>
              </w:rPr>
              <w:t>MI</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48084</w:t>
            </w:r>
          </w:p>
        </w:tc>
      </w:tr>
      <w:tr>
        <w:trPr>
          <w:trHeight w:val="145"/>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0" w:lineRule="exact"/>
        <w:rPr>
          <w:sz w:val="20"/>
          <w:szCs w:val="20"/>
          <w:color w:val="auto"/>
        </w:rPr>
      </w:pPr>
    </w:p>
    <w:p>
      <w:pPr>
        <w:sectPr>
          <w:pgSz w:w="11900" w:h="16838" w:orient="portrait"/>
          <w:cols w:equalWidth="0" w:num="2">
            <w:col w:w="7560" w:space="720"/>
            <w:col w:w="280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80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tcPr>
          <w:p>
            <w:pPr>
              <w:spacing w:after="0"/>
              <w:rPr>
                <w:sz w:val="20"/>
                <w:szCs w:val="20"/>
                <w:color w:val="auto"/>
              </w:rPr>
            </w:pPr>
            <w:r>
              <w:rPr>
                <w:rFonts w:ascii="Arial" w:cs="Arial" w:eastAsia="Arial" w:hAnsi="Arial"/>
                <w:sz w:val="11"/>
                <w:szCs w:val="11"/>
                <w:b w:val="1"/>
                <w:bCs w:val="1"/>
                <w:color w:val="auto"/>
              </w:rPr>
              <w:t>6. Ownership</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w w:val="99"/>
              </w:rPr>
              <w:t>Transaction</w:t>
            </w:r>
          </w:p>
        </w:tc>
        <w:tc>
          <w:tcPr>
            <w:tcW w:w="3180" w:type="dxa"/>
            <w:vAlign w:val="bottom"/>
            <w:gridSpan w:val="6"/>
          </w:tcPr>
          <w:p>
            <w:pPr>
              <w:ind w:left="100"/>
              <w:spacing w:after="0"/>
              <w:rPr>
                <w:sz w:val="20"/>
                <w:szCs w:val="20"/>
                <w:color w:val="auto"/>
              </w:rPr>
            </w:pPr>
            <w:r>
              <w:rPr>
                <w:rFonts w:ascii="Arial" w:cs="Arial" w:eastAsia="Arial" w:hAnsi="Arial"/>
                <w:sz w:val="11"/>
                <w:szCs w:val="11"/>
                <w:b w:val="1"/>
                <w:bCs w:val="1"/>
                <w:color w:val="auto"/>
              </w:rPr>
              <w:t>Disposed Of (D) (Instr. 3, 4 and 5)  Securities</w:t>
            </w:r>
          </w:p>
        </w:tc>
        <w:tc>
          <w:tcPr>
            <w:tcW w:w="900" w:type="dxa"/>
            <w:vAlign w:val="bottom"/>
          </w:tcPr>
          <w:p>
            <w:pPr>
              <w:spacing w:after="0"/>
              <w:rPr>
                <w:sz w:val="20"/>
                <w:szCs w:val="20"/>
                <w:color w:val="auto"/>
              </w:rPr>
            </w:pPr>
            <w:r>
              <w:rPr>
                <w:rFonts w:ascii="Arial" w:cs="Arial" w:eastAsia="Arial" w:hAnsi="Arial"/>
                <w:sz w:val="11"/>
                <w:szCs w:val="11"/>
                <w:b w:val="1"/>
                <w:bCs w:val="1"/>
                <w:color w:val="auto"/>
              </w:rPr>
              <w:t>Form: 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spacing w:after="0"/>
              <w:rPr>
                <w:sz w:val="20"/>
                <w:szCs w:val="20"/>
                <w:color w:val="auto"/>
              </w:rPr>
            </w:pPr>
            <w:r>
              <w:rPr>
                <w:rFonts w:ascii="Arial" w:cs="Arial" w:eastAsia="Arial" w:hAnsi="Arial"/>
                <w:sz w:val="11"/>
                <w:szCs w:val="11"/>
                <w:b w:val="1"/>
                <w:bCs w:val="1"/>
                <w:color w:val="auto"/>
              </w:rPr>
              <w:t>(D) or Indirect</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tcPr>
          <w:p>
            <w:pPr>
              <w:spacing w:after="0"/>
              <w:rPr>
                <w:sz w:val="20"/>
                <w:szCs w:val="20"/>
                <w:color w:val="auto"/>
              </w:rPr>
            </w:pPr>
            <w:r>
              <w:rPr>
                <w:rFonts w:ascii="Arial" w:cs="Arial" w:eastAsia="Arial" w:hAnsi="Arial"/>
                <w:sz w:val="11"/>
                <w:szCs w:val="11"/>
                <w:b w:val="1"/>
                <w:bCs w:val="1"/>
                <w:color w:val="auto"/>
              </w:rPr>
              <w:t>(I) (Instr. 4)</w:t>
            </w: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2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9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11/05/2024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w w:val="95"/>
              </w:rPr>
              <w:t>67,997</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w:t>
            </w: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Zion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11/05/2024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w w:val="95"/>
              </w:rPr>
              <w:t>67,997</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w:t>
            </w: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Olivet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7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1060" w:type="dxa"/>
            <w:vAlign w:val="bottom"/>
            <w:tcBorders>
              <w:bottom w:val="single" w:sz="8" w:color="2C2C2C"/>
            </w:tcBorders>
          </w:tcPr>
          <w:p>
            <w:pPr>
              <w:spacing w:after="0"/>
              <w:rPr>
                <w:sz w:val="23"/>
                <w:szCs w:val="23"/>
                <w:color w:val="auto"/>
              </w:rPr>
            </w:pPr>
          </w:p>
        </w:tc>
        <w:tc>
          <w:tcPr>
            <w:tcW w:w="4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1000" w:type="dxa"/>
            <w:vAlign w:val="bottom"/>
            <w:tcBorders>
              <w:bottom w:val="single" w:sz="8" w:color="2C2C2C"/>
            </w:tcBorders>
          </w:tcPr>
          <w:p>
            <w:pPr>
              <w:spacing w:after="0"/>
              <w:rPr>
                <w:sz w:val="23"/>
                <w:szCs w:val="23"/>
                <w:color w:val="auto"/>
              </w:rPr>
            </w:pPr>
          </w:p>
        </w:tc>
        <w:tc>
          <w:tcPr>
            <w:tcW w:w="6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62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160" w:type="dxa"/>
            <w:vAlign w:val="bottom"/>
            <w:tcBorders>
              <w:bottom w:val="single" w:sz="8" w:color="2C2C2C"/>
            </w:tcBorders>
          </w:tcPr>
          <w:p>
            <w:pPr>
              <w:spacing w:after="0"/>
              <w:rPr>
                <w:sz w:val="23"/>
                <w:szCs w:val="23"/>
                <w:color w:val="auto"/>
              </w:rPr>
            </w:pPr>
          </w:p>
        </w:tc>
        <w:tc>
          <w:tcPr>
            <w:tcW w:w="50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12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By 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17"/>
                <w:szCs w:val="17"/>
                <w:color w:val="auto"/>
              </w:rPr>
            </w:pPr>
          </w:p>
        </w:tc>
        <w:tc>
          <w:tcPr>
            <w:tcW w:w="1840" w:type="dxa"/>
            <w:vAlign w:val="bottom"/>
            <w:gridSpan w:val="3"/>
            <w:vMerge w:val="restart"/>
          </w:tcPr>
          <w:p>
            <w:pPr>
              <w:ind w:left="940"/>
              <w:spacing w:after="0"/>
              <w:rPr>
                <w:sz w:val="20"/>
                <w:szCs w:val="20"/>
                <w:color w:val="auto"/>
              </w:rPr>
            </w:pPr>
            <w:r>
              <w:rPr>
                <w:rFonts w:ascii="Times New Roman" w:cs="Times New Roman" w:eastAsia="Times New Roman" w:hAnsi="Times New Roman"/>
                <w:sz w:val="16"/>
                <w:szCs w:val="16"/>
                <w:color w:val="0000FF"/>
              </w:rPr>
              <w:t>11/05/2024</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0000FF"/>
                <w:w w:val="95"/>
              </w:rPr>
              <w:t>67,997</w:t>
            </w:r>
          </w:p>
        </w:tc>
        <w:tc>
          <w:tcPr>
            <w:tcW w:w="62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0</w:t>
            </w:r>
          </w:p>
        </w:tc>
        <w:tc>
          <w:tcPr>
            <w:tcW w:w="9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0000FF"/>
              </w:rPr>
              <w:t>I</w:t>
            </w: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Cannan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vMerge w:val="continue"/>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0000FF"/>
              </w:rPr>
              <w:t>Capital,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6"/>
                <w:szCs w:val="16"/>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80" w:type="dxa"/>
            <w:vAlign w:val="bottom"/>
            <w:gridSpan w:val="11"/>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9"/>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9. Number of    10.</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Ownership</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Form:</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Direct (D)</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or Indirect</w:t>
            </w:r>
          </w:p>
        </w:tc>
        <w:tc>
          <w:tcPr>
            <w:tcW w:w="860" w:type="dxa"/>
            <w:vAlign w:val="bottom"/>
            <w:gridSpan w:val="3"/>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900" w:type="dxa"/>
            <w:vAlign w:val="bottom"/>
          </w:tcPr>
          <w:p>
            <w:pPr>
              <w:ind w:left="2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0"/>
                <w:szCs w:val="10"/>
                <w:color w:val="auto"/>
              </w:rPr>
            </w:pPr>
          </w:p>
        </w:tc>
        <w:tc>
          <w:tcPr>
            <w:tcW w:w="50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3"/>
                <w:szCs w:val="13"/>
                <w:color w:val="0000FF"/>
              </w:rPr>
              <w:t>By CP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7"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line="265" w:lineRule="exact"/>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vMerge w:val="restart"/>
          </w:tcPr>
          <w:p>
            <w:pPr>
              <w:ind w:left="380"/>
              <w:spacing w:after="0" w:line="265" w:lineRule="exact"/>
              <w:rPr>
                <w:sz w:val="20"/>
                <w:szCs w:val="20"/>
                <w:color w:val="auto"/>
              </w:rPr>
            </w:pP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90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82"/>
              <w:spacing w:after="0" w:line="139" w:lineRule="exact"/>
              <w:rPr>
                <w:sz w:val="20"/>
                <w:szCs w:val="20"/>
                <w:color w:val="auto"/>
              </w:rPr>
            </w:pPr>
            <w:r>
              <w:rPr>
                <w:rFonts w:ascii="Times New Roman" w:cs="Times New Roman" w:eastAsia="Times New Roman" w:hAnsi="Times New Roman"/>
                <w:sz w:val="13"/>
                <w:szCs w:val="13"/>
                <w:color w:val="0000FF"/>
              </w:rPr>
              <w:t>11/05/2024</w:t>
            </w:r>
          </w:p>
        </w:tc>
        <w:tc>
          <w:tcPr>
            <w:tcW w:w="10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5,069,162</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20" w:type="dxa"/>
            <w:vAlign w:val="bottom"/>
            <w:vMerge w:val="continue"/>
          </w:tcPr>
          <w:p>
            <w:pPr>
              <w:spacing w:after="0"/>
              <w:rPr>
                <w:sz w:val="6"/>
                <w:szCs w:val="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continue"/>
          </w:tcPr>
          <w:p>
            <w:pPr>
              <w:spacing w:after="0"/>
              <w:rPr>
                <w:sz w:val="6"/>
                <w:szCs w:val="6"/>
                <w:color w:val="auto"/>
              </w:rPr>
            </w:pPr>
          </w:p>
        </w:tc>
        <w:tc>
          <w:tcPr>
            <w:tcW w:w="900" w:type="dxa"/>
            <w:vAlign w:val="bottom"/>
            <w:vMerge w:val="restart"/>
          </w:tcPr>
          <w:p>
            <w:pPr>
              <w:ind w:left="5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860" w:type="dxa"/>
            <w:vAlign w:val="bottom"/>
            <w:gridSpan w:val="3"/>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Acquisitions,</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60" w:type="dxa"/>
            <w:vAlign w:val="bottom"/>
            <w:gridSpan w:val="3"/>
            <w:vMerge w:val="restart"/>
          </w:tcPr>
          <w:p>
            <w:pPr>
              <w:ind w:left="100"/>
              <w:spacing w:after="0" w:line="165" w:lineRule="exact"/>
              <w:rPr>
                <w:sz w:val="20"/>
                <w:szCs w:val="20"/>
                <w:color w:val="auto"/>
              </w:rPr>
            </w:pPr>
            <w:r>
              <w:rPr>
                <w:rFonts w:ascii="Times New Roman" w:cs="Times New Roman" w:eastAsia="Times New Roman" w:hAnsi="Times New Roman"/>
                <w:sz w:val="19"/>
                <w:szCs w:val="19"/>
                <w:color w:val="0000FF"/>
                <w:vertAlign w:val="subscript"/>
              </w:rPr>
              <w:t>LLC</w:t>
            </w:r>
            <w:r>
              <w:rPr>
                <w:rFonts w:ascii="Times New Roman" w:cs="Times New Roman" w:eastAsia="Times New Roman" w:hAnsi="Times New Roman"/>
                <w:sz w:val="9"/>
                <w:szCs w:val="9"/>
                <w:color w:val="008000"/>
              </w:rPr>
              <w:t>(4)</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right="240" w:hanging="1"/>
        <w:spacing w:after="0" w:line="257"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On November 5, 2024, each of M Zion Capital, LLC, M Olivet Capital, LLC and M Cannan Capital, LLC, and CP Acquisitions, LLC ("CP Acquisitions"), an entity affiliated with and controlled by Raymond Chang, the former Chairman and Chief Executive Officer of the Issuer and by I-Tseng Jenny Chan, a former member of the Issuer's Board of Directors, entered into a purchase agreement whereby CP Acquisitions sold all of its non-derivative and derivative securities in Issuer to a third party purchaser. In connection with this transaction, the Reporting Person resigned from the board of the Issuer, effective November 5, 2024. Pursuant to this transaction, each of M Zion Capital, LLC, M Olivet Capital, LLC and M Cannan Capital, LLC sold all of its non-derivative and derivative securities in Issuer to a third party purchaser.</w:t>
      </w:r>
    </w:p>
    <w:p>
      <w:pPr>
        <w:spacing w:after="0" w:line="15" w:lineRule="exact"/>
        <w:rPr>
          <w:rFonts w:ascii="Times New Roman" w:cs="Times New Roman" w:eastAsia="Times New Roman" w:hAnsi="Times New Roman"/>
          <w:sz w:val="12"/>
          <w:szCs w:val="12"/>
          <w:color w:val="008000"/>
        </w:rPr>
      </w:pPr>
    </w:p>
    <w:p>
      <w:pPr>
        <w:ind w:left="40" w:right="1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 Zion Capital, LLC, M Olivet Capital, LLC and M Cannan Capital, LLC are entities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was no per share purchase price, and the assets included other consideration aside from the Reporting Person's equity. The total purchase price paid by the buyer to all sellers was $18,280,000.00.</w:t>
      </w:r>
    </w:p>
    <w:p>
      <w:pPr>
        <w:spacing w:after="0" w:line="40" w:lineRule="exact"/>
        <w:rPr>
          <w:rFonts w:ascii="Times New Roman" w:cs="Times New Roman" w:eastAsia="Times New Roman" w:hAnsi="Times New Roman"/>
          <w:sz w:val="13"/>
          <w:szCs w:val="13"/>
          <w:color w:val="008000"/>
        </w:rPr>
      </w:pPr>
    </w:p>
    <w:p>
      <w:pPr>
        <w:jc w:val="both"/>
        <w:ind w:left="40" w:right="360" w:hanging="1"/>
        <w:spacing w:after="0" w:line="23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CP Acquisitions is an entity controlled by the reporting person, and the reported securities may be deemed to be indirectly beneficially owned by the reporting person. The reporting person disclaims beneficial ownership of the reported securities except to the extent of her pecuniary interest therein, and this report shall not be deemed an admission that such person is the beneficial owner of the securities for purposes of Section 16 of the Securities Exchange Act of 1934, as amended, or for any other purpose.</w:t>
      </w:r>
    </w:p>
    <w:p>
      <w:pPr>
        <w:spacing w:after="0" w:line="4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50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I-Tseng Jenny Chan</w:t>
            </w:r>
          </w:p>
        </w:tc>
        <w:tc>
          <w:tcPr>
            <w:tcW w:w="500" w:type="dxa"/>
            <w:vAlign w:val="bottom"/>
          </w:tcPr>
          <w:p>
            <w:pPr>
              <w:spacing w:after="0"/>
              <w:rPr>
                <w:sz w:val="15"/>
                <w:szCs w:val="15"/>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11/07/2024</w:t>
            </w:r>
          </w:p>
        </w:tc>
      </w:tr>
      <w:tr>
        <w:trPr>
          <w:trHeight w:val="20"/>
        </w:trPr>
        <w:tc>
          <w:tcPr>
            <w:tcW w:w="1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9461"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2024-11-07T20:58:10Z</dcterms:created>
  <dcterms:modified xsi:type="dcterms:W3CDTF">2024-11-07T20:58:10Z</dcterms:modified>
</cp:coreProperties>
</file>