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MAHONEY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AGRIFY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2468 INDUSTRIAL ROW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TROY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Agrify Corp</w:t>
              </w:r>
            </w:hyperlink>
            <w:r>
              <w:rPr/>
              <w:t xml:space="preserve"> [ </w:t>
            </w:r>
            <w:r>
              <w:rPr>
                <w:rFonts w:ascii="Times;serif" w:hAnsi="Times;serif"/>
                <w:color w:val="0000FF"/>
                <w:sz w:val="24"/>
                <w:shd w:fill="FFFFFF" w:val="clear"/>
              </w:rPr>
              <w:t>AGFY</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04/24/2024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04/24/2024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63,669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63,669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63,669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under the Agrify Corporation 2022 Omnibus Equity Incentive Plan (the "Plan"). The restricted stock units were granted in lieu of cash compensation that would otherwise be owed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the right to receive, at settlement,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100% of the restricted stock unit will vest on April 24, 2025, subject to obtaining shareholder approval for an increase in shares available under the Plan sufficient to grant the units, and subject to the reporting person's continuous service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Timothy Mahoney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926012" TargetMode="External"/><Relationship Id="rId4" Type="http://schemas.openxmlformats.org/officeDocument/2006/relationships/hyperlink" Target="http://www.sec.gov/cgi-bin/browse-edgar?action=getcompany&amp;CIK=000180063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659</Words>
  <Characters>3574</Characters>
  <CharactersWithSpaces>4169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