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41"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RSLGH,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41"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325 WEST HURON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1"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200" w:type="dxa"/>
            <w:vAlign w:val="bottom"/>
            <w:gridSpan w:val="3"/>
          </w:tcPr>
          <w:p>
            <w:pPr>
              <w:ind w:left="260"/>
              <w:spacing w:after="0"/>
              <w:rPr>
                <w:sz w:val="20"/>
                <w:szCs w:val="20"/>
                <w:color w:val="auto"/>
              </w:rPr>
            </w:pPr>
            <w:r>
              <w:rPr>
                <w:rFonts w:ascii="Arial" w:cs="Arial" w:eastAsia="Arial" w:hAnsi="Arial"/>
                <w:sz w:val="15"/>
                <w:szCs w:val="15"/>
                <w:b w:val="1"/>
                <w:bCs w:val="1"/>
                <w:color w:val="auto"/>
                <w:w w:val="97"/>
              </w:rPr>
              <w:t>3. Ownership</w:t>
            </w:r>
          </w:p>
        </w:tc>
        <w:tc>
          <w:tcPr>
            <w:tcW w:w="3020" w:type="dxa"/>
            <w:vAlign w:val="bottom"/>
            <w:gridSpan w:val="4"/>
          </w:tcPr>
          <w:p>
            <w:pPr>
              <w:ind w:left="24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200" w:type="dxa"/>
            <w:vAlign w:val="bottom"/>
            <w:gridSpan w:val="3"/>
          </w:tcPr>
          <w:p>
            <w:pPr>
              <w:ind w:left="260"/>
              <w:spacing w:after="0" w:line="165" w:lineRule="exact"/>
              <w:rPr>
                <w:sz w:val="20"/>
                <w:szCs w:val="20"/>
                <w:color w:val="auto"/>
              </w:rPr>
            </w:pPr>
            <w:r>
              <w:rPr>
                <w:rFonts w:ascii="Arial" w:cs="Arial" w:eastAsia="Arial" w:hAnsi="Arial"/>
                <w:sz w:val="15"/>
                <w:szCs w:val="15"/>
                <w:b w:val="1"/>
                <w:bCs w:val="1"/>
                <w:color w:val="auto"/>
              </w:rPr>
              <w:t>Form: Direct</w:t>
            </w:r>
          </w:p>
        </w:tc>
        <w:tc>
          <w:tcPr>
            <w:tcW w:w="166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860" w:type="dxa"/>
            <w:vAlign w:val="bottom"/>
            <w:gridSpan w:val="4"/>
          </w:tcPr>
          <w:p>
            <w:pPr>
              <w:ind w:left="260"/>
              <w:spacing w:after="0" w:line="165" w:lineRule="exact"/>
              <w:rPr>
                <w:sz w:val="20"/>
                <w:szCs w:val="20"/>
                <w:color w:val="auto"/>
              </w:rPr>
            </w:pPr>
            <w:r>
              <w:rPr>
                <w:rFonts w:ascii="Arial" w:cs="Arial" w:eastAsia="Arial" w:hAnsi="Arial"/>
                <w:sz w:val="15"/>
                <w:szCs w:val="15"/>
                <w:b w:val="1"/>
                <w:bCs w:val="1"/>
                <w:color w:val="auto"/>
              </w:rPr>
              <w:t>(D) or Indirect</w:t>
            </w: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0" w:type="dxa"/>
            <w:vAlign w:val="bottom"/>
            <w:gridSpan w:val="3"/>
          </w:tcPr>
          <w:p>
            <w:pPr>
              <w:ind w:left="260"/>
              <w:spacing w:after="0"/>
              <w:rPr>
                <w:sz w:val="20"/>
                <w:szCs w:val="20"/>
                <w:color w:val="auto"/>
              </w:rPr>
            </w:pPr>
            <w:r>
              <w:rPr>
                <w:rFonts w:ascii="Arial" w:cs="Arial" w:eastAsia="Arial" w:hAnsi="Arial"/>
                <w:sz w:val="15"/>
                <w:szCs w:val="15"/>
                <w:b w:val="1"/>
                <w:bCs w:val="1"/>
                <w:color w:val="auto"/>
              </w:rPr>
              <w:t>(I) (Instr. 5)</w:t>
            </w: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690,149</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gridSpan w:val="2"/>
          </w:tcPr>
          <w:p>
            <w:pPr>
              <w:ind w:left="640"/>
              <w:spacing w:after="0" w:line="359" w:lineRule="exact"/>
              <w:rPr>
                <w:sz w:val="20"/>
                <w:szCs w:val="20"/>
                <w:color w:val="auto"/>
              </w:rPr>
            </w:pPr>
            <w:r>
              <w:rPr>
                <w:rFonts w:ascii="Times New Roman" w:cs="Times New Roman" w:eastAsia="Times New Roman" w:hAnsi="Times New Roman"/>
                <w:sz w:val="39"/>
                <w:szCs w:val="39"/>
                <w:color w:val="0000FF"/>
                <w:w w:val="82"/>
                <w:vertAlign w:val="subscript"/>
              </w:rPr>
              <w:t>D</w:t>
            </w:r>
            <w:r>
              <w:rPr>
                <w:rFonts w:ascii="Times New Roman" w:cs="Times New Roman" w:eastAsia="Times New Roman" w:hAnsi="Times New Roman"/>
                <w:sz w:val="13"/>
                <w:szCs w:val="13"/>
                <w:color w:val="008000"/>
                <w:w w:val="82"/>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6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080" w:type="dxa"/>
            <w:vAlign w:val="bottom"/>
            <w:gridSpan w:val="11"/>
          </w:tcPr>
          <w:p>
            <w:pPr>
              <w:ind w:left="128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60" w:type="dxa"/>
            <w:vAlign w:val="bottom"/>
          </w:tcPr>
          <w:p>
            <w:pPr>
              <w:spacing w:after="0"/>
              <w:rPr>
                <w:sz w:val="18"/>
                <w:szCs w:val="18"/>
                <w:color w:val="auto"/>
              </w:rPr>
            </w:pPr>
          </w:p>
        </w:tc>
        <w:tc>
          <w:tcPr>
            <w:tcW w:w="194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spacing w:after="0"/>
              <w:rPr>
                <w:sz w:val="20"/>
                <w:szCs w:val="20"/>
                <w:color w:val="auto"/>
              </w:rPr>
            </w:pPr>
            <w:r>
              <w:rPr>
                <w:rFonts w:ascii="Arial" w:cs="Arial" w:eastAsia="Arial" w:hAnsi="Arial"/>
                <w:sz w:val="15"/>
                <w:szCs w:val="15"/>
                <w:b w:val="1"/>
                <w:bCs w:val="1"/>
                <w:color w:val="auto"/>
              </w:rPr>
              <w:t>4.</w:t>
            </w:r>
          </w:p>
        </w:tc>
        <w:tc>
          <w:tcPr>
            <w:tcW w:w="6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vMerge w:val="continue"/>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w w:val="96"/>
              </w:rPr>
              <w:t>Pre-Funded 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5,069,162</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0.015</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w w:val="96"/>
              </w:rPr>
              <w:t>Pre-Funded 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1,085,123</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0.015</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5"/>
              </w:rPr>
              <w:t>02/28/2023</w:t>
            </w:r>
            <w:r>
              <w:rPr>
                <w:rFonts w:ascii="Times New Roman" w:cs="Times New Roman" w:eastAsia="Times New Roman" w:hAnsi="Times New Roman"/>
                <w:sz w:val="25"/>
                <w:szCs w:val="25"/>
                <w:color w:val="008000"/>
                <w:w w:val="95"/>
                <w:vertAlign w:val="superscript"/>
              </w:rPr>
              <w:t>(4)</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3"/>
              </w:rPr>
              <w:t>02/28/2028</w:t>
            </w:r>
            <w:r>
              <w:rPr>
                <w:rFonts w:ascii="Times New Roman" w:cs="Times New Roman" w:eastAsia="Times New Roman" w:hAnsi="Times New Roman"/>
                <w:sz w:val="25"/>
                <w:szCs w:val="25"/>
                <w:color w:val="008000"/>
                <w:w w:val="93"/>
                <w:vertAlign w:val="superscript"/>
              </w:rPr>
              <w:t>(4)</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15,385</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20"/>
                <w:szCs w:val="20"/>
                <w:color w:val="0000FF"/>
                <w:w w:val="97"/>
              </w:rPr>
              <w:t>2.11</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9"/>
              </w:rPr>
              <w:t>09/18/2020</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9"/>
              </w:rPr>
              <w:t>09/18/2025</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22</w:t>
            </w: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20"/>
                <w:szCs w:val="20"/>
                <w:color w:val="0000FF"/>
                <w:w w:val="89"/>
              </w:rPr>
              <w:t>60</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Warrants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5"/>
              </w:rPr>
              <w:t>07/28/2022</w:t>
            </w:r>
            <w:r>
              <w:rPr>
                <w:rFonts w:ascii="Times New Roman" w:cs="Times New Roman" w:eastAsia="Times New Roman" w:hAnsi="Times New Roman"/>
                <w:sz w:val="25"/>
                <w:szCs w:val="25"/>
                <w:color w:val="008000"/>
                <w:w w:val="95"/>
                <w:vertAlign w:val="superscript"/>
              </w:rPr>
              <w:t>(4)</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5"/>
                <w:szCs w:val="15"/>
                <w:color w:val="0000FF"/>
                <w:w w:val="93"/>
              </w:rPr>
              <w:t>07/28/2027</w:t>
            </w:r>
            <w:r>
              <w:rPr>
                <w:rFonts w:ascii="Times New Roman" w:cs="Times New Roman" w:eastAsia="Times New Roman" w:hAnsi="Times New Roman"/>
                <w:sz w:val="25"/>
                <w:szCs w:val="25"/>
                <w:color w:val="008000"/>
                <w:w w:val="93"/>
                <w:vertAlign w:val="superscript"/>
              </w:rPr>
              <w:t>(4)</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10</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8"/>
              </w:rPr>
              <w:t>22,440</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Employee Stock options (right to</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11/05/2024</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423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vMerge w:val="restart"/>
          </w:tcPr>
          <w:p>
            <w:pPr>
              <w:jc w:val="center"/>
              <w:ind w:right="238"/>
              <w:spacing w:after="0"/>
              <w:rPr>
                <w:sz w:val="20"/>
                <w:szCs w:val="20"/>
                <w:color w:val="auto"/>
              </w:rPr>
            </w:pPr>
            <w:r>
              <w:rPr>
                <w:rFonts w:ascii="Times New Roman" w:cs="Times New Roman" w:eastAsia="Times New Roman" w:hAnsi="Times New Roman"/>
                <w:sz w:val="39"/>
                <w:szCs w:val="39"/>
                <w:color w:val="0000FF"/>
                <w:w w:val="92"/>
                <w:vertAlign w:val="subscript"/>
              </w:rPr>
              <w:t>0</w:t>
            </w:r>
            <w:r>
              <w:rPr>
                <w:rFonts w:ascii="Times New Roman" w:cs="Times New Roman" w:eastAsia="Times New Roman" w:hAnsi="Times New Roman"/>
                <w:sz w:val="13"/>
                <w:szCs w:val="13"/>
                <w:color w:val="008000"/>
                <w:w w:val="92"/>
              </w:rPr>
              <w:t>(5)</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Convertible Note (right to buy)</w:t>
            </w:r>
          </w:p>
        </w:tc>
        <w:tc>
          <w:tcPr>
            <w:tcW w:w="10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3"/>
                <w:szCs w:val="13"/>
                <w:color w:val="008000"/>
              </w:rPr>
              <w:t>(6)</w:t>
            </w:r>
          </w:p>
        </w:tc>
        <w:tc>
          <w:tcPr>
            <w:tcW w:w="9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6,333,122</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3.158</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RSLGH, LLC</w:t>
              </w:r>
            </w:hyperlink>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2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325 WEST HURON STREET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SUITE 700</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CHICAGO</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IL</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60654</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2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41"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3">
        <w:r>
          <w:rPr>
            <w:rFonts w:ascii="Times New Roman" w:cs="Times New Roman" w:eastAsia="Times New Roman" w:hAnsi="Times New Roman"/>
            <w:sz w:val="23"/>
            <w:szCs w:val="23"/>
            <w:u w:val="single" w:color="auto"/>
            <w:color w:val="0000EE"/>
          </w:rPr>
          <w:t>Green Thumb Industries Inc.</w:t>
        </w:r>
      </w:hyperlink>
    </w:p>
    <w:p>
      <w:pPr>
        <w:sectPr>
          <w:pgSz w:w="11900" w:h="16838" w:orient="portrait"/>
          <w:cols w:equalWidth="0" w:num="1">
            <w:col w:w="10940"/>
          </w:cols>
          <w:pgMar w:left="480" w:top="230" w:right="479" w:bottom="41"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420" w:type="dxa"/>
            <w:vAlign w:val="bottom"/>
          </w:tcPr>
          <w:p>
            <w:pPr>
              <w:ind w:left="240"/>
              <w:spacing w:after="0"/>
              <w:rPr>
                <w:sz w:val="20"/>
                <w:szCs w:val="20"/>
                <w:color w:val="auto"/>
              </w:rPr>
            </w:pPr>
            <w:r>
              <w:rPr>
                <w:rFonts w:ascii="Arial" w:cs="Arial" w:eastAsia="Arial" w:hAnsi="Arial"/>
                <w:sz w:val="15"/>
                <w:szCs w:val="15"/>
                <w:color w:val="auto"/>
              </w:rPr>
              <w:t>(First)</w:t>
            </w:r>
          </w:p>
        </w:tc>
        <w:tc>
          <w:tcPr>
            <w:tcW w:w="154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325 WEST HURON STREET</w:t>
            </w:r>
          </w:p>
        </w:tc>
        <w:tc>
          <w:tcPr>
            <w:tcW w:w="15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700</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CHICAGO</w:t>
            </w: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IL</w:t>
            </w:r>
          </w:p>
        </w:tc>
        <w:tc>
          <w:tcPr>
            <w:tcW w:w="15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60654</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420" w:type="dxa"/>
            <w:vAlign w:val="bottom"/>
          </w:tcPr>
          <w:p>
            <w:pPr>
              <w:ind w:left="240"/>
              <w:spacing w:after="0"/>
              <w:rPr>
                <w:sz w:val="20"/>
                <w:szCs w:val="20"/>
                <w:color w:val="auto"/>
              </w:rPr>
            </w:pPr>
            <w:r>
              <w:rPr>
                <w:rFonts w:ascii="Arial" w:cs="Arial" w:eastAsia="Arial" w:hAnsi="Arial"/>
                <w:sz w:val="15"/>
                <w:szCs w:val="15"/>
                <w:color w:val="auto"/>
              </w:rPr>
              <w:t>(State)</w:t>
            </w:r>
          </w:p>
        </w:tc>
        <w:tc>
          <w:tcPr>
            <w:tcW w:w="1540" w:type="dxa"/>
            <w:vAlign w:val="bottom"/>
          </w:tcPr>
          <w:p>
            <w:pPr>
              <w:ind w:left="20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-1335405</wp:posOffset>
            </wp:positionV>
            <wp:extent cx="2798445" cy="1423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42303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22,783 shares of Common Stock (the "Award Stock") issuable upon vesting and settlement of restricted stock units held by Raymond Chang, the former Chief Executive Officer of the Issuer ("Mr. Chang") granted to Mr. Chang under the Agrify Corporation 2022 Omnibus Equity Incentive Plan, as amended (the "Plan"). On November 5, 2024, RSLGH, LLC ("Investor") entered into a purchase agreement whereby it purchased, among other securities, the indicated securities of the Issuer from Mr. Chang, certain of his affiliated parties, and I-Tseng Jenny Chan, a former member of the Issuer's Board of Directors (the "Purchase Agreement"). Pursuant to the terms of the Purchase Agreement, Mr. Chang is required to (i) to promptly transfer the Award Stock to Investor promptly upon receipt of such Award Stock; and (ii) to not sell, assign, encumber or in any other way transfer any of the Award Stock except to Investor.</w:t>
      </w:r>
    </w:p>
    <w:p>
      <w:pPr>
        <w:spacing w:after="0" w:line="32"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Investor is the direct beneficial owner of the Securities. Investor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Core Growth, LLC. Core Growth, LLC is the sole member of Investor.</w:t>
      </w:r>
    </w:p>
    <w:p>
      <w:pPr>
        <w:spacing w:after="0" w:line="29" w:lineRule="exact"/>
        <w:rPr>
          <w:rFonts w:ascii="Times New Roman" w:cs="Times New Roman" w:eastAsia="Times New Roman" w:hAnsi="Times New Roman"/>
          <w:sz w:val="15"/>
          <w:szCs w:val="15"/>
          <w:color w:val="008000"/>
        </w:rPr>
      </w:pPr>
    </w:p>
    <w:p>
      <w:pPr>
        <w:ind w:right="18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November 5, 2024, pursuant to the Purchase Agreement, each of GIC Acquisition, LLC, RTC3 2020 Irrevocable Family Trust, Chinwei Wang, Mr. Chang, and CP Acquisitions, LLC, an entity affiliated with and controlled by Mr. Chang and by I-Tseng Jenny Chan, sold or otherwise disposed all of its pre-funded warrants and derivative securities in Issuer to Investor. Each pre-funded warrant may be exercised for one share of common stock. The pre-funded warrants are exercisable at any time and do not expire, and are subject to a 49.99% beneficial ownership limitation.</w:t>
      </w:r>
    </w:p>
    <w:p>
      <w:pPr>
        <w:spacing w:after="0" w:line="33" w:lineRule="exact"/>
        <w:rPr>
          <w:rFonts w:ascii="Times New Roman" w:cs="Times New Roman" w:eastAsia="Times New Roman" w:hAnsi="Times New Roman"/>
          <w:sz w:val="15"/>
          <w:szCs w:val="15"/>
          <w:color w:val="008000"/>
        </w:rPr>
      </w:pPr>
    </w:p>
    <w:p>
      <w:pPr>
        <w:jc w:val="both"/>
        <w:ind w:right="48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warrant will be exercisable during the period beginning on the date when approval for such exercise is obtained from the Issuer's stockholders and ending five years thereafter, at a current adjusted exercise price of $2.11, and subject to further adjustment as provided under the warrant agreement, and the reverse stock splits of the Issuer's Common Stock effective on July 5, 2023 and October 4, 2024.</w:t>
      </w:r>
    </w:p>
    <w:p>
      <w:pPr>
        <w:spacing w:after="0" w:line="29"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Mr. Chang holds Stock Options (the "Award Options") to buy 423 shares of Common Stock, at a purchase price, payable by Mr. Chang, of $14,580 per share for 88 shares;</w:t>
      </w:r>
    </w:p>
    <w:p>
      <w:pPr>
        <w:spacing w:after="0" w:line="9"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15"/>
          <w:szCs w:val="15"/>
          <w:color w:val="008000"/>
        </w:rPr>
        <w:t>$6,840 per share for 118 shares, and $41,520 for 217 shares. Upon exercise, Mr. Chang is required to (i) promptly transfer the Common Stock underlying the Award Options to Investor promptly upon receipt of such Common Stock; (ii) to not sell, assign, encumber or in any other way transfer any of the Common Stock underlying the Award Options except to Investor, and (iii) not exercise any Award Options unless in connection with transferring the underlying Common Stock to Investor with the consent of Investor. The Award Options are exercisable beginning on various dates between May 2030 and February 2032.</w:t>
      </w:r>
    </w:p>
    <w:p>
      <w:pPr>
        <w:spacing w:after="0" w:line="32" w:lineRule="exact"/>
        <w:rPr>
          <w:sz w:val="20"/>
          <w:szCs w:val="20"/>
          <w:color w:val="auto"/>
        </w:rPr>
      </w:pPr>
    </w:p>
    <w:p>
      <w:pPr>
        <w:ind w:right="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conversion of the Convertible Note is subject to certain customary conditions and the receipt of stockholder approval to the extent necessary under applicable listing rules of The Nasdaq Stock Market, Inc. Shareholder approval has not yet been obtained.</w:t>
      </w:r>
    </w:p>
    <w:p>
      <w:pPr>
        <w:sectPr>
          <w:pgSz w:w="11900" w:h="16838" w:orient="portrait"/>
          <w:cols w:equalWidth="0" w:num="1">
            <w:col w:w="10840"/>
          </w:cols>
          <w:pgMar w:left="520" w:top="125" w:right="539" w:bottom="144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0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Secretary,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01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201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RSLGH,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0167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16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0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Secretary,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01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201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Green Thumb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09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892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2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20" w:space="100"/>
            <w:col w:w="2120"/>
          </w:cols>
          <w:pgMar w:left="520" w:top="125" w:right="5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0" Type="http://schemas.openxmlformats.org/officeDocument/2006/relationships/hyperlink" Target="http://www.sec.gov/cgi-bin/browse-edgar?action=getcompany&amp;CIK=0002043397" TargetMode="External"/><Relationship Id="rId11" Type="http://schemas.openxmlformats.org/officeDocument/2006/relationships/hyperlink" Target="http://www.sec.gov/cgi-bin/browse-edgar?action=getcompany&amp;CIK=0001800637" TargetMode="External"/><Relationship Id="rId13"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2024-11-15T05:50:35Z</dcterms:created>
  <dcterms:modified xsi:type="dcterms:W3CDTF">2024-11-15T05:50:35Z</dcterms:modified>
</cp:coreProperties>
</file>