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500" w:right="940" w:hanging="2559"/>
        <w:spacing w:after="0" w:line="500" w:lineRule="auto"/>
        <w:tabs>
          <w:tab w:leader="none" w:pos="113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156845</wp:posOffset>
            </wp:positionV>
            <wp:extent cx="822960" cy="677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5520" w:type="dxa"/>
            <w:vAlign w:val="bottom"/>
            <w:tcBorders>
              <w:top w:val="single" w:sz="8" w:color="auto"/>
            </w:tcBorders>
          </w:tcPr>
          <w:p>
            <w:pPr>
              <w:ind w:left="170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ind w:left="212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74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Troy, Michigan 48084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2"/>
        </w:trPr>
        <w:tc>
          <w:tcPr>
            <w:tcW w:w="46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jc w:val="center"/>
              <w:ind w:right="550"/>
              <w:spacing w:after="0"/>
              <w:rPr>
                <w:sz w:val="20"/>
                <w:szCs w:val="20"/>
                <w:color w:val="auto"/>
              </w:rPr>
            </w:pPr>
            <w:r>
              <w:rPr>
                <w:rFonts w:ascii="Times New Roman" w:cs="Times New Roman" w:eastAsia="Times New Roman" w:hAnsi="Times New Roman"/>
                <w:sz w:val="18"/>
                <w:szCs w:val="18"/>
                <w:color w:val="auto"/>
              </w:rPr>
              <w:t>AGFY</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3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3"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13, 2024, the registrant had 14,229,386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4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8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000" w:type="dxa"/>
            <w:vAlign w:val="bottom"/>
            <w:shd w:val="clear" w:color="auto" w:fill="CCEEFF"/>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rPr>
                <w:sz w:val="17"/>
                <w:szCs w:val="17"/>
                <w:color w:val="auto"/>
              </w:rPr>
            </w:pP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2024 (unaudited) and December 31,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880" w:type="dxa"/>
            <w:vAlign w:val="bottom"/>
            <w:shd w:val="clear" w:color="auto" w:fill="CCEEFF"/>
          </w:tcPr>
          <w:p>
            <w:pPr>
              <w:spacing w:after="0"/>
              <w:rPr>
                <w:sz w:val="15"/>
                <w:szCs w:val="15"/>
                <w:color w:val="auto"/>
              </w:rPr>
            </w:pP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2024 (unaudited) and 2023</w:t>
            </w:r>
          </w:p>
        </w:tc>
        <w:tc>
          <w:tcPr>
            <w:tcW w:w="1000" w:type="dxa"/>
            <w:vAlign w:val="bottom"/>
            <w:shd w:val="clear" w:color="auto" w:fill="CCEEFF"/>
          </w:tcPr>
          <w:p>
            <w:pPr>
              <w:spacing w:after="0"/>
              <w:rPr>
                <w:sz w:val="15"/>
                <w:szCs w:val="15"/>
                <w:color w:val="auto"/>
              </w:rPr>
            </w:pPr>
          </w:p>
        </w:tc>
      </w:tr>
      <w:tr>
        <w:trPr>
          <w:trHeight w:val="217"/>
        </w:trPr>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9140" w:type="dxa"/>
            <w:vAlign w:val="bottom"/>
            <w:tcBorders>
              <w:top w:val="single" w:sz="8" w:color="0000EE"/>
            </w:tcBorders>
            <w:gridSpan w:val="17"/>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880" w:type="dxa"/>
            <w:vAlign w:val="bottom"/>
            <w:shd w:val="clear" w:color="auto" w:fill="CCEEFF"/>
          </w:tcPr>
          <w:p>
            <w:pPr>
              <w:spacing w:after="0"/>
              <w:rPr>
                <w:sz w:val="15"/>
                <w:szCs w:val="15"/>
                <w:color w:val="auto"/>
              </w:rPr>
            </w:pP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Deficit for the three months ended March 31, 2024 (unaudited) and 2023</w:t>
            </w:r>
          </w:p>
        </w:tc>
        <w:tc>
          <w:tcPr>
            <w:tcW w:w="1000" w:type="dxa"/>
            <w:vAlign w:val="bottom"/>
            <w:shd w:val="clear" w:color="auto" w:fill="CCEEFF"/>
          </w:tcPr>
          <w:p>
            <w:pPr>
              <w:spacing w:after="0"/>
              <w:rPr>
                <w:sz w:val="15"/>
                <w:szCs w:val="15"/>
                <w:color w:val="auto"/>
              </w:rPr>
            </w:pPr>
          </w:p>
        </w:tc>
      </w:tr>
      <w:tr>
        <w:trPr>
          <w:trHeight w:val="217"/>
        </w:trPr>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9140" w:type="dxa"/>
            <w:vAlign w:val="bottom"/>
            <w:tcBorders>
              <w:top w:val="single" w:sz="8" w:color="0000EE"/>
            </w:tcBorders>
            <w:gridSpan w:val="17"/>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880" w:type="dxa"/>
            <w:vAlign w:val="bottom"/>
            <w:shd w:val="clear" w:color="auto" w:fill="CCEEFF"/>
          </w:tcPr>
          <w:p>
            <w:pPr>
              <w:spacing w:after="0"/>
              <w:rPr>
                <w:sz w:val="15"/>
                <w:szCs w:val="15"/>
                <w:color w:val="auto"/>
              </w:rPr>
            </w:pP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2024 (unaudited) and 2023</w:t>
            </w:r>
          </w:p>
        </w:tc>
        <w:tc>
          <w:tcPr>
            <w:tcW w:w="1000" w:type="dxa"/>
            <w:vAlign w:val="bottom"/>
            <w:shd w:val="clear" w:color="auto" w:fill="CCEEFF"/>
          </w:tcPr>
          <w:p>
            <w:pPr>
              <w:spacing w:after="0"/>
              <w:rPr>
                <w:sz w:val="15"/>
                <w:szCs w:val="15"/>
                <w:color w:val="auto"/>
              </w:rPr>
            </w:pPr>
          </w:p>
        </w:tc>
      </w:tr>
      <w:tr>
        <w:trPr>
          <w:trHeight w:val="217"/>
        </w:trPr>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9140" w:type="dxa"/>
            <w:vAlign w:val="bottom"/>
            <w:tcBorders>
              <w:top w:val="single" w:sz="8" w:color="0000EE"/>
            </w:tcBorders>
            <w:gridSpan w:val="17"/>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rPr>
                <w:sz w:val="17"/>
                <w:szCs w:val="17"/>
                <w:color w:val="auto"/>
              </w:rPr>
            </w:pP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02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8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$2,512 and $1,887 at March 31, 2024 and December 31,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 of reserves of $17,184 and $17,599 at March 31, 2024 and December 31, 2023, respectively</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18,862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receivable,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 receivable, net of allowance for credit losses of $18,885 and $19,215 at March 31, 2024 and December 31,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respectively, net of current</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10,891</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7,328</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1,651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40,861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12,428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7,843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1,374</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696</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3,784</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27,740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41,249</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 of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debt, net of 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17,683</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50,586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59,980</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35,000,000 and 10,000,000 shares authorized at March 31, 2024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 13,275,702 and 1,702,243 shares issued and outstanding at March 31, 2024 and</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8680" w:type="dxa"/>
            <w:vAlign w:val="bottom"/>
            <w:shd w:val="clear" w:color="auto" w:fill="CCEEFF"/>
          </w:tcPr>
          <w:p>
            <w:pPr>
              <w:ind w:left="340"/>
              <w:spacing w:after="0" w:line="271" w:lineRule="exact"/>
              <w:rPr>
                <w:sz w:val="20"/>
                <w:szCs w:val="20"/>
                <w:color w:val="auto"/>
              </w:rPr>
            </w:pPr>
            <w:r>
              <w:rPr>
                <w:rFonts w:ascii="Times New Roman" w:cs="Times New Roman" w:eastAsia="Times New Roman" w:hAnsi="Times New Roman"/>
                <w:sz w:val="18"/>
                <w:szCs w:val="18"/>
                <w:color w:val="auto"/>
              </w:rPr>
              <w:t xml:space="preserve">December 31, 2023, respectively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per share, 2,895,000 shares authorized, no shares issued or outstanding</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A Stock, $0.001 par value per share, 105,000 shares authorized, no shares issued or outstanding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255,867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(265,835)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(265,797)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deficit attributable to Agrify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(9,955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(14,940</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40,861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1-for-20 reverse stock split on July 5, 2023. Additional information regarding the reverse stock splits may be found in Note 1 – Overview, Basis of Presentation, and Significant Accounting Policies, included in the notes to the consolidated financial statements</w:t>
      </w: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$0 and $46 from related parties, respectively)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1,869</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(7,584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Net loss before income taxes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(10,327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 (1)</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rPr>
              <w:t>Weighted average common shares outstanding - basic and diluted (1)</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8,894,229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1-for-20 reverse stock split on July 5, 2023. Additional information regarding reverse stock splits may be found in Note 1 – Overview, Basis of Presentation, and Significant Accounting Policies, included elsewhere in the notes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 A Stock</w:t>
            </w:r>
          </w:p>
        </w:tc>
        <w:tc>
          <w:tcPr>
            <w:tcW w:w="780" w:type="dxa"/>
            <w:vAlign w:val="bottom"/>
            <w:gridSpan w:val="3"/>
            <w:vMerge w:val="continue"/>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40" w:type="dxa"/>
            <w:vAlign w:val="bottom"/>
            <w:gridSpan w:val="2"/>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continue"/>
          </w:tcPr>
          <w:p>
            <w:pPr>
              <w:spacing w:after="0"/>
              <w:rPr>
                <w:sz w:val="14"/>
                <w:szCs w:val="14"/>
                <w:color w:val="auto"/>
              </w:rPr>
            </w:pPr>
          </w:p>
        </w:tc>
        <w:tc>
          <w:tcPr>
            <w:tcW w:w="1000" w:type="dxa"/>
            <w:vAlign w:val="bottom"/>
            <w:gridSpan w:val="3"/>
          </w:tcPr>
          <w:p>
            <w:pPr>
              <w:jc w:val="center"/>
              <w:ind w:right="21"/>
              <w:spacing w:after="0" w:line="160"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96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4"/>
                <w:szCs w:val="14"/>
                <w:color w:val="auto"/>
              </w:rPr>
            </w:pPr>
          </w:p>
        </w:tc>
        <w:tc>
          <w:tcPr>
            <w:tcW w:w="94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7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6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6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4"/>
                <w:szCs w:val="14"/>
                <w:color w:val="auto"/>
              </w:rPr>
            </w:pPr>
          </w:p>
        </w:tc>
        <w:tc>
          <w:tcPr>
            <w:tcW w:w="80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840" w:type="dxa"/>
            <w:vAlign w:val="bottom"/>
            <w:gridSpan w:val="2"/>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Agrify</w:t>
            </w: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8"/>
        </w:trPr>
        <w:tc>
          <w:tcPr>
            <w:tcW w:w="23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1,038,298</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237,875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(247,148)</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(9,272)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(9,041)</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140" w:type="dxa"/>
            <w:vAlign w:val="bottom"/>
          </w:tcPr>
          <w:p>
            <w:pPr>
              <w:spacing w:after="0"/>
              <w:rPr>
                <w:sz w:val="12"/>
                <w:szCs w:val="12"/>
                <w:color w:val="auto"/>
              </w:rPr>
            </w:pPr>
          </w:p>
        </w:tc>
        <w:tc>
          <w:tcPr>
            <w:tcW w:w="800" w:type="dxa"/>
            <w:vAlign w:val="bottom"/>
            <w:gridSpan w:val="2"/>
          </w:tcPr>
          <w:p>
            <w:pPr>
              <w:jc w:val="right"/>
              <w:ind w:right="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an</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323,082</w:t>
            </w:r>
          </w:p>
        </w:tc>
        <w:tc>
          <w:tcPr>
            <w:tcW w:w="44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1,545</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4"/>
                <w:szCs w:val="14"/>
                <w:color w:val="auto"/>
              </w:rPr>
              <w:t>1,545</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 the market” offering, net of fees</w:t>
            </w:r>
          </w:p>
        </w:tc>
        <w:tc>
          <w:tcPr>
            <w:tcW w:w="74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to Pure</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366</w:t>
            </w:r>
          </w:p>
        </w:tc>
        <w:tc>
          <w:tcPr>
            <w:tcW w:w="44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0"/>
                <w:szCs w:val="10"/>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Pressure</w:t>
            </w:r>
          </w:p>
        </w:tc>
        <w:tc>
          <w:tcPr>
            <w:tcW w:w="7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4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Proceeds from Employee Stock</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44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0"/>
                <w:szCs w:val="10"/>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0"/>
                <w:szCs w:val="10"/>
                <w:color w:val="auto"/>
              </w:rPr>
            </w:pPr>
          </w:p>
        </w:tc>
        <w:tc>
          <w:tcPr>
            <w:tcW w:w="80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Plan Shares</w:t>
            </w:r>
          </w:p>
        </w:tc>
        <w:tc>
          <w:tcPr>
            <w:tcW w:w="7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(10,327)</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10"/>
        </w:trPr>
        <w:tc>
          <w:tcPr>
            <w:tcW w:w="232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1,364,263</w:t>
            </w:r>
          </w:p>
        </w:tc>
        <w:tc>
          <w:tcPr>
            <w:tcW w:w="100" w:type="dxa"/>
            <w:vAlign w:val="bottom"/>
          </w:tcPr>
          <w:p>
            <w:pPr>
              <w:spacing w:after="0"/>
              <w:rPr>
                <w:sz w:val="18"/>
                <w:szCs w:val="18"/>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8"/>
                <w:szCs w:val="18"/>
                <w:color w:val="auto"/>
              </w:rPr>
            </w:pPr>
          </w:p>
        </w:tc>
        <w:tc>
          <w:tcPr>
            <w:tcW w:w="5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8"/>
                <w:szCs w:val="18"/>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240,304</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(257,475</w:t>
            </w:r>
          </w:p>
        </w:tc>
        <w:tc>
          <w:tcPr>
            <w:tcW w:w="120" w:type="dxa"/>
            <w:vAlign w:val="bottom"/>
            <w:vMerge w:val="continue"/>
          </w:tcPr>
          <w:p>
            <w:pPr>
              <w:spacing w:after="0"/>
              <w:rPr>
                <w:sz w:val="18"/>
                <w:szCs w:val="18"/>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(17,170</w:t>
            </w:r>
          </w:p>
        </w:tc>
        <w:tc>
          <w:tcPr>
            <w:tcW w:w="1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231</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(16,939</w:t>
            </w:r>
          </w:p>
        </w:tc>
        <w:tc>
          <w:tcPr>
            <w:tcW w:w="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 A Stock</w:t>
            </w:r>
          </w:p>
        </w:tc>
        <w:tc>
          <w:tcPr>
            <w:tcW w:w="780" w:type="dxa"/>
            <w:vAlign w:val="bottom"/>
            <w:gridSpan w:val="3"/>
            <w:vMerge w:val="continue"/>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40" w:type="dxa"/>
            <w:vAlign w:val="bottom"/>
            <w:gridSpan w:val="2"/>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940" w:type="dxa"/>
            <w:vAlign w:val="bottom"/>
            <w:gridSpan w:val="3"/>
            <w:vMerge w:val="continue"/>
          </w:tcPr>
          <w:p>
            <w:pPr>
              <w:spacing w:after="0"/>
              <w:rPr>
                <w:sz w:val="14"/>
                <w:szCs w:val="14"/>
                <w:color w:val="auto"/>
              </w:rPr>
            </w:pPr>
          </w:p>
        </w:tc>
        <w:tc>
          <w:tcPr>
            <w:tcW w:w="1000" w:type="dxa"/>
            <w:vAlign w:val="bottom"/>
            <w:gridSpan w:val="3"/>
          </w:tcPr>
          <w:p>
            <w:pPr>
              <w:jc w:val="center"/>
              <w:ind w:right="21"/>
              <w:spacing w:after="0" w:line="160"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86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4"/>
                <w:szCs w:val="14"/>
                <w:color w:val="auto"/>
              </w:rPr>
            </w:pPr>
          </w:p>
        </w:tc>
        <w:tc>
          <w:tcPr>
            <w:tcW w:w="9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8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6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6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4"/>
                <w:szCs w:val="14"/>
                <w:color w:val="auto"/>
              </w:rPr>
            </w:pPr>
          </w:p>
        </w:tc>
        <w:tc>
          <w:tcPr>
            <w:tcW w:w="80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840" w:type="dxa"/>
            <w:vAlign w:val="bottom"/>
            <w:gridSpan w:val="2"/>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Agrify</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8"/>
        </w:trPr>
        <w:tc>
          <w:tcPr>
            <w:tcW w:w="226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820" w:type="dxa"/>
            <w:vAlign w:val="bottom"/>
            <w:tcBorders>
              <w:top w:val="single" w:sz="8" w:color="auto"/>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1,701,243</w:t>
            </w:r>
          </w:p>
        </w:tc>
        <w:tc>
          <w:tcPr>
            <w:tcW w:w="420" w:type="dxa"/>
            <w:vAlign w:val="bottom"/>
            <w:tcBorders>
              <w:top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250,855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(265,797)</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(14,710)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140" w:type="dxa"/>
            <w:vAlign w:val="bottom"/>
          </w:tcPr>
          <w:p>
            <w:pPr>
              <w:spacing w:after="0"/>
              <w:rPr>
                <w:sz w:val="12"/>
                <w:szCs w:val="12"/>
                <w:color w:val="auto"/>
              </w:rPr>
            </w:pPr>
          </w:p>
        </w:tc>
        <w:tc>
          <w:tcPr>
            <w:tcW w:w="800" w:type="dxa"/>
            <w:vAlign w:val="bottom"/>
            <w:gridSpan w:val="2"/>
          </w:tcPr>
          <w:p>
            <w:pPr>
              <w:jc w:val="right"/>
              <w:ind w:right="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26"/>
        </w:trPr>
        <w:tc>
          <w:tcPr>
            <w:tcW w:w="2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w:t>
            </w:r>
          </w:p>
        </w:tc>
        <w:tc>
          <w:tcPr>
            <w:tcW w:w="8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prefunded warrants through public</w:t>
            </w:r>
          </w:p>
        </w:tc>
        <w:tc>
          <w:tcPr>
            <w:tcW w:w="8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2,760,000</w:t>
            </w:r>
          </w:p>
        </w:tc>
        <w:tc>
          <w:tcPr>
            <w:tcW w:w="42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2,120</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4"/>
                <w:szCs w:val="14"/>
                <w:color w:val="auto"/>
              </w:rPr>
              <w:t>2,123</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4"/>
                <w:szCs w:val="14"/>
                <w:color w:val="auto"/>
              </w:rPr>
              <w:t>2,123</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offering</w:t>
            </w: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held-back shares from</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588</w:t>
            </w:r>
          </w:p>
        </w:tc>
        <w:tc>
          <w:tcPr>
            <w:tcW w:w="42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0"/>
                <w:szCs w:val="10"/>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Sinclair acquisition</w:t>
            </w:r>
          </w:p>
        </w:tc>
        <w:tc>
          <w:tcPr>
            <w:tcW w:w="8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Cashless exercise of High Trail</w:t>
            </w:r>
          </w:p>
        </w:tc>
        <w:tc>
          <w:tcPr>
            <w:tcW w:w="8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3,132,217</w:t>
            </w:r>
          </w:p>
        </w:tc>
        <w:tc>
          <w:tcPr>
            <w:tcW w:w="4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820" w:type="dxa"/>
            <w:vAlign w:val="bottom"/>
            <w:tcBorders>
              <w:right w:val="single" w:sz="8" w:color="CCEEFF"/>
            </w:tcBorders>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Exercise of Prefunded Warrants</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3,010,000</w:t>
            </w:r>
          </w:p>
        </w:tc>
        <w:tc>
          <w:tcPr>
            <w:tcW w:w="42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0"/>
                <w:szCs w:val="10"/>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2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issued through public offering</w:t>
            </w:r>
          </w:p>
        </w:tc>
        <w:tc>
          <w:tcPr>
            <w:tcW w:w="8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Convertible Note</w:t>
            </w:r>
          </w:p>
        </w:tc>
        <w:tc>
          <w:tcPr>
            <w:tcW w:w="82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2,671,633</w:t>
            </w:r>
          </w:p>
        </w:tc>
        <w:tc>
          <w:tcPr>
            <w:tcW w:w="4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8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1,729</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1,731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1,731</w:t>
            </w:r>
          </w:p>
        </w:tc>
        <w:tc>
          <w:tcPr>
            <w:tcW w:w="0" w:type="dxa"/>
            <w:vAlign w:val="bottom"/>
          </w:tcPr>
          <w:p>
            <w:pPr>
              <w:spacing w:after="0"/>
              <w:rPr>
                <w:sz w:val="1"/>
                <w:szCs w:val="1"/>
                <w:color w:val="auto"/>
              </w:rPr>
            </w:pPr>
          </w:p>
        </w:tc>
      </w:tr>
      <w:tr>
        <w:trPr>
          <w:trHeight w:val="126"/>
        </w:trPr>
        <w:tc>
          <w:tcPr>
            <w:tcW w:w="2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Contribution from troubled debt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0"/>
                <w:szCs w:val="10"/>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676</w:t>
            </w:r>
          </w:p>
        </w:tc>
        <w:tc>
          <w:tcPr>
            <w:tcW w:w="140" w:type="dxa"/>
            <w:vAlign w:val="bottom"/>
          </w:tcPr>
          <w:p>
            <w:pPr>
              <w:spacing w:after="0"/>
              <w:rPr>
                <w:sz w:val="10"/>
                <w:szCs w:val="10"/>
                <w:color w:val="auto"/>
              </w:rPr>
            </w:pPr>
          </w:p>
        </w:tc>
        <w:tc>
          <w:tcPr>
            <w:tcW w:w="80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71"/>
        </w:trPr>
        <w:tc>
          <w:tcPr>
            <w:tcW w:w="2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restructuring with related party</w:t>
            </w:r>
          </w:p>
        </w:tc>
        <w:tc>
          <w:tcPr>
            <w:tcW w:w="8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split share adjustment</w:t>
            </w:r>
          </w:p>
        </w:tc>
        <w:tc>
          <w:tcPr>
            <w:tcW w:w="82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4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7"/>
        </w:trPr>
        <w:tc>
          <w:tcPr>
            <w:tcW w:w="2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820" w:type="dxa"/>
            <w:vAlign w:val="bottom"/>
            <w:tcBorders>
              <w:right w:val="single" w:sz="8" w:color="CCEEFF"/>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23"/>
        </w:trPr>
        <w:tc>
          <w:tcPr>
            <w:tcW w:w="2260" w:type="dxa"/>
            <w:vAlign w:val="bottom"/>
            <w:vMerge w:val="continue"/>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13,275,702</w:t>
            </w:r>
          </w:p>
        </w:tc>
        <w:tc>
          <w:tcPr>
            <w:tcW w:w="42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13</w:t>
            </w: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255,867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(265,835</w:t>
            </w:r>
          </w:p>
        </w:tc>
        <w:tc>
          <w:tcPr>
            <w:tcW w:w="1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(9,955</w:t>
            </w:r>
          </w:p>
        </w:tc>
        <w:tc>
          <w:tcPr>
            <w:tcW w:w="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230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(9,725</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attributable to Agrify Corporation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(premium) discount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(873)</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642</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Recovery of provision for credit losses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Recovery of provision for slow-moving inventory</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(415)</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supply agreement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(1,142)</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revaluation of contingent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accrued acquisition liabilities due to issuance of held-back shares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(2,180)</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296</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2,321</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(2,361)</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used in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(2,987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(9,469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repayment of loan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loans receivable</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and cash equivalents provided by investing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through an “S-1 and Prefunded Warrants” offering</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2,123</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through an “at the market” offering, net of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 Shares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S-1 Prefunded Warrants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related party notes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355</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notes payable, other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debt in private placement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other financing loans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insurance financing loans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financing leases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provided by (used in)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2,324</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(9,307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430</w:t>
            </w:r>
          </w:p>
        </w:tc>
        <w:tc>
          <w:tcPr>
            <w:tcW w:w="32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10,457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flow information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exercise of High-Trail warrants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of prepaid insurance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 refinanced into consolidated notes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4,838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consolidated into related party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from troubled debt restructuring with related party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Consolidation of related party debt principal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3,799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765" w:right="339" w:bottom="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provider of innovative cultivation and extraction solutions for the cannabis industry, bringing data, science, and technology to the forefront of the market. The Company’s proprietary micro-environment-controlled Agrify Vertical Farming Units (or “VFUs”) enable cultivators to produce the highest quality products with what we believe to be unmatched consistency, yield, and return investment at scale. The Company’s comprehensive extraction product line, which includes hydrocarbon, alcohol, solventless, post-processing, and lab equipment, empowers producers to maximize the quantity and quality of extract required for premium concentrates.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nine wholly-owned subsidiaries, which are collectively referred to as the “Subsidiaries” and the Company also has ownership interests in certain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Deficiency Notice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Nasdaq Notice had no immediate effect on the listing of the Company’s Common Stock on The Nasdaq Stock Market LLC.</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17, 2023, the Company received a Staff Delisting Determination (the “Staff Determination”) from the Listing Qualifications Department of Nasdaq notifying the Company that it was not in compliance with Nasdaq’s continued listing requirements under the Listing Rule as a result of its failure to file the First Quarter Form 10-Q, the Second Quarter Form 10-Q and the Form 10-K (collectively, the “Delinquent Reports”) in a timely manner.</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16, 2023, the Company received a notice from Nasdaq that the Company remains noncompliant with the Listing Rule as a result of its failure to file its Quarterly Report on Form 10-Q for the fiscal quarter ended September 30, 2023 with the SEC by the required filing date.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 2023, the Company received a notice from The Nasdaq Stock Market LLC (“Nasdaq”) stating that because the Company reported stockholders’ deficit of $(17.17) million in its Form 10-Q for the quarter ended March 31, 2023, the Company was no longer in compliance with Nasdaq Listing Rule 5550(b)(1) (the “Primary Equity Listing Rule”), which requires that listed companies maintain a minimum of $2.5 million in stockholders’ equity. In response, the Company timely requested a hearing before a Nasdaq Hearings Panel (the “Panel”), which stayed any further action by the Listing Qualifications Staff. The hearing was held on January 11, 2024. The Company arrived at the hearing having previously cured any additional grounds for delisting as a result of delinquent periodic filings during 2023 that were filed prior to the hearing.</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30, 2024, the Company received formal notice that the Panel had granted the Company’s request for an exception through April 15, 2024 to evidence compliance with the Listing Rule, which was subsequently extended to May 15, 2024. Accordingly, there can be no assurance that the Company will be able to regain compliance with the Nasdaq listing rules or maintain its listing on the Nasdaq Capital Market. If the Company’s common stock is delisted, it could be more difficult to buy or sell the Company’s common stock or to obtain accurate quotations, and the price of the Company’s common stock could suffer a material decline. Delisting could also impair the Company’s ability to raise capital.</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5, 2024, the Company received a deficiency letter from the Staff of Nasdaq notifying the Company that, for the last 30 consecutive business days, the bid price for the Company’s common stock had closed below $1.00 per share, which is the minimum closing price required to maintain continued listing on the Nasdaq Stock Market under Nasdaq Listing Rule 5550(a)(2) (the “Minimum Bid Requirement”). The Notice has no immediate effect on the listing of the Company’s common stock on Nasdaq. In accordance with Nasdaq Listing Rule 5810(c)(3)(A), the Company has 180 calendar days to regain compliance with the Minimum Bid Requirement. The compliance period for the Company will expire on September 3, 2024.</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interim condensed consolidated financial statements of the Company and its subsidiaries are unaudited. In the opinion of management, all adjustments (consisting of normal recurring accruals) and disclosures necessary for a fair presentation of these interim condensed consolidated financial statements have been included. The results reported in the condensed consolidated financial statements for any interim periods are not necessarily indicative of the results that may be reported for the entire year. The accompanying condensed consolidated financial statements have been prepared in accordance with the rules and regulations of the Securities and Exchange Commission and do not include all information and footnotes necessary for a complete presentation of financial statements in conformity with accounting principles generally accepted in the United States (“U.S. GAAP”).</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annual consolidated financial statements prepared in accordance with U.S. GAAP have been condensed or omitted. These condensed consolidated financial statements should be read in conjunction with the Company’s audited consolidated financial statements and notes thereto included in the Company’s Annual Report on Form 10-K for the year ended December 31, 2023 filed with the Securities and Exchange Commission on April 15,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Wholly-Owned Subsidiaries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(“GAAP”) and include the accounts of Agrify Corporation and its wholly-owned subsidiaries, as described above,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Less Than Wholly-Owned Subsidiaries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Company’s less than wholly-owned subsidiaries, which include, Agrify-Valiant LLC (“Agrify-Valiant”), and Agrify Brands, LLC (“Agrify Brands”), the Company first analyzes whether these entities are a variable interest entity (a “VIE”) in accordance with ASC Topic 810, Consolidation (“ASC 810”), and if so, whether the Company is the primary beneficiary requiring consolidation. The Company continuously re-assesses (i) whether the joint-venture is a VIE, and (ii) if the Company is the primary beneficiary of the VIE. If it is determined that the joint-venture qualifies as a VIE and the Company is the primary beneficiary, the Company’s financial interest in the VIE is consolidated.</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Company’s analysis of these entities, the Company has determined that Agrify-Valiant and Agrify Brands are each a VIE, and that the Company is the primary beneficiary. While the Company owns 60% of Agrify-Valiant’s equity interests and 75% of Agrify Brand’s equity interests, the remaining equity interests in Agrify-Valiant and Agrify Brands are owned by unrelated third parties, and the agreement with these third parties provides the Company with greater voting rights. Accordingly, the Company consolidates its interest in the financial statements of Agrify-Valiant and Agrify Brands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the FASB Accounting Standards Update (“ASU”) 2014-15, “Presentation of Financial Statements - Going Concern”, the Company’s management evaluated whether there are conditions or events that raise substantial doubt about its ability to continue as a going concern within one year after the financial statements’ issuance date. The following matters raise substantial doubt about the Company’s ability to continue as a going concern within one year after the date the financial statements are issued.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has negative cash flows from operations and a working capital deficit. The Company also has an accumulated deficit of $265.8 million as of March 31, 2024. The Company’s primary sources of liquidity are its cash and cash equivalents and marketable securities, with additional liquidity accessible, subject to market conditions and other factors, including limitations that may apply to the Company under applicable SEC regulations, from the capital market. As of March 31, 2024, the Company had $0.1 million of cash, cash equivalents, and marketable securities. The Company had no restricted cash as of March 31, 2024. Current liabilities were $27.7 million as of March 31, 2024.</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a going concern basis, which implies the Company believes these conditions raise substantial doubt about its ability to continue as a going concern within the next twelve-months from the date these consolidated financial statements are available to be issued. The Company’s continuation as a going concern is dependent upon its ability to obtain the necessary debt or equity financing to continue operations until the Company begins generating sufficient cash flows from operations to meet its obligations. If the Company is unable raise additional funds, it may be forced to cease operations.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February 28, 2024, the company raised net proceeds of $2.2 million via the issuance of common stock and prefunded warrants in a public offering through Alexander Capital and is recorded within common stock and additional paid-in capital on the Company’s condensed consolidated balance sheet. The Company intends to raise additional capital later this year to support its 2024 and 2025 funding needs. The Company also continues to make additional adjustments in headcount, salary, travel, sales and marketing spending, but there is no guarantee that these ongoing cost-cutting efforts or capital raises will be sufficient to maintain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no assurance that the Company will ever be profitable. The consolidated financial statements do not include any adjustments to reflect the potential future effects on the recoverability and classification of assets or the amounts and classifications of liabilities that may result should the Company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include assumptions about collection of accounts and notes receivable, the valuation and recognition of stock-based compensation expense, valuation allowance for deferred tax assets, the valuation of inventory, and useful life of fixed assets and intangible assets. The Company bases its estimates on historical experience, known trends and other market-specific information, other relevant factors that it believes to be reasonable under the circumstances, and management’s judgement. On an ongoing basis, management evaluates its estimates when there are changes in circumstances, facts, and experience. Changes in estimates are recorded in the period in which they become known. Actual financial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 and Loans Receivable, Net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Accounts receivable, net, primarily consists of amounts for goods and services that are billed and currently due from customers. The composition of loan receivable, net is detailed in Note 5. In accordance with ASC 310-10, accounts receivable and loan receivable balances are presented net of an allowance for credit losses, which are an estimate of billed or borrowed amounts that may not be collectible. In determining the amount of the allowance at each reporting date, management makes judgments about general economic conditions, historical write-off experience, and any specific risks identified in customer or borrower collection matters, including the aging of unpaid accounts receivable and changes in customer or borrower financial conditions. Accounts and loans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primarily consist of cash, cash equivalents, restricted cash, marketable securities, and accounts receivable. Cash equivalents primarily consist of money market funds with original maturities of three months or less, which are invested primarily with U.S. financial institutions. Cash deposits with financial institutions, including restricted cash, generally exceed federally insured limits. Management believes minimal credit risk exists with respect to these financial institutions and the Company has not experienced any losses on such amounts.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three -month period ended March 31, 2024, the Company has one customer that comprised approximately 1% of its revenue and two customers that comprised approximately 47% of its accounts receivable balance.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three -month period ended March 31, 2023, the Company has one customer that comprised approximately 11% of its revenue and two customers that comprised approximately 84% of it accounts receivable balance.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values all its inventories, which consist primarily of significant raw material hardware components, at the lower of cost or net realizable value, with cost principally determined by the weighted-average cost method on a first-in, first-out basis. Write-offs of potentially slow-moving or damaged inventory are recorded through specific identification of obsolete or damaged material. The Company takes physical inventory at least once annually at all inventory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its financial instruments, including issued private placement stock purchase warrants, to determine if such instruments are derivatives or contain features that qualify as embedded derivatives, pursuant to ASC Topic 480, Distinguishing Liabilities from Equity (“ASC 480”) and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consolidated statements of operations.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marketable securities, accounts receivable, accounts payable, accrued expenses, warrant liabilities, and loans receivable. Refer to Note 4 - Fair Value Measures, included elsewhere in the notes to the consolidated financial statements for details of the Company’s financial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the following sources: (1) equipment sales, (2) providing services and (3) construction contracts.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the Company recognizes revenue from contracts with customers using a five-step model, which is described below:</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customer contract is generally identified when there is approval and commitment from both the Company and its customer, the rights have been identified, payment terms are identified, the contract has commercial substance and collectability is probable. Specifically, the Company obtains written/electronic signatures on contracts and purchase orders, if said purchase orders are issued in the normal course of business by the customer.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the contract is completed.</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the cost-plus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variable consideration in the form of royalties, revenue share, monthly fees, and service credits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As of March 31, 2024 and March 31, 2023, the Company did not have any such financial income.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fulfills obligations under a contract with a customer by transferring products and services in exchange for consideration from the customer. Accounts receivable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one-year period. In accordance with ASC 450-20-25, the Company accrues for product warranties when the loss is probable and can be reasonably estimated. The Company maintained a reserve for warranty returns of $0.4 million and $0.4 million as of March 31, 2024 and December 31, 2023, respectively. The Company’s reserve for warranty returns is included in accrued expenses and other current liabilities in its consolidated balance sheets. Additional information regarding the Company’s warranty reserve may be found in Note 3 – Supplemental Consolidated Balance Sheet Information, included elsewhere in the notes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 (“Agrify Insights™”).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The Company presents basic and diluted net loss per share attributable to Common Stockholders in conformity with the two-class method required for participating securities. The Company computes basic loss per share by dividing net loss available to Common Stockholders by the weighted-average number of common shares outstanding. Net loss available to Common Stockholders represents net loss attributable to Common Stockholders reduced by the allocation of earnings to participating securities. Losses are not allocated to participating securities as the holders of the participating securities do not have a contractual obligation to share in any losses. Diluted loss per share adjusts basic loss per share for the potentially dilutive impact of stock options and warrants. As the Company has reported losses for all periods presented, all potentially dilutive securities including stock options and warrants, are anti-dilutive, and accordingly, basic net loss per share equals diluted net loss per share.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reverse stock split effected on July 5, 2023. Net loss per share was calculated based on the weighted-average number of Common Stock outstanding.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Announced Accounting Pronouncements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ASU 2023-09, Improvements to Income Tax Disclosures ∙ On December 14, 2023, the FASB issued, ASU 2023-09, Improvements to Income Tax Disclosures, a final standard on improvements to income tax disclosures. The standard requires disaggregated information about a reporting entity’s effective tax rate reconciliation as well as information on income taxes paid. The standard applies to all entities subject to income taxes and is intended to benefit investors by providing more detailed income tax disclosures that would be useful in making capital allocation decisions. For public business entities (PBEs), the new requirements will be effective for annual periods beginning after December 15, 2024. The guidance will be applied on a prospective basis with the option to apply the standard retrospectively. The Company is currently in the process of evaluating the effect of this guidance on its financial statements.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did not or are not believed by management to have a material impact on the Company’s present or future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and Deferred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sells its equipment and services to customers under a combination of a contract and purchase order. Equipment revenue includes sales from proprietary products designed and engineered by the Company such a VFUs, container farms, integrated grow racks, and LED grow lights, and non-proprietary products designed, engineered, and manufactured by third parties such as air cleaning systems and pesticide-free surface protection.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time-and-materials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disaggregated by the timing of revenue recognition: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over time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Changes in the Company’s current deferred revenue balance for the three months ended March 31, 2024 and the year ended December 31, 2023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Pr>
          <w:p>
            <w:pPr>
              <w:spacing w:after="0"/>
              <w:rPr>
                <w:sz w:val="18"/>
                <w:szCs w:val="18"/>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(1,395)</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revenue – end of period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revenue balances primarily consist of customer deposits on the Company’s cultivation and extraction solutions equipment. As of March 31, 2024 and December 31, 2023, all of the Company’s deferred revenue balances were reported as current liabilities in the accompanying 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Supplemental Consolidated Balance Sheet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consisted of the following as of March 31, 2024 and December 31, 2023: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765" w:right="339" w:bottom="1440" w:gutter="0" w:footer="0" w:header="0"/>
        </w:sectPr>
      </w:pPr>
    </w:p>
    <w:p>
      <w:pPr>
        <w:ind w:left="340"/>
        <w:spacing w:after="0"/>
        <w:rPr>
          <w:sz w:val="20"/>
          <w:szCs w:val="20"/>
          <w:color w:val="auto"/>
        </w:rPr>
      </w:pPr>
      <w:r>
        <w:rPr>
          <w:rFonts w:ascii="Times New Roman" w:cs="Times New Roman" w:eastAsia="Times New Roman" w:hAnsi="Times New Roman"/>
          <w:sz w:val="17"/>
          <w:szCs w:val="17"/>
          <w:color w:val="auto"/>
        </w:rPr>
        <w:t>The changes in the allowance for credit losses accounts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 beginning of period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(Recovery of)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Write-offs of uncollectible accounts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Pr>
          <w:p>
            <w:pPr>
              <w:spacing w:after="0"/>
              <w:rPr>
                <w:sz w:val="18"/>
                <w:szCs w:val="18"/>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8"/>
                <w:szCs w:val="18"/>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1,887</w:t>
            </w:r>
          </w:p>
        </w:tc>
        <w:tc>
          <w:tcPr>
            <w:tcW w:w="220" w:type="dxa"/>
            <w:vAlign w:val="bottom"/>
          </w:tcPr>
          <w:p>
            <w:pPr>
              <w:spacing w:after="0"/>
              <w:rPr>
                <w:sz w:val="17"/>
                <w:szCs w:val="17"/>
                <w:color w:val="auto"/>
              </w:rPr>
            </w:pPr>
          </w:p>
        </w:tc>
        <w:tc>
          <w:tcPr>
            <w:tcW w:w="2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4,605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48"/>
        </w:trPr>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1,887</w:t>
            </w:r>
          </w:p>
        </w:tc>
        <w:tc>
          <w:tcPr>
            <w:tcW w:w="40" w:type="dxa"/>
            <w:vAlign w:val="bottom"/>
          </w:tcPr>
          <w:p>
            <w:pPr>
              <w:spacing w:after="0"/>
              <w:rPr>
                <w:sz w:val="21"/>
                <w:szCs w:val="2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765" w:right="3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March 31,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settlement asset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 other</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materials</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3,332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March 31, 2024 and December 31, 2023: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equipment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laboratory equipment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property and equipment, gross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7,685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7,685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2,943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7,328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7,734</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40" w:firstLine="324"/>
        <w:spacing w:after="0" w:line="312" w:lineRule="auto"/>
        <w:rPr>
          <w:sz w:val="20"/>
          <w:szCs w:val="20"/>
          <w:color w:val="auto"/>
        </w:rPr>
      </w:pPr>
      <w:r>
        <w:rPr>
          <w:rFonts w:ascii="Times New Roman" w:cs="Times New Roman" w:eastAsia="Times New Roman" w:hAnsi="Times New Roman"/>
          <w:sz w:val="17"/>
          <w:szCs w:val="17"/>
          <w:color w:val="auto"/>
        </w:rPr>
        <w:t>Depreciation expense for the three months ended March 31, 2024 and 2023 was $0.4 million and $0.4 million, respectively, and included within general and administrative, selling and marketing, and research and development depending on the nature of the related property and equipment.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March 31,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 (1)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acquisition liabilities (2)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warranty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payable primarily represents identified sales and use tax liabilities arising from our acquisition of Precision and Cascade. These amounts are included as part of our initial purchase price allocations and are the subject matter of an indemnification claim under the Precision and Cascade acquisition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acquisition liabilities represents the value of held back Common Stock associated with the 2021 acquisitions of Precision and Cascade.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and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Level 2: Other inputs that are observable directly or indirectly, such as quoted prices for similar instruments in active markets or for similar markets that are not active.</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2024 and December 31, 2023, the Company’s assets and liabilities measured at fair value on a recurring basis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gridSpan w:val="7"/>
          </w:tcPr>
          <w:p>
            <w:pPr>
              <w:jc w:val="center"/>
              <w:ind w:righ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40" w:type="dxa"/>
            <w:vAlign w:val="bottom"/>
            <w:gridSpan w:val="7"/>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Using Input Types</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Using Input Types</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28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liabilities - January 2022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warrants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 - March 2022 warrants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liabilities - August 2022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warrants</w:t>
            </w: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liabilities - December 2022</w:t>
            </w: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1,264</w:t>
            </w:r>
          </w:p>
        </w:tc>
        <w:tc>
          <w:tcPr>
            <w:tcW w:w="14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warrants</w:t>
            </w: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certain financial instruments which consist of cash and cash equivalents, marketable securities, warrant liabilities, and contingent consideration. Fair value information for each of these instruments as well as other balances of the Company are as follows:</w:t>
      </w:r>
    </w:p>
    <w:p>
      <w:pPr>
        <w:spacing w:after="0" w:line="162" w:lineRule="exact"/>
        <w:rPr>
          <w:sz w:val="20"/>
          <w:szCs w:val="20"/>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accounts receivable, accounts payable, accrued expenses, and deferred revenue liabilities approximate their fair value based on the short-term nature of these instruments.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securities classified as current held-to-maturity securities are recorded at amortized cost, which at March 31, 2024 and December 31, 2023, approximated fair value.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deferred consideration was recorded in connection with acquisitions during the three months ended March 31, 2024 and fiscal 2023 using an estimated fair value discount at the time of the transactions. As of March 31, 2024 and December 31, 2023, the carrying value of the deferred consideration approximated fair value.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warrant liabilities are marked-to-market each reporting period with the changes in fair value of warrant liabilities recorded in other income (expense), net in the accompanying consolidated statements of operations until the warrants are exercised. The fair value of the warrant liabilities are estimated using a Black-Scholes option-pricing model.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held investments in money market funds. They are valued using quoted market prices in active markets and are classified under Level 1 within the fair value hierarchy.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composition of the Company’s marketable securities are as follows: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Current marketable securities:</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on March 31, 2024 and 2023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inherent uncertainties are involved. If factors or assumptions change, the estimated fair values could be materially different.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valuations as of March 31, 2024 and December 31, 2023:</w:t>
      </w:r>
    </w:p>
    <w:p>
      <w:pPr>
        <w:sectPr>
          <w:pgSz w:w="11900" w:h="16838" w:orient="portrait"/>
          <w:cols w:equalWidth="0" w:num="1">
            <w:col w:w="11240"/>
          </w:cols>
          <w:pgMar w:left="320" w:top="765" w:right="339" w:bottom="1440" w:gutter="0" w:footer="0" w:header="0"/>
        </w:sectPr>
      </w:pPr>
    </w:p>
    <w:p>
      <w:pPr>
        <w:spacing w:after="0" w:line="221" w:lineRule="exact"/>
        <w:rPr>
          <w:sz w:val="20"/>
          <w:szCs w:val="20"/>
          <w:color w:val="auto"/>
        </w:rPr>
      </w:pPr>
    </w:p>
    <w:tbl>
      <w:tblPr>
        <w:tblLayout w:type="fixed"/>
        <w:tblInd w:w="2220" w:type="dxa"/>
        <w:tblCellMar>
          <w:top w:w="0" w:type="dxa"/>
          <w:left w:w="0" w:type="dxa"/>
          <w:bottom w:w="0" w:type="dxa"/>
          <w:right w:w="0" w:type="dxa"/>
        </w:tblCellMar>
      </w:tblPr>
      <w:tr>
        <w:trPr>
          <w:trHeight w:val="216"/>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January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March</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August</w:t>
            </w:r>
          </w:p>
        </w:tc>
        <w:tc>
          <w:tcPr>
            <w:tcW w:w="9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16"/>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9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38"/>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5"/>
              </w:rPr>
              <w:t>Warrants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9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0</wp:posOffset>
            </wp:positionV>
            <wp:extent cx="27514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51455" cy="17145"/>
                    </a:xfrm>
                    <a:prstGeom prst="rect">
                      <a:avLst/>
                    </a:prstGeom>
                    <a:noFill/>
                  </pic:spPr>
                </pic:pic>
              </a:graphicData>
            </a:graphic>
          </wp:anchor>
        </w:drawing>
      </w:r>
    </w:p>
    <w:p>
      <w:pPr>
        <w:ind w:left="372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January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March</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August</w:t>
            </w:r>
          </w:p>
        </w:tc>
        <w:tc>
          <w:tcPr>
            <w:tcW w:w="9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16"/>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9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38"/>
        </w:trPr>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9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0</wp:posOffset>
            </wp:positionV>
            <wp:extent cx="27514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51455" cy="17145"/>
                    </a:xfrm>
                    <a:prstGeom prst="rect">
                      <a:avLst/>
                    </a:prstGeom>
                    <a:noFill/>
                  </pic:spPr>
                </pic:pic>
              </a:graphicData>
            </a:graphic>
          </wp:anchor>
        </w:drawing>
      </w: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0"/>
          <w:szCs w:val="20"/>
          <w:color w:val="auto"/>
        </w:rPr>
      </w:pPr>
    </w:p>
    <w:p>
      <w:pPr>
        <w:sectPr>
          <w:pgSz w:w="11900" w:h="16838" w:orient="portrait"/>
          <w:cols w:equalWidth="0" w:num="2">
            <w:col w:w="6420" w:space="400"/>
            <w:col w:w="442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0.37</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0.37</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0.37</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top w:val="single" w:sz="8" w:color="CCEEFF"/>
            </w:tcBorders>
            <w:shd w:val="clear" w:color="auto" w:fill="CCEEFF"/>
          </w:tcPr>
          <w:p>
            <w:pPr>
              <w:spacing w:after="0"/>
              <w:rPr>
                <w:sz w:val="19"/>
                <w:szCs w:val="19"/>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1,496</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0.38</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1,496</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3.88</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4.13</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136.00%</w:t>
            </w:r>
          </w:p>
        </w:tc>
      </w:tr>
      <w:tr>
        <w:trPr>
          <w:trHeight w:val="198"/>
        </w:trPr>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Discount rate - treasury</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yield</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three months ended March 31, 2024 and for the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3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(4,695)</w:t>
            </w:r>
          </w:p>
        </w:tc>
        <w:tc>
          <w:tcPr>
            <w:tcW w:w="0" w:type="dxa"/>
            <w:vAlign w:val="bottom"/>
          </w:tcPr>
          <w:p>
            <w:pPr>
              <w:spacing w:after="0"/>
              <w:rPr>
                <w:sz w:val="1"/>
                <w:szCs w:val="1"/>
                <w:color w:val="auto"/>
              </w:rPr>
            </w:pPr>
          </w:p>
        </w:tc>
      </w:tr>
      <w:tr>
        <w:trPr>
          <w:trHeight w:val="27"/>
        </w:trPr>
        <w:tc>
          <w:tcPr>
            <w:tcW w:w="4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–end of period</w:t>
            </w:r>
          </w:p>
        </w:tc>
        <w:tc>
          <w:tcPr>
            <w:tcW w:w="4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vMerge w:val="continue"/>
            <w:shd w:val="clear" w:color="auto" w:fill="CCEEFF"/>
          </w:tcPr>
          <w:p>
            <w:pPr>
              <w:spacing w:after="0"/>
              <w:rPr>
                <w:sz w:val="21"/>
                <w:szCs w:val="21"/>
                <w:color w:val="auto"/>
              </w:rPr>
            </w:pPr>
          </w:p>
        </w:tc>
        <w:tc>
          <w:tcPr>
            <w:tcW w:w="4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
        </w:trPr>
        <w:tc>
          <w:tcPr>
            <w:tcW w:w="42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2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Loans Receivable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portion of the capital raised from the Company’s IPO was allocated to launch the Company’s TTK Solution program. The TTK Solution is the industry’s first-of-its-kind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process design, training, implementation, proven grow recipes, product formulations, data analytics, and consumer branding.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Cultivation, Inc. (“Bud &amp; Mary’s”) - Customer 139</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initial payment date on the loan receivable from Bud &amp; Mary’s is the first business day of the first full month following the commencement of commercial products sales and the maturity date is 24 months from the initial payment date. The interest rate is 16% per annum.</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Q3 2022, Agrify became aware that Bud &amp; Mary’s was not in compliance with all debt covenants as defined in the loan agreement which resulted in Agrify issuing a loan acceleration letter to Bud &amp; Mary’s on September 15, 2022, demanding full repayment of the construction loan under the loan agreement dated May 12, 2021. Consequently, the Company established a reserve of $14.7 million specifically related to Bud &amp; Mary’s.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Hannah Industries (“Hannah”) - Customer 125</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 was unable to provide additional financing to Hannah Industries under the TTK Solution program to complete the build out and development of Hannah’s cultivation business. As a result, the Company concluded that the existing receivable due from Hannah was impaired as of this date. Given the uncertainty around the customer’s ability to repay the outstanding balance of the loan as well as the absence of value attributed to any collateral from Hannah, an allowance for credit losses was recognized for 50% of the total outstanding receivable balance as of December 31, 2022. The Company recognized an allowance for credit losses related to the Hannah loan receivable in the amount of $4.5 million as of December 31, 2022. This allowance remains at $4.5 million as of March 31, 2024.</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Once the project is completed, the customer will begin making monthly payments based on the harvest.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Nevada Holistics (“Tree house”) - Customer 24096</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March 2024, Nevada Holistics has a current balance of $692 due in relation to the TTK loan. The project went live in Q2 2023. After the 90 day period for the first harvest, the customer was given an additional 6-month grace period which ended in Q1 2024. Upon completion of this grace period, the Company began invoicing the customer each month for a portion of the outstanding loan balance. The borrower will begin making monthly payments in Q2 2024 based on what is produced through harvests. Monthly payments are calculated based off of the Production Success Fees (‘PSF”) generated from each harvest. Upon issuance of each invoice, that portion of the loan is reclassified into loan receivable, current on the condensed consolidated balance sheets.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breakdown of loans receivable by customer as of March 31, 2024 and December 31, 2023 were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139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125</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24096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6,810</w:t>
            </w:r>
          </w:p>
        </w:tc>
      </w:tr>
      <w:tr>
        <w:trPr>
          <w:trHeight w:val="277"/>
        </w:trPr>
        <w:tc>
          <w:tcPr>
            <w:tcW w:w="86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Allowance for credit losses </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4"/>
                <w:szCs w:val="24"/>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(18,885)</w:t>
            </w:r>
          </w:p>
        </w:tc>
        <w:tc>
          <w:tcPr>
            <w:tcW w:w="24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(19,215)</w:t>
            </w:r>
          </w:p>
        </w:tc>
      </w:tr>
      <w:tr>
        <w:trPr>
          <w:trHeight w:val="236"/>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 receivable, net of allowance for credit losses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 receivable, net of 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10,891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11,583</w:t>
            </w: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2023, the Company established an allowance for credit losses of approximately $14.7 million related to Bud &amp; Mary’s ongoing litigation. Approximately $4.5 million relates to Hannah. This reserve still remains in the allowance as of March 31, 2024.</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 The Company’s prepaid inventory is applied to the purchase of products once they are delivered.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 as of March 31, 2024 and December 31, 2023: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7,438</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for resale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gross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(17,184)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(17,599)</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inventory, net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19,094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the Company’s inventory reserve are as follows:</w:t>
            </w: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 March</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beginning of period</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inventory reserves</w:t>
            </w:r>
          </w:p>
        </w:tc>
        <w:tc>
          <w:tcPr>
            <w:tcW w:w="3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(14,823)</w:t>
            </w:r>
          </w:p>
        </w:tc>
        <w:tc>
          <w:tcPr>
            <w:tcW w:w="0" w:type="dxa"/>
            <w:vAlign w:val="bottom"/>
          </w:tcPr>
          <w:p>
            <w:pPr>
              <w:spacing w:after="0"/>
              <w:rPr>
                <w:sz w:val="1"/>
                <w:szCs w:val="1"/>
                <w:color w:val="auto"/>
              </w:rPr>
            </w:pPr>
          </w:p>
        </w:tc>
      </w:tr>
      <w:tr>
        <w:trPr>
          <w:trHeight w:val="27"/>
        </w:trPr>
        <w:tc>
          <w:tcPr>
            <w:tcW w:w="5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end of period</w:t>
            </w:r>
          </w:p>
        </w:tc>
        <w:tc>
          <w:tcPr>
            <w:tcW w:w="3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vMerge w:val="continue"/>
            <w:shd w:val="clear" w:color="auto" w:fill="CCEEFF"/>
          </w:tcPr>
          <w:p>
            <w:pPr>
              <w:spacing w:after="0"/>
              <w:rPr>
                <w:sz w:val="21"/>
                <w:szCs w:val="21"/>
                <w:color w:val="auto"/>
              </w:rPr>
            </w:pP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17,599</w:t>
            </w:r>
          </w:p>
        </w:tc>
        <w:tc>
          <w:tcPr>
            <w:tcW w:w="0" w:type="dxa"/>
            <w:vAlign w:val="bottom"/>
          </w:tcPr>
          <w:p>
            <w:pPr>
              <w:spacing w:after="0"/>
              <w:rPr>
                <w:sz w:val="1"/>
                <w:szCs w:val="1"/>
                <w:color w:val="auto"/>
              </w:rPr>
            </w:pPr>
          </w:p>
        </w:tc>
      </w:tr>
      <w:tr>
        <w:trPr>
          <w:trHeight w:val="21"/>
        </w:trPr>
        <w:tc>
          <w:tcPr>
            <w:tcW w:w="51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Debt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Company’s debt consisted of:</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Note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CP Acquisitions Note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PPP Loan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CP Acquisitions Junior Secured Note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GIC Acquisition Note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Mack Molding Co. Note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86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notes payable </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debt premium</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 gross of debt premium</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(5,210)</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16,047</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notes payable relates to a one-year insurance premium that was financed over nine-months and incurred interest expense of approximately $7 thousand for the three months ended March 31, 2024. Other notes payable also includes the Navitas Loan with a balance of $5 thousand as of March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Exchange Note is a senior secured obligation of the Company and ranks senior to all indebtedness of the Company. The Exchange Note will mature on the three-year anniversary of its issuance (the “Maturity Date”) and contains a 9.0% annualized interest rate, with interest to be paid monthly, in cash, beginning September 1, 2022. The principal amount of the Exchange Note will be payable on the Maturity Date, provided that the Lender was entitled to a cash sweep of 20% of the proceeds received by the Company in connection with any equity financing, which will reduce the outstanding principal amount under the Exchange Note.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2023, as a result of the Exchange Agreement, the Company issued a Convertible Note to Lender with a principal balance of $10 million. The Convertible Note bears a 9.0% annualized interest rate, with interest to be paid monthly, in cash, beginning April 1, 2023. The principal amount of the Convertible Note will be payable on the Maturity Date, provided that the Lender was entitled to a cash sweep of 30% of the proceeds of any at-the-market equity offering and 20% of the proceeds received by the Company in connection with any other equity financing, which would reduce the outstanding principal amount under the August 2022 Note or the Convertible Note.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any time, the Company may prepay all of the Convertible Note by redemption at a price equal to 102.5% of the then-outstanding principal amount under the Convertible Note plus accrued but unpaid interest. The Lender had the option of requiring the Company to redeem the Convertible Note (i) on August 19, 2023 or August 19, 2024 at a price equal to the then-outstanding principal amount under the Convertible Note plus accrued but unpaid interest, provided that the redemption right on August 19, 2023 will not be exercisable if the Company raises at least $8.0 million in gross proceeds from equity offerings prior to such date, or (ii) if the Company undergoes a fundamental change (as defined below) at a price equal to 102.5% of the then-outstanding principal amount under the Convertible Note plus accrued but unpaid interest.</w:t>
      </w:r>
    </w:p>
    <w:p>
      <w:pPr>
        <w:spacing w:after="0" w:line="187"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The Convertible Note imposed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Convertible Note occurs, the Lender can elect to redeem the Convertible Note for cash equal to (A) 115% of the then-outstanding principal amount of the Convertible Note (or such lesser principal amount accelerated by the Lender),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Lender delivers a notice of acceleration; (b) the total then outstanding principal amount under the Convertible Note (in thousands); and (c) the greater of (1) the highest daily volume weighted average price (“VWAP”) per share of Common Stock occurring during the fifteen consecutive trading days ending on, and including, the trading day immediately before the date the Lender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Convertible Note is fully repaid, the Lender had,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Lender elected to convert the Convertible Note, the conversion price per share would be $7.64, subject to customary adjustments for certain corporate events. The conversion of the Convertible Note will be subject to certain customary conditions. The Convertible Note may not be converted into shares of Common Stock if such conversion would result in the Lender and its affiliates owning an aggregate of in excess of 4.99% of the then-outstanding shares of Common Stock, provided that upon 61 days’ notice, such ownership limitation may be adjusted by the Lender, but in any case, to no greater than 9.99%.</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the embedded features in accordance with ASC 815-15-25 and the determined embedded features are not required to be bifurcated and separately measured at fair value.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Aggregate interest expense related to the Convertible Note and Exchange Note described above was $116 thousand as of March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Conversion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Exchange Agreement the Company entered into with the Lender on March 8, 2023, the Lender elected, on April 26, 2023, to convert $1.6 million of the remaining outstanding principal amount on the Convertible Note for 153,617 shares of Common Stock of the Company.</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 2023, the Company entered into a letter agreement with the above referenced accredited Lender (the “Letter Agreement”), pursuant to which the Company and the Lender agreed to exchange or redeem $2.0 million of the remaining outstanding principal amount under the Exchange Note for a total of 445,196 shares of Common Stock of the Company, subject to a Beneficial Ownership Limitation of 4.99% of the Company’s Common Stock. Due to the Beneficial Ownership Limitation of 4.99%, a total of 69,568 shares of Common Stock of the Company were issued to the Lender, with the remaining 375,629 shares held in abeyance until the balance (or portion thereof) may be issued in compliance with such limitations. As a result, the Company recognized a loss on the redemption of approximately $12 thousand.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aggregated Exchange Note and Convertible Note is classified as long-term as of March 31, 2024.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Forgiveness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30, 2023, the New Lender agreed to forgive $1.0 million of the principal amount outstanding on the Convertible Note (the “Principal Forgiveness”). The Principal Forgiveness was accounted for as a troubled debt restructuring under ASC 470, as 1) the Company was determined to be experiencing financial difficulties as defined by the ASC, and 2) the Principal Forgiveness was deemed a concession by the New Lender. Per ASC 470-60-35-5, a debtor in a troubled debt restructuring involving only modification of terms of a payable (i.e., not involving a transfer of assets or grant of an equity interest) shall account for the effects of the restructuring prospectively from the time of restructuring and shall not change the carrying amount of the payable at the time of the restructuring unless the carrying amount exceeds the total future cash payments specified by the new terms. As the future undiscounted cash flows were greater than or equal to the net carrying value of the original debt, the carrying amount of the debt at the time of the restructuring was not changed.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 Acqusitions Junior Secured Note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27, 2023, CP Acquisitions LLC (the “New Lender” or “CP”), an entity affiliated with and controlled by the Company’s Chief Executive Officer, purchased the Exchange Note and the Convertible Note from their holder (the “Note Purchase”). In connection with the Note Purchase, the New Lender has agreed to waive any events of default under the acquired notes through December 31, 2023. As part of the same transaction, the Company issued a junior secured promissory note (the “Junior Secured Note”) to the New Lender. Pursuant to the Junior Secured Note, the New Lender will lend up to $3.0 million to the Company. The Junior Secured Note bears interest at a rate of 10% per annum, will mature in full on December 31, 2023, and may be prepaid without any fee or penalty. On December 4, 2023, the New Lender and the Company amended and restated the Junior Secured Note agreement. Pursuant to the terms of the amendment, the maximum principal amount that may be loaned by CP to the Company was increased to $4.0 million and extended the maturity date thereon to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CP Acquisitions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25, 2024, the Company and the New Lender consolidated the outstanding principal and interest due under the Junior Secured Note and the Exchange Note as well as the interest due under the Convertible Note into the Convertible Note (collectively, with the Junior Secured Note and the Exchange Note, the “Consolidated Notes”), and amended and restated the Convertible Note under a Senior Secured Amended, Restated, and Consolidated Convertible Note agreement (the “Restated Note”) having a total outstanding principal of $18,717,973 (the “New Lender Debt Consolidation”). The Restated Note bears interest at a rate of 10% per annum and will mature in full on December 31, 2025. The Company may redeem all or a portion not less than $5.0 million of principal at any time at a price equal to 102.5% of the redeemed principal amount plus accrued but unpaid interest.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Restated Note imposes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Restricted Note occurs, then the then outstanding principal and all accrued and unpaid interest on the Restated Note will immediately become due and payable.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New Lender elects to convert the Restated Note, the conversion price per share will be $1.46, subject to customary adjustments for certain corporate events. The conversion of the Restated Note will be subject to certain customary conditions. The Restated Note may not be converted into shares of Common Stock if such conversion would result in the New Lender and its affiliates owning an aggregate of in excess of 49.99% of the then-outstanding shares of Common Stock.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following the execution of the Restated Note, the New Lender elected to convert approximately $3.9 million of outstanding principal into an aggregate of 2,671,633 shares of common stock (the “January Conversion”) having a fair value of approximately $1.7 million. As the January Conversion was exercised by the New Lender in conjunction and in connection with the Debt Consolidation, the two transactions combined were considered a modification of the total debt outstanding with the New Lender (the “New Lender Debt Restructuring”).</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New Lender Debt Restructuring was accounted for as a troubled debt restructuring under ASC 470, as 1) the Company was determined to be experiencing financial difficulties as defined by the ASC, and 2) the New Lender Debt Restructuring was deemed to result in a concession by the New Lender. The Company performed a comparison of the undiscounted cash flows associated with the Restructured Note subsequent to the New Lender Debt Restructuring to the carrying value of the Consolidated Notes as of the New Lender Debt Restructuring date. The net carrying value of the Consolidated Notes was determined to exceed the undiscounted future cash flows of the Restated Note after consideration of the January Conversion by approximately $675,000 (the “Excess Carrying Value”). The Restated Note was thus written down to the amount of the undiscounted future cash flows on the Restated Note from the New Lender Restructuring date to maturity. Further, as the New Lender is a related party of the Company, the Excess Carrying Value was accounted for as a capital transaction and no gain or loss was recognized related to the restructuring.</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GIC Acquisition Note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12, 2023, the Board of Directors of the Company approved the issuance of an unsecured promissory note (the “Related Party Note”) in favor of GIC Acquisition, LLC (“GIC”), an entity that is owned and managed by the Company’s Chairman and Chief Executive Officer. Pursuant to the Related Party Note, GIC is obligated to lend up to $0.5 million to the Company, $0.3 million of which was delivered at issuance and the remaining $0.2 million delivered on July 31, 2023. The Related Party Note bears interest at a rate of 10% per annum, will mature in full on August 6, 2023, and may be prepaid without any fee or penalty. The Related Party Note ranks junior to all existing secured indebtedness of the Company. On October 27, 2023, the maturity date of the Related Party Note was subsequently amended to December 31, 2024 at which point principal and accrued interest will be repaid in full. Interest expense incurred on the Related Party Note amounted to approximately $24 thousand for the three months ended March 31, 2024. As of March 31, 2024, the Company has borrowed approximately $1.0 million under the Related Party Note agreement.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of March 31, 2024, future minimum payments on all debt positions were as follows: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2024</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2,487</w:t>
            </w:r>
          </w:p>
        </w:tc>
      </w:tr>
      <w:tr>
        <w:trPr>
          <w:trHeight w:val="237"/>
        </w:trPr>
        <w:tc>
          <w:tcPr>
            <w:tcW w:w="9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21,778</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future payments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24,264</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implicit interest rate in its leases was generally not known, the Company’s used its incremental borrowing rate as the discount rate for purposes of determining the present value of its lease liabilities. At March 31, 2024 and 2023, the Company’s weighted-average discount rate utilized for its leases was 7.50% and 7.33%,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a contract contained lease and non-lease elements, both were accounted for as a single lease component.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several non-cancelable finance leases for machinery and equipment. As of March 31, 2024 the Company had no active finance leases.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several non-cancellable operating leases for corporate offices, warehouses, showrooms, research and development facilities and vehicles. The Company’s leases have remaining lease terms of one year to four years, some of which include options to extend. Some leases include payment for communal area maintenance associated with the property.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Additional information on the Company’s operating and financing lease activity was as follows: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7"/>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gridSpan w:val="7"/>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gridSpan w:val="2"/>
            <w:vMerge w:val="continue"/>
            <w:shd w:val="clear" w:color="auto" w:fill="CCEEFF"/>
          </w:tcPr>
          <w:p>
            <w:pPr>
              <w:spacing w:after="0"/>
              <w:rPr>
                <w:sz w:val="21"/>
                <w:szCs w:val="21"/>
                <w:color w:val="auto"/>
              </w:rPr>
            </w:pPr>
          </w:p>
        </w:tc>
        <w:tc>
          <w:tcPr>
            <w:tcW w:w="4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0" w:type="dxa"/>
            <w:vAlign w:val="bottom"/>
          </w:tcPr>
          <w:p>
            <w:pPr>
              <w:spacing w:after="0"/>
              <w:rPr>
                <w:sz w:val="1"/>
                <w:szCs w:val="1"/>
                <w:color w:val="auto"/>
              </w:rPr>
            </w:pPr>
          </w:p>
        </w:tc>
      </w:tr>
      <w:tr>
        <w:trPr>
          <w:trHeight w:val="245"/>
        </w:trPr>
        <w:tc>
          <w:tcPr>
            <w:tcW w:w="4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1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4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years</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3.54 years</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 years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2.09 years</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4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4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391"/>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24"/>
                <w:szCs w:val="24"/>
                <w:color w:val="auto"/>
              </w:rPr>
            </w:pPr>
          </w:p>
        </w:tc>
        <w:tc>
          <w:tcPr>
            <w:tcW w:w="11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3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Balance Sheet Location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430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Right-of-use, net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7"/>
        </w:trPr>
        <w:tc>
          <w:tcPr>
            <w:tcW w:w="4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assets</w:t>
            </w:r>
          </w:p>
        </w:tc>
        <w:tc>
          <w:tcPr>
            <w:tcW w:w="4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tcBorders>
              <w:right w:val="single" w:sz="8" w:color="auto"/>
            </w:tcBorders>
            <w:gridSpan w:val="2"/>
            <w:shd w:val="clear" w:color="auto" w:fill="000000"/>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gridSpan w:val="2"/>
            <w:vMerge w:val="continue"/>
            <w:shd w:val="clear" w:color="auto" w:fill="CCEEFF"/>
          </w:tcPr>
          <w:p>
            <w:pPr>
              <w:spacing w:after="0"/>
              <w:rPr>
                <w:sz w:val="21"/>
                <w:szCs w:val="21"/>
                <w:color w:val="auto"/>
              </w:rPr>
            </w:pPr>
          </w:p>
        </w:tc>
        <w:tc>
          <w:tcPr>
            <w:tcW w:w="4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6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3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Operating lease liabilities, current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300" w:type="dxa"/>
            <w:vAlign w:val="bottom"/>
            <w:tcBorders>
              <w:right w:val="single" w:sz="8" w:color="CCEEFF"/>
            </w:tcBorders>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Operating lease liabilities, non-current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60" w:type="dxa"/>
            <w:vAlign w:val="bottom"/>
            <w:tcBorders>
              <w:left w:val="single" w:sz="8" w:color="CCEEFF"/>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gridSpan w:val="2"/>
            <w:vMerge w:val="continue"/>
          </w:tcPr>
          <w:p>
            <w:pPr>
              <w:spacing w:after="0"/>
              <w:rPr>
                <w:sz w:val="20"/>
                <w:szCs w:val="20"/>
                <w:color w:val="auto"/>
              </w:rPr>
            </w:pPr>
          </w:p>
        </w:tc>
        <w:tc>
          <w:tcPr>
            <w:tcW w:w="4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0"/>
        </w:trPr>
        <w:tc>
          <w:tcPr>
            <w:tcW w:w="8680" w:type="dxa"/>
            <w:vAlign w:val="bottom"/>
            <w:gridSpan w:val="6"/>
            <w:vMerge w:val="restart"/>
          </w:tcPr>
          <w:p>
            <w:pPr>
              <w:ind w:left="340"/>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2024 are as follows:</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6"/>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0" w:type="dxa"/>
            <w:vAlign w:val="bottom"/>
          </w:tcPr>
          <w:p>
            <w:pPr>
              <w:spacing w:after="0"/>
              <w:rPr>
                <w:sz w:val="1"/>
                <w:szCs w:val="1"/>
                <w:color w:val="auto"/>
              </w:rPr>
            </w:pPr>
          </w:p>
        </w:tc>
      </w:tr>
      <w:tr>
        <w:trPr>
          <w:trHeight w:val="245"/>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4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lease</w:t>
            </w:r>
          </w:p>
        </w:tc>
        <w:tc>
          <w:tcPr>
            <w:tcW w:w="0" w:type="dxa"/>
            <w:vAlign w:val="bottom"/>
          </w:tcPr>
          <w:p>
            <w:pPr>
              <w:spacing w:after="0"/>
              <w:rPr>
                <w:sz w:val="1"/>
                <w:szCs w:val="1"/>
                <w:color w:val="auto"/>
              </w:rPr>
            </w:pPr>
          </w:p>
        </w:tc>
      </w:tr>
      <w:tr>
        <w:trPr>
          <w:trHeight w:val="216"/>
        </w:trPr>
        <w:tc>
          <w:tcPr>
            <w:tcW w:w="4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2024</w:t>
            </w:r>
          </w:p>
        </w:tc>
        <w:tc>
          <w:tcPr>
            <w:tcW w:w="4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CCEEFF"/>
              <w:left w:val="single" w:sz="8" w:color="CCEEFF"/>
              <w:bottom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Less imputed interest</w:t>
            </w:r>
          </w:p>
        </w:tc>
        <w:tc>
          <w:tcPr>
            <w:tcW w:w="4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Deficit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27, 2024, the Company entered into a placement agency agreement (the “Agency Agreement”) with Alexander Capital, LP as placement agent (the “Placement Agent”), pursuant to which the Company agreed to issue and sell an aggregate of 2,760,000 shares of its common stock, and, in lieu of common stock to certain investors that so chose, pre-funded warrants to purchase 3,963,684 shares of its common stock (the “S-1 Offering”). The public offering price for each share of common stock is $0.38, and the offering price for each Pre-Funded Warrant is $0.379, which equals the public offering price per share of the common stock, less the $0.001 per share exercise price of each Pre-Funded Warrant. The S-1 Offering was made pursuant to a registration statement on Form S-1 (File No. 333-276724) that was filed by the Company with the Securities and Exchange Commission (“SEC”) on January 26, 2024 and declared effective by the SEC on February 14, 2024.</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Pursuant to the terms of the Agency Agreement, the Company paid the Placement Agent a cash transaction fee equal to 7.0% of the aggregate gross proceeds to us from the sale of the securities in the S-1 Offering. In addition, the Company reimbursed the Placement Agent for a certain amount of its accountable expenses, including the fees and disbursements of the Placement Agent’s counsel, not to exceed $100,000 in the aggregate. Additionally, at closing the Company issued to the Placement Agent common stock purchase warrants (the “Placement Agent Warrants”) covering a number of securities equal to one percent (1.0%) of the total number of securities being sold and/or issued in the S-1 Offering. The Placement Agent Warrants are non-exercisable for one hundred eighty (180) days beginning on the date of commencement of sales of the securities being offered in this offering. Following this one hundred eighty (180) day period, the Placement Agent Warrants will be exercisable until the fifth (5th) year anniversary of commencement of sales of the securities being offered in this offering. The Placement Agent Warrants will be exercisable at a price per share of $0.38, which is equal to 100% of the price of the securities paid by the purchasers in connection with this offering. The Placement Agent Warrants are not redeemable. The Placement Agent Warrants (and the underlying securities) may not be sold, transferred, assigned, pledged, or hypothecated, or be the subject of any hedging, short sale, derivative, put, or call transaction that would result in the effective economic disposition of the Placement Agent Warrants (or the underlying securities) for a period of one hundred eighty (180) days beginning on the date of commencement of sales of the securities being offered in the offering. The Placement Agent Warrants, however, may be assigned, in whole or in part, to any successor, officer or member of the Placement Agent (or to officers or partners of any such successor or member) pursuant to FINRA Rule 5110(e)(2). There are no registration rights associated with the Placement Agent Warrants. Additionally, the Company granted a six-month right of first refusal for certain financings to the Placement Agent.</w:t>
      </w:r>
    </w:p>
    <w:p>
      <w:pPr>
        <w:spacing w:after="0" w:line="1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issued 67,237 warrants to purchase common stock to Alexander Capital, L.P., referred to as the Placement Agents Warrants above. The warrants were classified as equity warrants and recorded under additional paid-in capital in the condensed consolidated balance sheets. The warrants have a five-year term and exercise price of 100% of the offering price, and are subject to adjustment for stock splits, reverse stock splits, stock dividends, and similar transactions. The warrants will be exercisable on a cash basis, unless there is not an effective registration statement covering the issuance of the shares issuable upon exercise of the warrants or if shareholder approval for the full exercise of the warrants are not received, in which case the Modified Warrant will also be exercisable on a cashless exercise basis at Alexander Capital election.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measurement of fair value of the Alexander Capital Warrants were determined utilizing a Black-Scholes model considering all relevant assumptions current at the date of issuance (i.e., share price of $0.52, exercise price of $0.38, term of five years, volatility of 128%, risk-free rate of 4.32%, and expected dividend rate of 0%). The grant date fair value of these Alexander Capital Warrants was estimated to be $31 thousand on February 27, 2024 and is reflected within additional paid-in capital as of March 31, 2024.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right="2680" w:firstLine="2671"/>
        <w:spacing w:after="0" w:line="502"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Note 10 — Stock-Based Compensation and Employee Benefit Plans 2022 Omnibus Equity Incentive Plan</w:t>
      </w:r>
    </w:p>
    <w:p>
      <w:pPr>
        <w:spacing w:after="0" w:line="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Omnibus Equity Incentive Plan (the “2022 Plan”), which replaced the 2020 Stock Option Plan (the “2020 Plan”). The 2022 Plan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26,483 shares, which includes the 10,000 shares authorized under the 2022 Plan, plus the rollover of 16,483 issued and outstanding awards under the 2020 Plan and 250,000 additional shares issued upon approval by the Board of Directors on January 8, 2024. Shares will be deemed to have been issued under the 2022 Plan solely to the extent actually issued and delivered pursuant to an award. If any award granted under the 2020 Plan or the 2022 Plan expires, is canceled, terminates unexercised or is forfeited, the number of shares subject thereto is again available for grant under the 2022 Plan. The 2022 Plan shall continue in effect, unless sooner terminated, until the tenth anniversary of the date on which it is adopted by the Board of Directors. As of March 31, 2024, there were 57,719 shares of Common Stock available to be granted under the Company’s 2022 Plan.</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stock compensation expense was $0.5 million and $0.9 million for the three months ended March 31, 2024 and 2023, respectively.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there were no options granted, exercised, forfeited or expired under the Company’s stock option plans. There were 10,310 options outstanding with a weighted average exercise price of $1,595.92 as of March 31, 2024 and December 31, 2023. There were 10,206 options vested and exercisable with a weighted average exercise price of $1,594.66 as of March 31, 2024. There were 10,310 options vested and expected to vest with a weighted average exercise price of $1,595.92 as of March 31, 2024</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expense related to unvested options under the Company’s 2022 Plan was $1.5 thousand, which is expected to be recognized over a weighted average period of 0.06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March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 Vested and Exercisable</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 Remaining</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jc w:val="center"/>
              <w:ind w:right="2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6"/>
                <w:szCs w:val="16"/>
                <w:color w:val="auto"/>
              </w:rPr>
            </w:pPr>
          </w:p>
        </w:tc>
      </w:tr>
      <w:tr>
        <w:trPr>
          <w:trHeight w:val="245"/>
        </w:trPr>
        <w:tc>
          <w:tcPr>
            <w:tcW w:w="560" w:type="dxa"/>
            <w:vAlign w:val="bottom"/>
          </w:tcPr>
          <w:p>
            <w:pPr>
              <w:spacing w:after="0"/>
              <w:rPr>
                <w:sz w:val="21"/>
                <w:szCs w:val="21"/>
                <w:color w:val="auto"/>
              </w:rPr>
            </w:pPr>
          </w:p>
        </w:tc>
        <w:tc>
          <w:tcPr>
            <w:tcW w:w="24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 Life (Years)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972.00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2,842</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1,536.00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1,536.00</w:t>
            </w: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1,840.00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2,768.00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4,270</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2,768.00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expected to vest after March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Vested and Expected to Vest</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 Remaining</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jc w:val="center"/>
              <w:ind w:right="2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6"/>
                <w:szCs w:val="16"/>
                <w:color w:val="auto"/>
              </w:rPr>
            </w:pPr>
          </w:p>
        </w:tc>
      </w:tr>
      <w:tr>
        <w:trPr>
          <w:trHeight w:val="245"/>
        </w:trPr>
        <w:tc>
          <w:tcPr>
            <w:tcW w:w="560" w:type="dxa"/>
            <w:vAlign w:val="bottom"/>
          </w:tcPr>
          <w:p>
            <w:pPr>
              <w:spacing w:after="0"/>
              <w:rPr>
                <w:sz w:val="21"/>
                <w:szCs w:val="21"/>
                <w:color w:val="auto"/>
              </w:rPr>
            </w:pPr>
          </w:p>
        </w:tc>
        <w:tc>
          <w:tcPr>
            <w:tcW w:w="24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8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2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Contractual Life (Years)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972.00</w:t>
            </w:r>
          </w:p>
        </w:tc>
        <w:tc>
          <w:tcPr>
            <w:tcW w:w="2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2,856</w:t>
            </w:r>
          </w:p>
        </w:tc>
        <w:tc>
          <w:tcPr>
            <w:tcW w:w="2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6.57</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1,536.00</w:t>
            </w:r>
          </w:p>
        </w:tc>
        <w:tc>
          <w:tcPr>
            <w:tcW w:w="28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2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1,536.00</w:t>
            </w: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1,840.00</w:t>
            </w:r>
          </w:p>
        </w:tc>
        <w:tc>
          <w:tcPr>
            <w:tcW w:w="2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250</w:t>
            </w:r>
          </w:p>
        </w:tc>
        <w:tc>
          <w:tcPr>
            <w:tcW w:w="2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7.75</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2,768.00</w:t>
            </w:r>
          </w:p>
        </w:tc>
        <w:tc>
          <w:tcPr>
            <w:tcW w:w="28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4,270</w:t>
            </w:r>
          </w:p>
        </w:tc>
        <w:tc>
          <w:tcPr>
            <w:tcW w:w="2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2,768.00</w:t>
            </w:r>
          </w:p>
        </w:tc>
      </w:tr>
      <w:tr>
        <w:trPr>
          <w:trHeight w:val="547"/>
        </w:trPr>
        <w:tc>
          <w:tcPr>
            <w:tcW w:w="5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restricted stock unit activity under the 2022 Plan for the three months ended March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201,938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(201,955)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March 31, 2024</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251.22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expense related to unvested restricted stock units was $139 thousand, which is expected to be recognized over a weighted average period of 1.12 years.</w:t>
      </w:r>
    </w:p>
    <w:p>
      <w:pPr>
        <w:sectPr>
          <w:pgSz w:w="11900" w:h="16838" w:orient="portrait"/>
          <w:cols w:equalWidth="0" w:num="1">
            <w:col w:w="11240"/>
          </w:cols>
          <w:pgMar w:left="320" w:top="765"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tables present all warrant activity of the Company for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outstanding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outstanding at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5,380,299</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10.83</w:t>
            </w:r>
          </w:p>
        </w:tc>
        <w:tc>
          <w:tcPr>
            <w:tcW w:w="20" w:type="dxa"/>
            <w:vAlign w:val="bottom"/>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4,030,921</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(6,142,217)</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(3,081)</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3,265,922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0" w:type="dxa"/>
            <w:vAlign w:val="bottom"/>
          </w:tcPr>
          <w:p>
            <w:pPr>
              <w:spacing w:after="0"/>
              <w:rPr>
                <w:sz w:val="21"/>
                <w:szCs w:val="2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200" w:space="480"/>
            <w:col w:w="2560"/>
          </w:cols>
          <w:pgMar w:left="320" w:top="765" w:right="33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8"/>
          <w:szCs w:val="18"/>
          <w:color w:val="auto"/>
        </w:rPr>
        <w:t>The Company received proceeds from the exercise of warrants of $3 thousand for the three months ended March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was 0.0% and 0.0% for the three months ended March 31, 2024 and 2023, respectively. The provision for (benefit from) income taxes was $0 and $0 for the three months ended March 31, 2024 and 2023, respectively. There is no difference between the Company’s effective tax rates for the 2024 and 2023 periods. There was no change in the provision for (benefit from) income taxes for the three months ended March 31, 2024 compared to the three months ended March 31, 2023.</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Net Loss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Company’s reverse stock splits. Net loss per share was calculated based on the weighted-average number of the Company’s Common Stock outstanding.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using the weighted-average number of Common Stock outstanding during the periods. Diluted net loss per share is computed by giving effect to all potential shares of Common Stock, including outstanding stock options, stock related to unvested restricted stock units, and outstanding warrants to the extent dilutive. Net loss per share, assuming dilution, is equal to basic net loss per share because the effect of dilutive securities outstanding during the periods, including options and warrants computed using the treasury stock method, is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components of basic and diluted net loss per share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available for common shareholders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(10,327)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8,894,229</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1,072,292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restricted stock units, and warrants,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unvested 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3,265,922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1,495,001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3,277,963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1,511,870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Litigation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September 15, 2022, the Company provided a notice of default to Bud &amp; Mary’s and certain related parties notifying such parties that Bud &amp; Mary’s was in default of its obligations under the Bud &amp; Mary TTK Agreement. On October 5, 2022, Bud &amp; Mary’s filed a complaint in the Superior Court of Massachusetts in Suffolk County, naming the Company as the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The $14.7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Mary’s complaint and counterclaims. The Company is seeking, among other relief, monetary damages in connection with the breach of contract, breach of the implied covenant of good faith and fair dealing, unjust enrichment, and enforcement of the guarantees. Bud &amp; Mary’s is permitted to file an amended complaint, and Agrify will be permitted to make responsive filings, which may include an answer and counterclaim.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Bowdoin Construction Corp. Litigation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22, 2023, Bowdoin Construction Corp. (“Bowdoin”) filed a complaint (the “Bowdoin Complaint”) in the Superior Court of Massachusetts in Norfolk County naming the Company, Bud &amp; Mary’s and certain related parties as defendants, captioned Bowdoin Construction Corp. v. Agrify Corporation, Bud &amp; Mary’s Cultivation, Inc. and BMLC2, LLC, case no. 2382CV00173. The Bowdoin Complaint relates to a construction contract between Bowdoin and the Company relating to the property that is the subject of the Bud &amp; Mary’s Complaint, and alleges breach of contract by Bud &amp; Mary’s and by the Company due to nonpayment of approximately $6.3 million due under the contract and related indemnification claims and mechanics’ liens. The $6.3 million is included in accounts payable in the consolidated balance sheet. One of Bowdoin’s subs, Hannon Electric, Inc. has filed a separate suit against Agrify in the amount of $1.498 million. The amount is part of the $6.3 million claimed in Bowdoin’s complaint. The Company is entitled to indemnification by Bud &amp; Mary’s and intends to vigorously defend this claim.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Mack Molding Co.</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 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December 31, 2022, the Company owed Mack $8.4 million for purchased inventory on behalf of the Company to produce VFUs, which is included in accounts payable in the consolidated balance sheet. On March 2, 2023, Mack filed an arbitration action seeking the amounts owed to Mack for purchased inventory. On October 27, 2023, and effective as of October 18, 2023, Mack and the Company entered into a Modification and Settlement Agreement (the “Modification Agreement”) with respect to the dispute.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29, 2024, the Company met its performance obligations in terms of the Modification Agreement and a gain of $1,141,587 was recorded, within general and administrative expenses, on the Consolidated Statement of Operations during the three months ended March 31, 2024, representing the difference between the carrying value of the Contract liability owing by Agrify to Mack, prior to the execution of the Modification Agreement, and the aggregate of (a) the present value of the minimum cash payments required to be made by the Company over the term of the Modification Agreement, and</w:t>
      </w:r>
    </w:p>
    <w:p>
      <w:pPr>
        <w:spacing w:after="0" w:line="3" w:lineRule="exact"/>
        <w:rPr>
          <w:sz w:val="20"/>
          <w:szCs w:val="20"/>
          <w:color w:val="auto"/>
        </w:rPr>
      </w:pPr>
    </w:p>
    <w:p>
      <w:pPr>
        <w:jc w:val="both"/>
        <w:ind w:firstLine="8"/>
        <w:spacing w:after="0" w:line="253" w:lineRule="auto"/>
        <w:tabs>
          <w:tab w:leader="none" w:pos="2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warrants issued to Mack by the Company, in terms of the Modification Agreement. The recognition of this gain also resulted in the derecognition of the Prepaid settlement asset balance, and the reduction of the outstanding accounts payable balance based on the terms of the Modification Agreement. At this time, the outstanding accounts payable balance owing to Mack, was reclassified from Accounts payable to Notes payable, current in the amount of $1,374 and Notes payable, net of current in the amount of $3,464, per the face of the condensed consolidated balance sheet, as of March 31, 2024.</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following the meeting of certain conditions, including making predetermined quarterly payments to Mack in terms of the Modification Agreement, the Company is entitled to take possession of certain VFUs that were assembled under the Supply Agreement. These quarterly payments relate to the purchase from Mack of a minimum of 25 VFUs per quarter for each quarter during 2024 and a minimum of 50 VFUs per quarter for the six quarters beginning with the first quarter of 2025. In the first quarter of 2024, the Company recognized a gain of $564,277, within general and administrative expenses, associated with the revaluation of the contingent liability, originally recognized on losing control of this inventory and offset against the inventory balance during the fiscal year ended December 31, 2022, on regaining control of 25 units of the VFU inventory.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also required to pay a storage fee of $25,000 to Mack, per month, for VFUs subject to the Modification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TRC Electronics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named as a defendant in a complaint filed by TRC Electronics, Inc. (“TRC”) on April 13, 2023 in the United States District Court for the Eastern District of Pennsylvania. In the Complaint, TRC asserts two causes of action against the Company: (1) breach of contract, and (2) promissory estoppel. TRC’s claims are based on allegations that the Company failed to make payments due under three purchase orders for commercial electronics parts. TRC seeks damages in the amount of $565,210, plus attorneys’ fees, costs, and post-judgment interest. The Company has filed an answer denying liability on TRC’s claims and is proceeding with discovery.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McCutchan, Inc.</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7"/>
          <w:szCs w:val="17"/>
          <w:color w:val="auto"/>
        </w:rPr>
        <w:t>In December 2021, the Company entered into a Standard Form of Agreement (“Agreement”) between Owner and Contractor whereby Valiant Group LLC (“Valiant”) is the general contractor for tenant improvements on certain real property located in Bellevue, Washington (the “Project”). McCutchan, Inc. (“McCutchan”) agreed to be a subcontractor on the Project and engaged various other subcontractors. The Company terminated Valiant as the general contractor for, among other allegations, breach of contract and unjust enrichment. Following the termination of Valiant, in October 2022, the Agreement was assigned and accepted (the “Assignment”) to Agxion, LLC, a wholly owned subsidiary of the Company. The Assignment contemplates that, as a subcontractor to the Agreement, McCutchan is still bound to the subcontract agreement and will continue construction operations on the Project. The Company is pursuing Valiant in a separate litigation (the “Valiant Litigation”) to collect no less than approximately $1.4 million alleging overbilling, breach of the Agreement, and violation of Chapter 18.27 and 19.86 RCW in Washington. On March 5, 2024, McCutchan, Inc. (“McCutchan”) filed a complaint in the Superior Court of Washington for King County naming the Company, Valiant, and certain related parties as defendants. In the Complaint, McCutchan asserts two causes of action against the Company: (1) breach of contract, (2) voidable contract, (3) interference with business or economic expectancy, (4) unjust enrichment, and (5) defamation. McCutchan’s claims are based on allegations of misrepresentations made by the Company to pay McCutchan for work completed on the Project as well as a failure to pay under the Agreement. In the alternative, McCutchan is alleging the Assignment is void and not a valid contract. McCutchan is seeking to collect no less than $3 million against the Company and all other named defendants. The Company, Valiant, and</w:t>
      </w:r>
    </w:p>
    <w:p>
      <w:pPr>
        <w:spacing w:after="0" w:line="10"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McCutchan have all agreed to mediate the matter. McCutchan has asked to postpone the original scheduled May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mediation date, and the Company, Valiant and McCutchan are collectively working to set up a new three-way mediation date. In the event the parties cannot reach an agreement in the mediation, this matter will be moved to arbitration pursuant to the mandatory arbitration clause in the Agreement.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Valiant Grouop LLC</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Agrify filed a separate complaint against Valiant for overbilling, misrepresentation, and breach for the Treehouse project in Nevada. Valiant has failed to respond and Agrify has since submitted an entry of default to the court and is currently seeking for award in the amount of $1.5 million. However, there is no guarantee that the Court would award the full amount and no guarantee that Agrify would be able to successfully collect the full amount from Valiant.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2023, the Company settled a legal dispute with a specific customer which resulted in the recognition of a gain of approximately $0.9 million, of which $0.3 million was paid in October 2023, with the remaining approximate $0.6 million to be paid in equal monthly installments, beginning in January, 2024. This gain was recognized as part of other income, net per the consolidated statement of operations for the three months ended March 31, 2024, with the approximate $0.9 million receivable balance recognized as part of prepaid expenses and other current assets, per the consolidated balance sheet, as of March 31, 2024. The settlement also resulted in the return of equipment to the Company in October 2023.</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currently pursuing 10 separate legal proceedings in attempting to collect approximately $2.5 million outstanding receivables. The Company is not confident that all legal proceedings and collection efforts will yield in positive results or return of equipment.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25, 2024, Medical Investor Holdings, LLC dba Vertical Companies (“MIH”) filed a complaint against Agrify demanding $288,000. MIH purchased an XMU hydrocarbon extraction system from Precision in October 2021. MIH chose to not include installation and training in the original purchase but is now having problems with this equipment. The Company this is a meritless case.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also a defendant or plaintiff in a variety of other litigation matters that are individually insignificant. The timing and amount of any settlements, including potential payments made or received, is uncertain. Nonetheless, management currently estimates that the Company’s aggregate net loss exposure with respect to these cases is within the range of approximately $150,000 to $300,000.</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2022, claimant, an ex-sales VP is claiming he is owed back wages, commission and is entitled to equity in the company, under theories of liability under Massachusetts labor laws including retaliation, breach of contract, breach of covenant of good faith and fair dealing, fraudulent inducement, tortious interference &amp; unjust enrichment. Company has filed its answer to the initial complaint in January 2023. The Company believes this is a meritless case and has responded to various discovery requests.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Refer to Note 7 – Debt, included elsewhere in the notes to the consolidated financial statements for details of the Company’s future minimum debt payments. Refer to Note 8 – Leases, included elsewhere in the notes to the consolidated financial statements for details of the Company’s future minimum lease payments under operating and financing lease liabilities. Refer to Note 12 – Income Taxes, included elsewhere in the notes to the consolidated financial statements for information regarding income tax contingencies.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 Parties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Some of the officers and directors of the Company are involved in other business activities and may, in the future, become involved in other business opportunities that become available.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net purchasing (sales) activity with entities identified as related parties to the Company: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Performance Group</w:t>
            </w:r>
          </w:p>
        </w:tc>
        <w:tc>
          <w:tcPr>
            <w:tcW w:w="1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NEIA</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Greenstone Holdings</w:t>
            </w:r>
          </w:p>
        </w:tc>
        <w:tc>
          <w:tcPr>
            <w:tcW w:w="12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8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following table summarizes net related party (payable) receivable as of March 31, 2024 and December 31, 2023:</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12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12, 2023, the Company issued an unsecured promissory note in favor of GIC Acquisition, LLC, an entity that is owned and managed by the Company’s Chairman and Chief Executive Officer. Refer to Note 7 - Debt for further disclosure related to this Related Party Note.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27, 2023, CP Acquisitions LLC, an entity affiliated with and controlled by Company’s Chairman and Chief Executive Officer, purchased the Exchange Note and the Convertible Note. In addition, the Company issued to CP a Junior Secured Note. Refer to Note 7 - Debt for further disclosure related to this Related Party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condensed consolidated financial statements were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Company Issued Prefunded Warrants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April 2024, a holder of 953,684 of the Company’s previously issued prefunded warrants exercised such warrants for the purchase of 953,684 of the Company’s common stock.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contained in this Quarterly Report on Form 10-Q is intended to update the information contained in our Annual Report on Form 10-K for the year ended December 31, 2023 filed with the Securities and Exchange Commission on April 15, 2024, as amended on April 29, 2024 (the “Form 10-K”) and presumes that readers have access to, and will have read, the “Management’s Discussion and Analysis of Financial Condition and Results of Operations” and other information contained in such Form 10-K. The following discussion and analysis also should be read together with our financial statements and the notes to the financial statements included elsewhere in this Quarterly Report on Form 10-Q.</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contains certain statements that may be deemed “forward-looking statements” within the meaning of the Private Securities Litigation Reform Act of 1995. Such statements appear in a number of places in this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risk factors described in our Annual Report on Form 10-K in the section entitled “Risk Factors” for a description of certain risks that could, among other things, cause actual results to differ from these forward-looking statements. We assume no responsibility to update the forward-looking statements contained in this Quarterly Report on Form 10-Q. The following should also be read in conjunction with the unaudited financial statements and notes thereto that appear elsewhere in this report.</w:t>
      </w:r>
    </w:p>
    <w:p>
      <w:pPr>
        <w:spacing w:after="0" w:line="18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indicated herein or as the context otherwise requires, references in this quarterly report to “we,” “us,” “our,” “Company,” and “Agrify” refer to Agrify Corporation, a Nevada corporation.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developer of proprietary precision hardware and software grow solutions for the indoor commercial agriculture industry and provides equipment and solutions for cultivation, extraction, post-processing, and testing for the cannabis and hemp industries. We believe we are the only company with an automated and fully integrated grow solution in the industry. Our Agrify “Precision Elevated™” cultivation solution seamlessly combines our integrated hardware and software offerings with a broad range of associated services including consulting, engineering, and construction and is designed to deliver the most complete commercial indoor farming solution available from a single provider. The totality of our product offerings and service capabilities forms an unrivaled ecosystem in what has historically been a highly fragmented market. As a result, we believe we are well situated to create a dominant market position in the indoor agriculture sector.</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Billerica, Massachusetts. We also lease properties located within various geographic regions in which we conduct business, including Colorado, Georgia, Massachusetts, Michigan, and Oregon.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beginning of 2023, we announced a strategic plan to foster sustainable long-term growth through cost efficiencies and enhanced sales and growth initiatives. We have been focused on growing our cultivation business by helping our existing Agrify Total Turn-Key customers to bring their facilities online and driving additional sales through our RDP. As a result, we have successfully installed and commenced our Las Vegas customer, Nevada Holistic Medicine, our Denver Colorado customer, Denver Greens, and signed several new customers such as Golden Lake Business Park in California, and Harvest Works in New Jersey. As a testimony to the Vertical Farming Unit’s (“VFU”) ability to produce high quality flower, Nevada Holistic Medicine is already consistently harvesting 9 pounds of A-grade flower per VFU, or roughly 64 grams per canopy square foot, and seeing 90%+ A-grade flower produced with exceptional color, trichome, and terpene levels.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Similarly, since we have streamlined our expansive extraction portfolio of technologies, we have successfully supported the deployment of several turnkey solvent-based and solventless extraction packages to customers in California, Michigan, and the East Coast. In addition, we have released several new technologies and products into the market based on customer feedback, including our first peer-reviewed Cannabeast 13 Distillation Unit, a Diamond Miner, Stitch-less Double Filtration Rosin Bags, and the revamped PX30 Hydrocarbon Extractor. We have also made significant strides to receive UL Compliance for Precision Extractions’ EXP Explosion Proof Rooms in an effort to continue our commitment to safety and quality within cannabis extraction facilities.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industry developments illustrate the continuous innovation, and commitment to safety within the cannabis sector as our company adapts to evolving market demands. More importantly, our growing partnership across the Country is a strong testimony to operators’ continued trust in Agrify’s team and technologies in the most competitive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Amendment, Consolidation and Conversion</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Notices and Hearing</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10-Q and the Form 10-K (collectively, the “Delinquent Reports”) in a timely manner. We filed each of the Delinquent Reports between November 28, 2023 and January 3, 2024.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 2023, we received a notice Nasdaq stating that because we reported stockholders’ equity of $(17.17) million in our Quarterly Report on Form 10-Q for the quarter ended March 31, 2023, we were no longer in compliance with Nasdaq Listing Rule 5550(b)(1), which requires that listed companies maintain a minimum of $2.5 million in stockholders’ equity.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timely requested a hearing before the Nasdaq Hearings Panel (the “Panel”), which hearing was held on January 11, 2024. At the hearing, we presented a plan to regain compliance with Nasdaq Listing Rule 5550(b)(1). On January 30, 2024, we received formal notice that the Panel had granted our request for an exception through April 15, 2024 to evidence compliance with Rule 5550(b)(1), which was subsequently extended to May 15, 2024. As a result, there can be no assurance that we can regain compliance by the end of the extension period.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March 5, 2024, we received a deficiency letter from the Listing Qualifications Department of Nasdaq notifying us that, for the last 30 consecutive business days, the bid price for our common stock had closed below $1.00 per share, which is the minimum closing price required to maintain continued listing on the Nasdaq Stock Market under Nasdaq Listing Rule 5550(a)(2) (the “Minimum Bid Requirement”). The Notice had no immediate effect on the listing of our common stock on Nasdaq. In accordance with Nasdaq Listing Rule 5810(c)(3)(A), we have 180 calendar days to regain compliance with the Minimum Bid Requirement. To regain compliance with the Minimum Bid Requirement, the closing bid price of our common stock must be at least $1.00 per share for a minimum of 10 consecutive trading days during this 180-day compliance period, unless the Staff exercises its discretion to extend this period pursuant to Nasdaq Listing Rule 5810(c)(3)(H). The compliance period for us will expire on September 3, 2024.</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 provide no assurances that the listing of our common stock will be restored or that we otherwise will remain listed on Nasdaq. 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27, 2024, we entered into a placement agency agreement with Alexander Capital, LP as placement agent, pursuant to which we agreed to issue and sell an aggregate of 2,760,000 shares of common stock, and, in lieu of common stock to certain investors that so chose, pre-funded warrants to purchase 3,963,684 shares of common stock. The public offering price for each share of common stock was $0.38, and the offering price for each pre-funded warrant was $0.379, which equals the public offering price per share of the common stock, less the $0.001 per share exercise price of each pre-funded warrant. The Offering was made pursuant to a registration statement on Form S-1 that we filed with the Securities and Exchange Commission on January 26, 2024 and was declared effective on February 14, 2024. Raymond Chang, our Chairman and Chief Executive Officer, participated in the offering on the same terms as other investors. The net proceeds from the public offering were approximately $2.2 million, after deducting placement agent fees and commissions and expenses. The public offering closed on February 28, 2024.</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and useful life of fixed assets and intangible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estimates,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the following sources: (1) equipment sales, (2) providing services and (3) construction contracts.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we recognize revenue from contracts with customers using a five-step model, which is described below:</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customer contract is generally identified when there is approval and commitment from both use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we expect to be entitled in exchange for transferring goods or services to a customer, excluding sales taxes that are collected on behalf of government agencies.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We determine SSP based on the price at which the performance obligation is sold separately and the methods of estimating SSP under the guidance of Accounting Standards Codification (“ASC”) 606-10-32-33. If the SSP is not observable through past transactions, we estimate the SSP, taking into account available information such as market conditions, expected margins, and internally approved pricing guidelines related to the performance obligations. We license our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utilize the cost-plus margin method to determine the SSP for equipment and build-out services. This method is based on the cost of the services from third parties, plus a reasonable markup that we believe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determine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we will assess whether the transaction price for those contracts include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 upon interest rate and will present the financing components separately as financial income. For the three months ended March 31, 2024 and 2023, we did not have any such financial income.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obligations under a contract with a customer by transferring products and services in exchange for consideration from the customer. Accounts receivables are recorded when the customer has been billed or the right to consideration is unconditional. We recognize deferred revenue when consideration has been received or an amount of consideration is due from the customer, and we have a future obligation to transfer certain proprietary products.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provide a one-year warranty on our products for materials and workmanship but may provide multiple year warranties as negotiated, and will pass on the warranties from its vendors, if any, which generally covers this one-year period. In accordance with ASC 450-20-25, we accrue for product warranties when the loss is probable and can be reasonably estimated. The reserve for warranty returns is included in accrued expenses and other current liabilities in our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Business Combinations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allocated the purchase price of acquired companies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ind w:left="340"/>
        <w:spacing w:after="0"/>
        <w:rPr>
          <w:sz w:val="20"/>
          <w:szCs w:val="20"/>
          <w:color w:val="auto"/>
        </w:rPr>
      </w:pPr>
      <w:r>
        <w:rPr>
          <w:rFonts w:ascii="Times New Roman" w:cs="Times New Roman" w:eastAsia="Times New Roman" w:hAnsi="Times New Roman"/>
          <w:sz w:val="18"/>
          <w:szCs w:val="18"/>
          <w:color w:val="auto"/>
        </w:rPr>
        <w:t>Examples of critical estimates in valuing certain of the intangible assets we have acquired or may acquire in the future include but are not limited to:</w:t>
      </w:r>
    </w:p>
    <w:p>
      <w:pPr>
        <w:spacing w:after="0" w:line="225"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software license sales, support agreements, consulting contracts, other customer contracts, and acquired developed technologies;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develop in-process research and development into commercially viable products and estimated cash flows from the projects when completed;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company’s brand and competitive position, as well as assumptions about the period of time the acquired brand will continue to be used in the combined company’s product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capital and discount rates;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useful lives of acquired assets as well as the pattern or manner in which the assets will amortize.</w:t>
      </w:r>
    </w:p>
    <w:p>
      <w:pPr>
        <w:spacing w:after="0" w:line="22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Internal Software Development Costs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capitalize certain software engineering efforts related to the continued development of Agrify Insights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important that the discussion of our operating results that follows be read in conjunction with the critical accounting policies disclosed above.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$0 and $46 from related parties, respectively)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1,869</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(7,584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Net loss before income taxes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(10,327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 (1)</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rPr>
              <w:t>Net (loss) income per share attributable to Common Stockholders – diluted</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 (1)</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8,894,229</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1,072,292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rPr>
              <w:t>Weighted average common shares outstanding - diluted (1)</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8,894,229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goal is to provide our customers with a variety of products to address their entire indoor agriculture needs. Our core product offering includes our Agrify Vertical Farming Units (or “VFUs”) and Agrify Integrated Grow Racks with our Agrify Insights software, which are supplemented with environmental control products, grow lights, facility build-out services and extraction equipment.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sales of cultivation solutions, including ancillary products and services, Agrify Insights software, facility build-outs and extraction equipment and solutions. We believe that our product mix form an integrated ecosystem which allows us to be engaged with our potential customers from early stages of the grow cycle — first during the facility build-out, to the choice of cultivation solutions, running the grow business with our Agrify Insights software and finally, our extraction, post-processing and testing services to transform harvest into a sellable product. We believe that delivery of each solution in the various stages in the process will generate sales of additional solutions and services.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revenue for the three months ended March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Agrify Insights software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0"/>
        </w:trPr>
        <w:tc>
          <w:tcPr>
            <w:tcW w:w="59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Revenues decreased by $3.2 million, or 55% for the three months ended March 31, 2024 compared to the same period in 2023. The comparative decrease in revenue was generated primarily from decreases in revenue from facility build-outs and extraction solutions. Extraction division revenues totaled $2.5 million in the first quarter of 2024. Additionally, design and build revenues decreased by $0.6 million due to the discontinued build-out of facilities under our TTK Solutions.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cost of goods sold for the three months ended March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(1,925)</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7"/>
        </w:trPr>
        <w:tc>
          <w:tcPr>
            <w:tcW w:w="5940" w:type="dxa"/>
            <w:vAlign w:val="bottom"/>
            <w:tcBorders>
              <w:top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2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decreased by $2.9 million, or 61%, for the three months ended March 31, 2024 compared to the same period in 2023. The comparative quarterly decrease in cost of goods sold is associated with decreases in cost of goods sold related to facility build-outs and extraction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profit totaled $0.7 million, or 28.1% of total revenue during the three months ended March 31, 2024 compared to a gross loss of $1.0 million, or 17% of total revenue during the three months ended March 31, 2023. The comparative $0.3 million first-quarter year over year decrease in gross profit, as well as the comparative decrease in gross profit margin, is primarily attributable to a smaller decrease in costs of goods sold relative to the decrease in revenue for the period. During the first quarter of 2024, we realized a gross profit margin of 33% associated with our extraction solutions revenue, while we realized a gross profit margin of approximately (169)% on our cultivation-related revenues.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 forward-looking basis, with the full year benefit of anticipated margin contribution associated with the extraction-related revenue contributions, the Company anticipates that gross margin performance, aided by our extraction-related equipment sales, will be in a mid-teens range. We anticipate that we will be able to improve upon that expected gross profit margin performance once we are able to generate meaningful software and production fee revenues from our TTK Solutions, which we currently expect to begin in the late third or early fourth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5"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consist principally of salaries and related costs for personnel, including stock-based compensation and travel expenses, associated with executive and other administrative functions. Other G&amp;A expenses include, but are not limited to, professional fees for legal, consulting, depreciation and amortization and accounting services, as well as facility-related costs.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G&amp;A expense decreased by $4.0 million, or 57%, for the three months ended March 31, 2024, compared to the same period in 2023. The decrease is attributable to payroll, benefits and related expenses decrease of $1.8 million, a decrease in consulting and other related expenses of $0.3 million, a decrease in insurance expenses of $0.5 million, a decrease in legal expense of $0.2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5"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consisted primarily of costs incurred for the development of our Agrify Insights software, next generation VFUs, and new extraction technology and methodology, which includes:</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travel;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the subcontractor under agreements to provide engineering work related to the development of our Agrify Insights software and next generation VFUs;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facilities, depreciation, and other expenses, which include direct and allocated expenses for rent and maintenance of facilities, insurance and other supplies.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R&amp;D expense decreased by $0.5 million, or 63%, for the three months ended March 31, 2024, compared to the same period in 2023. The decrease is attributable to the reduction in personnel, outsourced consulting and materials purchased.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continue to invest in future developments of our VFUs, Agrify Insights software and our extraction products. As a percentage of net revenue, R&amp;D expenses were 10.6% of total revenue for the three months ended March 31, 2024, compared to 12.7% for the three months ended March 31, 2023.</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5"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and marketing expenses consist primarily of salaries and related costs of personnel, travel expenses, trade shows and advertising expenses.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and marketing expenses decreased by $1.1 million, or 71%, for the three months ended March 31, 2024, compared to the same period in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is attributable to a decrease in payroll, advertising, and trade show expenses.</w:t>
      </w:r>
    </w:p>
    <w:p>
      <w:pPr>
        <w:sectPr>
          <w:pgSz w:w="11900" w:h="16838" w:orient="portrait"/>
          <w:cols w:equalWidth="0" w:num="1">
            <w:col w:w="11240"/>
          </w:cols>
          <w:pgMar w:left="320" w:top="765"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extinguishment of notes payable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other 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8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28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8"/>
        </w:trPr>
        <w:tc>
          <w:tcPr>
            <w:tcW w:w="240" w:type="dxa"/>
            <w:vAlign w:val="bottom"/>
            <w:tcBorders>
              <w:top w:val="single" w:sz="8" w:color="auto"/>
            </w:tcBorders>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(799)</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654</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(82)</w:t>
            </w:r>
          </w:p>
        </w:tc>
        <w:tc>
          <w:tcPr>
            <w:tcW w:w="2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2,672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(4,620)</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line="20" w:lineRule="exact"/>
              <w:rPr>
                <w:sz w:val="1"/>
                <w:szCs w:val="1"/>
                <w:color w:val="auto"/>
              </w:rPr>
            </w:pPr>
          </w:p>
        </w:tc>
      </w:tr>
      <w:tr>
        <w:trPr>
          <w:trHeight w:val="25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2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2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-496570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-205105</wp:posOffset>
            </wp:positionV>
            <wp:extent cx="713232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-788035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20" w:space="720"/>
            <w:col w:w="5300"/>
          </w:cols>
          <w:pgMar w:left="320" w:top="765" w:right="339" w:bottom="1440" w:gutter="0" w:footer="0" w:header="0"/>
          <w:type w:val="continuous"/>
        </w:sect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decreased by $0.7 million, or 82%, for the three months ended March 31, 2024, compared to the same period in 2023. The decrease in interest expense is attributable mainly to the decrease in principal balance on outstanding loans.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during the three months ended March 31, 2024 for 1.8 million is related to the fair value remeasurement of warrants issued during March, August, and December,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Attributable to Non-Controlling Interest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2024, our principal sources of liquidity were cash and cash equivalents and marketable securities totaling $0.1 million. Our current working capital needs are to support revenue growth, to fund construction and equipment financing commitments associated with our TTK Solutions, manage inventory to meet demand forecasts and support operational growth. Our long-term financial needs primarily include working capital requirements and capital expenditures. We anticipate that we will allocate a significant portion of our current balance of working capital to satisfy the financing requirements of our current and future TTK arrangements. These arrangements require a significant amount of upfront capital necessary to fund construction, associated with facility build-outs, and equipment.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entered into one Loan Agreement and Promissory Note with Bank of America pursuant to the Paycheck Protection Program (the “PPP”) under the Coronavirus Aid, Relief, and Economic Security Act (“CARES Act”) administered by the U.S. Small Business Administration. We received total proceeds of approximately $779 thousand from the unsecured PPP Loan which was originally scheduled to mature in May 2022. We applied for forgiveness on the $779 thousand of our PPP Loan however was denied by the SBA. On June 23, 2022, we received a letter from Bank of America agreeing to extend the maturity date to May 7, 2025 and bears interest at a rate of 1.00% per year. The PPP loan is payable in 34 equal combined monthly principal and interest payments of approximately $24 thousand that commenced on August 7, 2022.</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with the Former Lender. The Purchase Agreement provides for the issuance of the SPA Note in the aggregate amount of $65.0 million and a SPA Warrant to purchase up to an aggregate of 34,406 shares of Common Stock, with the potential for two potential subsequent closings for notes with an original principal amount of $35.0 million each.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18, 2022, we entered into a Securities Exchange Agreement. Pursuant to the August 2022 Exchange Agreement, we partially paid $35.2 million along with approximately $300 thousand in repayments for other fees under the SPA Note and exchanged the remaining balance of the SPA Note for an Exchange Note with an aggregate original principal amount of $35.0 million and a Note Exchange Warrant to purchase 71,139 shares of Common Stock. Additionally, we exchanged the SPA Warrant for a Modified Warrant for the same number of underlying shares but with a reduced exercise price.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8, 2023, we entered into a new Securities Exchange Agreement. Pursuant to the March 2023 Exchange Agreement, we prepaid approximately $10.3 million in principal amount under the Exchange Note and exchanged $10.0 million in principal amount of the remaining balance of the Exchange Note for a new senior secured convertible note (the “Convertible Note”).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Convertible Note is a senior secured obligation and will rank senior to all of our indebtedness. The Convertible Note will mature on August 19, 2025 (the “Maturity Date”) and has a 9.0% annualized interest rate, with interest to be paid monthly, in cash. The principal amount of the Convertible Note will be payable on the maturity date, provided that the lender will be entitled to a cash sweep of 30% of the proceeds of any at-the-market equity offering and 20% of the proceeds received by us in connection with any other equity financing, which will reduce the outstanding principal amount under the Exchange Note. On October 27, 2023, CP Acquisitions LLC, and entity affiliated with and controlled by Raymond Chang, acquired the Exchange Note and the Convertible Note. As of October 30, 2023, there was approximately $6.7 million outstanding under the Exchange Note and $8.8 million outstanding under the Convertible Note.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we may prepay all of the Exchange Note by redemption at a price equal to 102.5% of the then-outstanding principal amount under the Note plus accrued but unpaid interest. The holder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three months ended March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(9,469)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2,324</w:t>
            </w: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(9,307)</w:t>
            </w:r>
          </w:p>
        </w:tc>
      </w:tr>
      <w:tr>
        <w:trPr>
          <w:trHeight w:val="237"/>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we incurred a net loss of $0.04 million, which included $0.4 million related to depreciation and amortization, $0.5 million of stock based compensation expense, and $0.9 million related to the change in fair value of warrant liabilities. Net cash was reduced by changes in operating assets and liabilities of $0.9 million.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we incurred a net loss of $10.3 million, which included $0.4 million related to depreciation and amortization, $0.9 million of stock based compensation expense, and $2.7 million related to the change in fair value of warrant liabilities. Net cash was reduced by changes in operating assets and liabilities of $2.4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net cash used in investing activities was $328.0 thousand, which resulted from cash outflows of $2.0 thousand for purchases of property and equipment.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net cash provided by investing activities was $9.8 million, which included cash outflows of $0.1 million in net purchases of property, plant and equipment and $0.6 million in issuances of notes receivable and cash inflows of $10.4 million related to proceeds from sales of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net cash provided by financing activities was $2.3 million. Net cash provided by financing activities was primarily driven by repayments of notes payable of $0.2 million and proceeds from the issuance of common stock and warrants of $2.1 million.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net cash used in financing activities was $9.3 million. Net cash used in financing activities was primarily driven by repayments of notes payable of $10.8 and offset by proceeds from at-the-market offerings of $1.5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 I, Item, 2, “Management’s Discussion and Analysis of Financial Condition and Results of Operations” discusses our consolidated financial statements, which have been prepared in accordance with GAAP. The preparation of these consolidated financial statements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may differ from these estimates under different assumptions or conditions.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goodwill impairment assessment, revenue recognition and cost of goods sold.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and estimates that have been adopted and followed in the preparation of our consolidated financial statements are detailed in Note 1 - Overview, Basis of Presentation and Significant Accounting Policies included in our 2023 Annual Report and Note 1 - Overview, Basis of Presentation and Significant Accounting Policies to our consolidated financial statements in Part I, Item 1 of this Quarterly Report on Form 10-Q. There have been no changes in these policies and estimates that had a significant impact on the financial condition and results of operations for the periods covered in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Adopted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more information on recently issued accounting pronouncements are included within Note 1 - Overview, Basis of Presentation and Significant Accounting Policies, included elsewhere in the notes to consolidated financial statements covered under Part I, Item 1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more information on new accounting pronouncements not yet adopted are included within Note 1 - Overview, Basis of Presentation and Significant Accounting Policies, included elsewhere in the notes to consolidated financial statements covered under Part I, Item 1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as defined by 17 C.F.R. § 229.10, the Company is not required to provide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Principal Financial Officer,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required by paragraph (b) of Rules 13a-15 and 15d-15 under the Exchange Act, our Chief Executive Officer carried out an evaluation of the effectiveness of the design and operation of our disclosure controls and procedures as of March 31, 2024. Based on this evaluation, our Chief Executive Officer and Principal Financial Officer concluded that, due to the material weaknesses in our internal control over financial reporting previously identified in Item 9A, “Controls and Procedures” of our Annual Report on Form 10-K for the fiscal year ended December 31, 2023 and filed with the SEC on April 15, 2024, as amended on April 29, 2024 our disclosure controls and procedures were not effective at the reasonable assurance level as of March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implementing certain measures to remediate the material weaknesses identified in the design and operation of our internal control over financial reporting, including hiring additional qualified personnel, further documentation and implementation of control procedures and the implementation of control monitoring. Other than those measures, there have been no changes in our internal control over financial reporting (as such term is defined in Rules 13a-15(f) and 15d-15(f) under the Exchange Act) during the quarter ended March 31, 2024 that have materially affected, or are reasonably likely to materially affect, our internal control over financial reporting. that have materially affected, or are reasonably likely to materially affect, our internal control over financial reporting.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or claims arising in the ordinary course of business. For information related to legal proceedings, see the discussion under the caption Legal Proceedings in Note 14 - Commitments and Contingencies to our consolidated financial statements included in Part I, Item 1 of this Quarterly Report, which information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there are no material changes to our risk factors as previously disclosed in Part I, Item 1A of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1"/>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Certificate of Amendment to Articles of Incorporation of Agrify Corporation, filed January 22, 2024 (incorporated by reference to Exhibit</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4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Company’s Current Report on Form 8-K filed with the Securities and Exchange Commission on January 25, 2024).</w:t>
              </w:r>
            </w:hyperlink>
          </w:p>
        </w:tc>
        <w:tc>
          <w:tcPr>
            <w:tcW w:w="1060" w:type="dxa"/>
            <w:vAlign w:val="bottom"/>
            <w:tcBorders>
              <w:bottom w:val="single" w:sz="8" w:color="CCEEFF"/>
            </w:tcBorders>
            <w:gridSpan w:val="2"/>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gridSpan w:val="11"/>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Senior Secured Amended, Restated and Consolidated Convertible Note dated January 25, 2024 (incorporated by reference to Exhibit 4.1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the Company’s Current Report on Form 8-K filed with the Securities and Exchange Commission on January 25, 2024).</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Pre-Funded Warrant (incorporated by reference to Exhibit 4.21 to Amendment No. 1 to the Company’s Registration Statement 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S-1 filed with the Securities and Exchange Commission on February 8, 2024).</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Placement Agent Warrant (incorporated by reference to Exhibit 4.22 to Amendment No. 2 to the Company’s Registration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Statement on Form S-1 filed with the Securities and Exchange Commission on February 14,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Agrify 2022 Omnibus Equity Incentive Plan, as amended (incorporated by reference to Appendix A to the Company’s Definitive Proxy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Statement on Schedule 14A filed with the Securities and Exchange Commission on December 18, 2023).</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Term Sheet between Nature’s Miracle Holding Inc. and Agrify Corporation (incorporated by reference to Exhibit 10.1 to the Company’s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Current Report on Form 8-K filed with the Securities and Exchange Commission on April 22,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Term Sheet between Nature’s Miracle Holding Inc., CP Acquisitions LLC and GIC Acquisition, LLC (incorporated by reference to Exhibit</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Company’s Current Report on Form 8-K filed with the Securities and Exchange Commission on April 22, 2024).</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tcBorders>
          </w:tcPr>
          <w:p>
            <w:pPr>
              <w:spacing w:after="0"/>
              <w:rPr>
                <w:sz w:val="15"/>
                <w:szCs w:val="15"/>
                <w:color w:val="auto"/>
              </w:rPr>
            </w:pPr>
          </w:p>
        </w:tc>
        <w:tc>
          <w:tcPr>
            <w:tcW w:w="894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 of principal executive officer and principal financial and accounting officer</w:t>
            </w:r>
          </w:p>
        </w:tc>
        <w:tc>
          <w:tcPr>
            <w:tcW w:w="1160" w:type="dxa"/>
            <w:vAlign w:val="bottom"/>
            <w:tcBorders>
              <w:top w:val="single" w:sz="8" w:color="CCEEFF"/>
            </w:tcBorders>
            <w:gridSpan w:val="3"/>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Section 1350 Certification of principal executive officer and principal financial and accounting officer</w:t>
            </w:r>
          </w:p>
        </w:tc>
        <w:tc>
          <w:tcPr>
            <w:tcW w:w="2740" w:type="dxa"/>
            <w:vAlign w:val="bottom"/>
            <w:tcBorders>
              <w:bottom w:val="single" w:sz="8" w:color="CCEEFF"/>
            </w:tcBorders>
            <w:gridSpan w:val="7"/>
            <w:shd w:val="clear" w:color="auto" w:fill="CCEEFF"/>
          </w:tcPr>
          <w:p>
            <w:pPr>
              <w:spacing w:after="0"/>
              <w:rPr>
                <w:sz w:val="17"/>
                <w:szCs w:val="17"/>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3520" w:firstLine="8"/>
        <w:spacing w:after="0" w:line="490" w:lineRule="auto"/>
        <w:tabs>
          <w:tab w:leader="none" w:pos="11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in accordance with Item 601 (b)(32) of Regulation S-K.</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pursuant to Item 601(b)(2)(ii) of Regulation S-K because the identified confidential portions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are not material and (ii) are customarily and actually treated as private or confidential by the Company.</w:t>
      </w:r>
    </w:p>
    <w:p>
      <w:pPr>
        <w:spacing w:after="0" w:line="207" w:lineRule="exact"/>
        <w:rPr>
          <w:sz w:val="20"/>
          <w:szCs w:val="20"/>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893"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Raymond Chang</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Executive Officer and Principal Financial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Chang,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Agrify Corporation (the “Company”) for the quarterly period ended March 31, 2024;</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2024</w:t>
            </w:r>
          </w:p>
        </w:tc>
        <w:tc>
          <w:tcPr>
            <w:tcW w:w="3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080" w:type="dxa"/>
            <w:vAlign w:val="bottom"/>
          </w:tcPr>
          <w:p>
            <w:pPr>
              <w:spacing w:after="0"/>
              <w:rPr>
                <w:sz w:val="17"/>
                <w:szCs w:val="17"/>
                <w:color w:val="auto"/>
              </w:rPr>
            </w:pPr>
          </w:p>
        </w:tc>
        <w:tc>
          <w:tcPr>
            <w:tcW w:w="3240" w:type="dxa"/>
            <w:vAlign w:val="bottom"/>
          </w:tcPr>
          <w:p>
            <w:pPr>
              <w:ind w:left="26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080" w:type="dxa"/>
            <w:vAlign w:val="bottom"/>
          </w:tcPr>
          <w:p>
            <w:pPr>
              <w:spacing w:after="0"/>
              <w:rPr>
                <w:sz w:val="18"/>
                <w:szCs w:val="18"/>
                <w:color w:val="auto"/>
              </w:rPr>
            </w:pPr>
          </w:p>
        </w:tc>
        <w:tc>
          <w:tcPr>
            <w:tcW w:w="3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0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w:t>
            </w:r>
          </w:p>
        </w:tc>
      </w:tr>
      <w:tr>
        <w:trPr>
          <w:trHeight w:val="234"/>
        </w:trPr>
        <w:tc>
          <w:tcPr>
            <w:tcW w:w="40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Amendment No. 1 to the Quarterly Report on Form 10-Q of Agrify Corporation (the “Company”) for the quarterly period ended March 31, 2024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2024</w:t>
            </w:r>
          </w:p>
        </w:tc>
        <w:tc>
          <w:tcPr>
            <w:tcW w:w="3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080" w:type="dxa"/>
            <w:vAlign w:val="bottom"/>
          </w:tcPr>
          <w:p>
            <w:pPr>
              <w:spacing w:after="0"/>
              <w:rPr>
                <w:sz w:val="17"/>
                <w:szCs w:val="17"/>
                <w:color w:val="auto"/>
              </w:rPr>
            </w:pPr>
          </w:p>
        </w:tc>
        <w:tc>
          <w:tcPr>
            <w:tcW w:w="3240" w:type="dxa"/>
            <w:vAlign w:val="bottom"/>
          </w:tcPr>
          <w:p>
            <w:pPr>
              <w:ind w:left="26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080" w:type="dxa"/>
            <w:vAlign w:val="bottom"/>
          </w:tcPr>
          <w:p>
            <w:pPr>
              <w:spacing w:after="0"/>
              <w:rPr>
                <w:sz w:val="18"/>
                <w:szCs w:val="18"/>
                <w:color w:val="auto"/>
              </w:rPr>
            </w:pPr>
          </w:p>
        </w:tc>
        <w:tc>
          <w:tcPr>
            <w:tcW w:w="32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0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w:t>
            </w:r>
          </w:p>
        </w:tc>
      </w:tr>
      <w:tr>
        <w:trPr>
          <w:trHeight w:val="234"/>
        </w:trPr>
        <w:tc>
          <w:tcPr>
            <w:tcW w:w="40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2"/>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69" Type="http://schemas.openxmlformats.org/officeDocument/2006/relationships/hyperlink" Target="https://www.sec.gov/Archives/edgar/data/1800637/000121390024006275/ea192155ex3-1_agrify.htm" TargetMode="External"/><Relationship Id="rId70" Type="http://schemas.openxmlformats.org/officeDocument/2006/relationships/hyperlink" Target="https://www.sec.gov/Archives/edgar/data/1800637/000121390024006275/ea192155ex4-1_agrify.htm" TargetMode="External"/><Relationship Id="rId71" Type="http://schemas.openxmlformats.org/officeDocument/2006/relationships/hyperlink" Target="https://www.sec.gov/Archives/edgar/data/1800637/000121390024011247/fs12024a1ex4-21_agrifycorp.htm" TargetMode="External"/><Relationship Id="rId72" Type="http://schemas.openxmlformats.org/officeDocument/2006/relationships/hyperlink" Target="https://www.sec.gov/Archives/edgar/data/1800637/000121390024013681/fs12024a2ex4-22_agrifycorp.htm" TargetMode="External"/><Relationship Id="rId73" Type="http://schemas.openxmlformats.org/officeDocument/2006/relationships/hyperlink" Target="https://www.sec.gov/Archives/edgar/data/1800637/000121390023096287/def14a1223_agrifycorp.htm#T9921" TargetMode="External"/><Relationship Id="rId74" Type="http://schemas.openxmlformats.org/officeDocument/2006/relationships/hyperlink" Target="https://www.sec.gov/Archives/edgar/data/1800637/000121390024034983/ea020430401ex10-1_agrifycorp.htm" TargetMode="External"/><Relationship Id="rId75" Type="http://schemas.openxmlformats.org/officeDocument/2006/relationships/hyperlink" Target="https://www.sec.gov/Archives/edgar/data/1800637/000121390024034983/ea020430401ex10-2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2024-05-21T08:05:15Z</dcterms:created>
  <dcterms:modified xsi:type="dcterms:W3CDTF">2024-05-21T08:05:15Z</dcterms:modified>
</cp:coreProperties>
</file>