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3)</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305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Agrify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28,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6720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720840"/>
                    </a:xfrm>
                    <a:prstGeom prst="rect">
                      <a:avLst/>
                    </a:prstGeom>
                    <a:noFill/>
                  </pic:spPr>
                </pic:pic>
              </a:graphicData>
            </a:graphic>
          </wp:anchor>
        </w:drawing>
      </w:r>
    </w:p>
    <w:p>
      <w:pPr>
        <w:spacing w:after="0" w:line="165" w:lineRule="exact"/>
        <w:rPr>
          <w:sz w:val="20"/>
          <w:szCs w:val="20"/>
          <w:color w:val="auto"/>
        </w:rPr>
      </w:pPr>
    </w:p>
    <w:p>
      <w:pPr>
        <w:ind w:left="920" w:right="814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Raymond Nobu Chang</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920" w:right="906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PF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4"/>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394"/>
        </w:trPr>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6,909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27"/>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11"/>
                <w:szCs w:val="11"/>
                <w:color w:val="auto"/>
              </w:rPr>
            </w:pPr>
          </w:p>
        </w:tc>
        <w:tc>
          <w:tcPr>
            <w:tcW w:w="8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13,802,036</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6"/>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line="276" w:lineRule="exact"/>
              <w:rPr>
                <w:sz w:val="20"/>
                <w:szCs w:val="20"/>
                <w:color w:val="auto"/>
              </w:rPr>
            </w:pPr>
            <w:r>
              <w:rPr>
                <w:rFonts w:ascii="Times New Roman" w:cs="Times New Roman" w:eastAsia="Times New Roman" w:hAnsi="Times New Roman"/>
                <w:sz w:val="18"/>
                <w:szCs w:val="18"/>
                <w:color w:val="auto"/>
              </w:rPr>
              <w:t>6,909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600" w:right="6680" w:hanging="774"/>
        <w:spacing w:after="0" w:line="295" w:lineRule="auto"/>
        <w:tabs>
          <w:tab w:leader="none" w:pos="260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13,802,036</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13,808,945</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(3)</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382"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575 shares of common stock, par value $0.001, of Agrify Corporation (“Common Stock”) held individually and (ii) up to 6,334 shares of Common Stock issuable upon exercise of stock options held by Mr. Chang that are exercisable within 60 days of the date hereof. Does not include 218,120 shares of Common Stock underlying time-based restricted stock units that will not vest within 60 days of the day hereof granted to Mr. Chang under the Agrify Corporation 2022 Omnibus Equity Incentive Plan, as amended (the “Plan”).</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Consists of (i) 3,295,998 shares of Common Stock held by RTC3 2020 Irrevocable Trust (“RTC3”), of which Mr. Chang retains the ability to remove the independent trustee, (ii) warrants to purchase 231,223 shares of Common Stock held by RTC3 that are exercisable within 60 days of the date hereof, subject to a 9.99% beneficial ownership limitation), (iii) 648 shares of Common Stock held by NXT3J Capital, LLC (“NXT3J”), an entity controlled by Mr. Chang, (iv) that number of shares of Common Stock issuable to CP Acquisitions, LLC (“CP Acquisitions”), an entity controlled by Mr. Chang, issuable to Mr. Chang upon the conversion of that certain Senior Secured Amended, Restated and Consolidated Convertible Note due 2025 described herein with an outstanding principal amount of $15,000,000.00 and a conversion price of $1.46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Chang and/or Ms. I-Tseng Jenny Chan, a member of the Board of Directors of the Issuer, in which case the 49.99% beneficial ownership limitation will apply to each of them individually, and (v) options to purchase 194 shares of common stock that are held by Raymond Chang Jr., Mr. Chang’s son, that are exercisable within 60 days of the date hereof. Does not include (i) up to 9 shares of Common Stock issuable upon exercise of stock options held by Raymond Chang, Jr., that are not exercisable within 60 days of the date hereof and (ii) 72,373 shares of Common Stock underlying time-based restricted stock units that will not vest within 60 days of the day hereof granted to Raymond Chang, Jr., under the Plan.</w:t>
      </w:r>
    </w:p>
    <w:p>
      <w:pPr>
        <w:spacing w:after="0" w:line="187"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Chang disclaims beneficial ownership with respect to the shares and warrants held by RTC3, the shares held by NXT3J, the shares entitled to CP Acquisitions upon conversion of its convertible note, and the options and shares held by Raymond Chang Jr., in each case except to the extent of his pecuniary interest therein.</w:t>
      </w:r>
    </w:p>
    <w:p>
      <w:pPr>
        <w:sectPr>
          <w:pgSz w:w="11900" w:h="16872" w:orient="portrait"/>
          <w:cols w:equalWidth="0" w:num="1">
            <w:col w:w="11240"/>
          </w:cols>
          <w:pgMar w:left="320" w:top="806" w:right="339" w:bottom="0" w:gutter="0" w:footer="0" w:header="0"/>
        </w:sectPr>
      </w:pPr>
    </w:p>
    <w:bookmarkStart w:id="2" w:name="page3"/>
    <w:bookmarkEnd w:id="2"/>
    <w:p>
      <w:pPr>
        <w:ind w:left="332" w:hanging="332"/>
        <w:spacing w:after="0" w:line="282" w:lineRule="auto"/>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10,265,114 shares of Common Stock outstanding as of the date hereof, plus the shares of Common Stock issuable upon exercise of the warrants and options and conversion of the convertible note in footnotes (1) and (2) above, subject to applicable beneficial ownership limitations.</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RTC3 2020 Irrevocable Trust</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3,527,221</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3,527,221</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3,527,221</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33.60%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3,295,998 shares of Common Stock held by RTC3, and (ii) warrants to purchase 231,223 shares of Common Stock held by RTC3 that are exercisable within 60 days of the date hereof, subject to a 9.99% beneficial ownership limitation.</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10,265,114 shares of Common Stock outstanding as of the date hereof, plus the shares of Common Stock issuable upon exercise of the warrants described in footnote (1) above, subject to the beneficial ownership limitation described therein.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NXT3J Capital, LLC</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0"/>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0"/>
                <w:szCs w:val="20"/>
                <w:color w:val="auto"/>
              </w:rPr>
            </w:pPr>
          </w:p>
        </w:tc>
        <w:tc>
          <w:tcPr>
            <w:tcW w:w="8960" w:type="dxa"/>
            <w:vAlign w:val="bottom"/>
          </w:tcPr>
          <w:p>
            <w:pPr>
              <w:ind w:left="320"/>
              <w:spacing w:after="0" w:line="240" w:lineRule="exact"/>
              <w:rPr>
                <w:sz w:val="20"/>
                <w:szCs w:val="20"/>
                <w:color w:val="auto"/>
              </w:rPr>
            </w:pPr>
            <w:r>
              <w:rPr>
                <w:rFonts w:ascii="Times New Roman" w:cs="Times New Roman" w:eastAsia="Times New Roman" w:hAnsi="Times New Roman"/>
                <w:sz w:val="27"/>
                <w:szCs w:val="27"/>
                <w:color w:val="auto"/>
                <w:vertAlign w:val="subscript"/>
              </w:rPr>
              <w:t>648</w:t>
            </w: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92"/>
        </w:trPr>
        <w:tc>
          <w:tcPr>
            <w:tcW w:w="1340" w:type="dxa"/>
            <w:vAlign w:val="bottom"/>
          </w:tcPr>
          <w:p>
            <w:pPr>
              <w:jc w:val="center"/>
              <w:ind w:right="2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648</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648</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648 shares of Common Stock held by NXT3J.</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10,265,114 shares of Common Stock outstanding as of the date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5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that number of shares of Common Stock issuable to CP Acquisitions, an entity controlled by Mr. Chang, issuable to Mr. Chang upon the conversion of that certain Senior Secured Amended, Restated and Consolidated Convertible Note due 2025 described herein with an outstanding principal amount of $15,000,000.00 and a conversion price of $1.46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Chang and/or Ms. I-Tseng Jenny Chan, a member of the Board of Directors of the Issuer, in which case the 49.99% beneficial ownership limitation will apply to each of them individually.</w:t>
      </w:r>
    </w:p>
    <w:p>
      <w:pPr>
        <w:spacing w:after="0" w:line="21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10,265,114 shares of Common Stock outstanding as of the date hereof, plus the shares of Common Stock issuable upon conversion of the convertible note in footnote (1) above, subject to applicable beneficial ownership limitations.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Raymond Chang Jr.</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0"/>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0"/>
                <w:szCs w:val="20"/>
                <w:color w:val="auto"/>
              </w:rPr>
            </w:pPr>
          </w:p>
        </w:tc>
        <w:tc>
          <w:tcPr>
            <w:tcW w:w="8960" w:type="dxa"/>
            <w:vAlign w:val="bottom"/>
          </w:tcPr>
          <w:p>
            <w:pPr>
              <w:ind w:left="320"/>
              <w:spacing w:after="0" w:line="240" w:lineRule="exact"/>
              <w:rPr>
                <w:sz w:val="20"/>
                <w:szCs w:val="20"/>
                <w:color w:val="auto"/>
              </w:rPr>
            </w:pPr>
            <w:r>
              <w:rPr>
                <w:rFonts w:ascii="Times New Roman" w:cs="Times New Roman" w:eastAsia="Times New Roman" w:hAnsi="Times New Roman"/>
                <w:sz w:val="17"/>
                <w:szCs w:val="17"/>
                <w:color w:val="auto"/>
              </w:rPr>
              <w:t>194</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192"/>
        </w:trPr>
        <w:tc>
          <w:tcPr>
            <w:tcW w:w="1340" w:type="dxa"/>
            <w:vAlign w:val="bottom"/>
          </w:tcPr>
          <w:p>
            <w:pPr>
              <w:jc w:val="center"/>
              <w:ind w:right="2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194</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194</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194 shares of Common Stock issuable upon exercise of stock options held by Mr. Chang, Jr., that are exercisable within 60 days of the date hereof. Does not consist of (i) up to 9 shares of Common Stock issuable upon exercise of stock options held by Mr. Chang, Jr. that are not exercisable within 60 days of the date hereof and (ii) 72,373 shares of Common Stock underlying time-based restricted stock units that will not vest within 60 days of the day hereof granted to Mr. Chang, Jr., under the Plan.</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10,265,114 shares of Common Stock outstanding as of the date hereof, plus 194 shares of Common Stock issuable upon exercise of the options described in footnote (1)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This Amendment No. 3 to the statement on Schedule 13D (“</w:t>
      </w:r>
      <w:r>
        <w:rPr>
          <w:rFonts w:ascii="Times New Roman" w:cs="Times New Roman" w:eastAsia="Times New Roman" w:hAnsi="Times New Roman"/>
          <w:sz w:val="18"/>
          <w:szCs w:val="18"/>
          <w:i w:val="1"/>
          <w:iCs w:val="1"/>
          <w:color w:val="auto"/>
        </w:rPr>
        <w:t>Amendment No. 3</w:t>
      </w:r>
      <w:r>
        <w:rPr>
          <w:rFonts w:ascii="Times New Roman" w:cs="Times New Roman" w:eastAsia="Times New Roman" w:hAnsi="Times New Roman"/>
          <w:sz w:val="18"/>
          <w:szCs w:val="18"/>
          <w:color w:val="auto"/>
        </w:rPr>
        <w:t>”) amends the Schedule 13D originally filed by the Reporting Persons on December 30, 2022, as amended by that certain Amendment No. 1 filed on October 31, 2023 and Amendment No. 2 filed on January 29, 2024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of the Issuer beneficially owned by the Reporting Persons.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3 does not modify any of the information previously reported on the Schedule 13D. Capitalized terms used but not otherwise defined in this Amendment No. 3 shall have the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5(a) of the Schedule 13D is hereby amended and restated in its entirety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Reporting Person is the record owner of the securities set forth on their respective cover sheet. The percentage of outstanding Common Stock which may be deemed to be beneficially owned by each Reporting Person is set forth on Line 13 of each Reporting Person’s cover sheet. Such percentage was calculated based on the 10,265,114 shares of Common Stock outstanding as of the date hereof. Notwithstanding the foregoing, Mr. Chang hereby disclaims beneficial ownership with respect to the securities held by NXT3J, RTC3, CP Acquisitions and Raymond Chang Jr. except to the extent of his pecuniary interest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28, 2024, RTC3 acquired 1,842,104 shares of Common Stock as part of a public offering completed by the Issuer, at a combined purchase price of $0.38 per share of Common Stock. 263,157 of the shares of Common Stock were purchased by RTC3 directly using trust assets and 1,578,947 263,157 of the shares of Common Stock were initially purchased by Chinwei Wang as an agent of RTC3 and subsequently transferred to RTC3 for estate planning purposes.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Nobu Chang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RTC3 2020 Irrevocable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Johanna Wise Sullivan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Johanna Wise Sullivan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NXT3J Capital,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Chang, Jr.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Chang,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Chang, Jr.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lvl w:ilvl="1">
      <w:lvlJc w:val="left"/>
      <w:lvlText w:val="(%2)"/>
      <w:numFmt w:val="lowerLetter"/>
      <w:start w:val="1"/>
    </w:lvl>
  </w:abstractNum>
  <w:abstractNum w:abstractNumId="2">
    <w:nsid w:val="140E0F7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3352255A"/>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109CF92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1"/>
    </w:lvl>
    <w:lvl w:ilvl="1">
      <w:lvlJc w:val="left"/>
      <w:lvlText w:val="(%2)"/>
      <w:numFmt w:val="lowerLetter"/>
      <w:start w:val="1"/>
    </w:lvl>
  </w:abstractNum>
  <w:abstractNum w:abstractNumId="7">
    <w:nsid w:val="1BEFD79F"/>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
    <w:nsid w:val="41A7C4C9"/>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9">
    <w:nsid w:val="6B68079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4E6AFB66"/>
    <w:multiLevelType w:val="hybridMultilevel"/>
    <w:lvl w:ilvl="0">
      <w:lvlJc w:val="left"/>
      <w:lvlText w:val="%1."/>
      <w:numFmt w:val="decimal"/>
      <w:start w:val="1"/>
    </w:lvl>
    <w:lvl w:ilvl="1">
      <w:lvlJc w:val="left"/>
      <w:lvlText w:val="(%2)"/>
      <w:numFmt w:val="lowerLetter"/>
      <w:start w:val="1"/>
    </w:lvl>
  </w:abstractNum>
  <w:abstractNum w:abstractNumId="11">
    <w:nsid w:val="25E45D3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2">
    <w:nsid w:val="519B500D"/>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3">
    <w:nsid w:val="431BD7B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3F2DBA31"/>
    <w:multiLevelType w:val="hybridMultilevel"/>
    <w:lvl w:ilvl="0">
      <w:lvlJc w:val="left"/>
      <w:lvlText w:val="%1."/>
      <w:numFmt w:val="decimal"/>
      <w:start w:val="1"/>
    </w:lvl>
    <w:lvl w:ilvl="1">
      <w:lvlJc w:val="left"/>
      <w:lvlText w:val="(%2)"/>
      <w:numFmt w:val="lowerLetter"/>
      <w:start w:val="1"/>
    </w:lvl>
  </w:abstractNum>
  <w:abstractNum w:abstractNumId="15">
    <w:nsid w:val="7C83E458"/>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6">
    <w:nsid w:val="257130A3"/>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7">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0">
    <w:nsid w:val="333AB105"/>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1">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2024-03-01T15:38:06Z</dcterms:created>
  <dcterms:modified xsi:type="dcterms:W3CDTF">2024-03-01T15:38:06Z</dcterms:modified>
</cp:coreProperties>
</file>