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tbl>
      <w:tblPr>
        <w:tblLayout w:type="fixed"/>
        <w:tblInd w:w="4" w:type="dxa"/>
        <w:tblCellMar>
          <w:top w:w="0" w:type="dxa"/>
          <w:left w:w="0" w:type="dxa"/>
          <w:bottom w:w="0" w:type="dxa"/>
          <w:right w:w="0" w:type="dxa"/>
        </w:tblCellMar>
      </w:tblPr>
      <w:tr>
        <w:trPr>
          <w:trHeight w:val="208"/>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rPr>
              <w:t>FORM 8-K</w:t>
            </w:r>
          </w:p>
        </w:tc>
        <w:tc>
          <w:tcPr>
            <w:tcW w:w="3340" w:type="dxa"/>
            <w:vAlign w:val="bottom"/>
          </w:tcPr>
          <w:p>
            <w:pPr>
              <w:spacing w:after="0"/>
              <w:rPr>
                <w:sz w:val="18"/>
                <w:szCs w:val="18"/>
                <w:color w:val="auto"/>
              </w:rPr>
            </w:pPr>
          </w:p>
        </w:tc>
      </w:tr>
      <w:tr>
        <w:trPr>
          <w:trHeight w:val="366"/>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w w:val="99"/>
              </w:rPr>
              <w:t>CURRENT REPORT</w:t>
            </w:r>
          </w:p>
        </w:tc>
        <w:tc>
          <w:tcPr>
            <w:tcW w:w="3340" w:type="dxa"/>
            <w:vAlign w:val="bottom"/>
          </w:tcPr>
          <w:p>
            <w:pPr>
              <w:spacing w:after="0"/>
              <w:rPr>
                <w:sz w:val="24"/>
                <w:szCs w:val="24"/>
                <w:color w:val="auto"/>
              </w:rPr>
            </w:pPr>
          </w:p>
        </w:tc>
      </w:tr>
      <w:tr>
        <w:trPr>
          <w:trHeight w:val="191"/>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8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89"/>
              </w:rPr>
              <w:t>Pursuant to Section 13 OR 15(d)</w:t>
            </w:r>
          </w:p>
        </w:tc>
        <w:tc>
          <w:tcPr>
            <w:tcW w:w="3340" w:type="dxa"/>
            <w:vAlign w:val="bottom"/>
          </w:tcPr>
          <w:p>
            <w:pPr>
              <w:spacing w:after="0"/>
              <w:rPr>
                <w:sz w:val="16"/>
                <w:szCs w:val="16"/>
                <w:color w:val="auto"/>
              </w:rPr>
            </w:pPr>
          </w:p>
        </w:tc>
      </w:tr>
      <w:tr>
        <w:trPr>
          <w:trHeight w:val="208"/>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w w:val="88"/>
              </w:rPr>
              <w:t>of The Securities Exchange Act of 1934</w:t>
            </w:r>
          </w:p>
        </w:tc>
        <w:tc>
          <w:tcPr>
            <w:tcW w:w="3340" w:type="dxa"/>
            <w:vAlign w:val="bottom"/>
          </w:tcPr>
          <w:p>
            <w:pPr>
              <w:spacing w:after="0"/>
              <w:rPr>
                <w:sz w:val="18"/>
                <w:szCs w:val="18"/>
                <w:color w:val="auto"/>
              </w:rPr>
            </w:pPr>
          </w:p>
        </w:tc>
      </w:tr>
      <w:tr>
        <w:trPr>
          <w:trHeight w:val="382"/>
        </w:trPr>
        <w:tc>
          <w:tcPr>
            <w:tcW w:w="3500" w:type="dxa"/>
            <w:vAlign w:val="bottom"/>
          </w:tcPr>
          <w:p>
            <w:pPr>
              <w:spacing w:after="0"/>
              <w:rPr>
                <w:sz w:val="24"/>
                <w:szCs w:val="24"/>
                <w:color w:val="auto"/>
              </w:rPr>
            </w:pPr>
          </w:p>
        </w:tc>
        <w:tc>
          <w:tcPr>
            <w:tcW w:w="4420" w:type="dxa"/>
            <w:vAlign w:val="bottom"/>
            <w:gridSpan w:val="7"/>
          </w:tcPr>
          <w:p>
            <w:pPr>
              <w:jc w:val="center"/>
              <w:ind w:right="160"/>
              <w:spacing w:after="0"/>
              <w:rPr>
                <w:sz w:val="20"/>
                <w:szCs w:val="20"/>
                <w:color w:val="auto"/>
              </w:rPr>
            </w:pPr>
            <w:r>
              <w:rPr>
                <w:rFonts w:ascii="Arial" w:cs="Arial" w:eastAsia="Arial" w:hAnsi="Arial"/>
                <w:sz w:val="16"/>
                <w:szCs w:val="16"/>
                <w:color w:val="auto"/>
                <w:w w:val="90"/>
              </w:rPr>
              <w:t xml:space="preserve">Date of report (Date of earliest event reported): </w:t>
            </w:r>
            <w:r>
              <w:rPr>
                <w:rFonts w:ascii="Arial" w:cs="Arial" w:eastAsia="Arial" w:hAnsi="Arial"/>
                <w:sz w:val="16"/>
                <w:szCs w:val="16"/>
                <w:b w:val="1"/>
                <w:bCs w:val="1"/>
                <w:color w:val="auto"/>
                <w:w w:val="90"/>
              </w:rPr>
              <w:t>March 14, 2022</w:t>
            </w:r>
          </w:p>
        </w:tc>
        <w:tc>
          <w:tcPr>
            <w:tcW w:w="3340" w:type="dxa"/>
            <w:vAlign w:val="bottom"/>
          </w:tcPr>
          <w:p>
            <w:pPr>
              <w:spacing w:after="0"/>
              <w:rPr>
                <w:sz w:val="24"/>
                <w:szCs w:val="24"/>
                <w:color w:val="auto"/>
              </w:rPr>
            </w:pPr>
          </w:p>
        </w:tc>
      </w:tr>
      <w:tr>
        <w:trPr>
          <w:trHeight w:val="370"/>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rPr>
              <w:t>AGRIFY CORPORATION</w:t>
            </w:r>
          </w:p>
        </w:tc>
        <w:tc>
          <w:tcPr>
            <w:tcW w:w="3340" w:type="dxa"/>
            <w:vAlign w:val="bottom"/>
          </w:tcPr>
          <w:p>
            <w:pPr>
              <w:spacing w:after="0"/>
              <w:rPr>
                <w:sz w:val="24"/>
                <w:szCs w:val="24"/>
                <w:color w:val="auto"/>
              </w:rPr>
            </w:pPr>
          </w:p>
        </w:tc>
      </w:tr>
      <w:tr>
        <w:trPr>
          <w:trHeight w:val="204"/>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gridSpan w:val="5"/>
          </w:tcPr>
          <w:p>
            <w:pPr>
              <w:jc w:val="center"/>
              <w:ind w:right="520"/>
              <w:spacing w:after="0"/>
              <w:rPr>
                <w:sz w:val="20"/>
                <w:szCs w:val="20"/>
                <w:color w:val="auto"/>
              </w:rPr>
            </w:pPr>
            <w:r>
              <w:rPr>
                <w:rFonts w:ascii="Arial" w:cs="Arial" w:eastAsia="Arial" w:hAnsi="Arial"/>
                <w:sz w:val="16"/>
                <w:szCs w:val="16"/>
                <w:color w:val="auto"/>
                <w:w w:val="89"/>
              </w:rPr>
              <w:t>(Exact name of registrant as specified in its charter)</w:t>
            </w:r>
          </w:p>
        </w:tc>
        <w:tc>
          <w:tcPr>
            <w:tcW w:w="3340" w:type="dxa"/>
            <w:vAlign w:val="bottom"/>
          </w:tcPr>
          <w:p>
            <w:pPr>
              <w:spacing w:after="0"/>
              <w:rPr>
                <w:sz w:val="17"/>
                <w:szCs w:val="17"/>
                <w:color w:val="auto"/>
              </w:rPr>
            </w:pPr>
          </w:p>
        </w:tc>
      </w:tr>
      <w:tr>
        <w:trPr>
          <w:trHeight w:val="386"/>
        </w:trPr>
        <w:tc>
          <w:tcPr>
            <w:tcW w:w="3500" w:type="dxa"/>
            <w:vAlign w:val="bottom"/>
          </w:tcPr>
          <w:p>
            <w:pPr>
              <w:jc w:val="center"/>
              <w:ind w:left="20"/>
              <w:spacing w:after="0"/>
              <w:rPr>
                <w:sz w:val="20"/>
                <w:szCs w:val="20"/>
                <w:color w:val="auto"/>
              </w:rPr>
            </w:pPr>
            <w:r>
              <w:rPr>
                <w:rFonts w:ascii="Arial" w:cs="Arial" w:eastAsia="Arial" w:hAnsi="Arial"/>
                <w:sz w:val="16"/>
                <w:szCs w:val="16"/>
                <w:b w:val="1"/>
                <w:bCs w:val="1"/>
                <w:color w:val="auto"/>
                <w:w w:val="91"/>
              </w:rPr>
              <w:t>Nevada</w:t>
            </w:r>
          </w:p>
        </w:tc>
        <w:tc>
          <w:tcPr>
            <w:tcW w:w="3940" w:type="dxa"/>
            <w:vAlign w:val="bottom"/>
            <w:gridSpan w:val="5"/>
          </w:tcPr>
          <w:p>
            <w:pPr>
              <w:jc w:val="center"/>
              <w:ind w:left="260"/>
              <w:spacing w:after="0"/>
              <w:rPr>
                <w:sz w:val="20"/>
                <w:szCs w:val="20"/>
                <w:color w:val="auto"/>
              </w:rPr>
            </w:pPr>
            <w:r>
              <w:rPr>
                <w:rFonts w:ascii="Arial" w:cs="Arial" w:eastAsia="Arial" w:hAnsi="Arial"/>
                <w:sz w:val="16"/>
                <w:szCs w:val="16"/>
                <w:b w:val="1"/>
                <w:bCs w:val="1"/>
                <w:color w:val="auto"/>
                <w:w w:val="88"/>
              </w:rPr>
              <w:t>001-39946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jc w:val="center"/>
              <w:ind w:right="200"/>
              <w:spacing w:after="0"/>
              <w:rPr>
                <w:sz w:val="20"/>
                <w:szCs w:val="20"/>
                <w:color w:val="auto"/>
              </w:rPr>
            </w:pPr>
            <w:r>
              <w:rPr>
                <w:rFonts w:ascii="Arial" w:cs="Arial" w:eastAsia="Arial" w:hAnsi="Arial"/>
                <w:sz w:val="16"/>
                <w:szCs w:val="16"/>
                <w:b w:val="1"/>
                <w:bCs w:val="1"/>
                <w:color w:val="auto"/>
                <w:w w:val="91"/>
              </w:rPr>
              <w:t>30-0943453</w:t>
            </w:r>
          </w:p>
        </w:tc>
      </w:tr>
      <w:tr>
        <w:trPr>
          <w:trHeight w:val="179"/>
        </w:trPr>
        <w:tc>
          <w:tcPr>
            <w:tcW w:w="350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2"/>
              </w:rPr>
              <w:t>(State or other jurisdiction</w:t>
            </w:r>
          </w:p>
        </w:tc>
        <w:tc>
          <w:tcPr>
            <w:tcW w:w="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gridSpan w:val="3"/>
          </w:tcPr>
          <w:p>
            <w:pPr>
              <w:jc w:val="center"/>
              <w:spacing w:after="0" w:line="179" w:lineRule="exact"/>
              <w:rPr>
                <w:sz w:val="20"/>
                <w:szCs w:val="20"/>
                <w:color w:val="auto"/>
              </w:rPr>
            </w:pPr>
            <w:r>
              <w:rPr>
                <w:rFonts w:ascii="Arial" w:cs="Arial" w:eastAsia="Arial" w:hAnsi="Arial"/>
                <w:sz w:val="16"/>
                <w:szCs w:val="16"/>
                <w:color w:val="auto"/>
                <w:w w:val="92"/>
              </w:rPr>
              <w:t>(Commission File Number)</w:t>
            </w: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tcPr>
          <w:p>
            <w:pPr>
              <w:jc w:val="center"/>
              <w:ind w:right="240"/>
              <w:spacing w:after="0" w:line="179" w:lineRule="exact"/>
              <w:rPr>
                <w:sz w:val="20"/>
                <w:szCs w:val="20"/>
                <w:color w:val="auto"/>
              </w:rPr>
            </w:pPr>
            <w:r>
              <w:rPr>
                <w:rFonts w:ascii="Arial" w:cs="Arial" w:eastAsia="Arial" w:hAnsi="Arial"/>
                <w:sz w:val="16"/>
                <w:szCs w:val="16"/>
                <w:color w:val="auto"/>
                <w:w w:val="94"/>
              </w:rPr>
              <w:t>(IRS Employer</w:t>
            </w:r>
          </w:p>
        </w:tc>
      </w:tr>
      <w:tr>
        <w:trPr>
          <w:trHeight w:val="204"/>
        </w:trPr>
        <w:tc>
          <w:tcPr>
            <w:tcW w:w="3500" w:type="dxa"/>
            <w:vAlign w:val="bottom"/>
          </w:tcPr>
          <w:p>
            <w:pPr>
              <w:jc w:val="center"/>
              <w:ind w:left="20"/>
              <w:spacing w:after="0"/>
              <w:rPr>
                <w:sz w:val="20"/>
                <w:szCs w:val="20"/>
                <w:color w:val="auto"/>
              </w:rPr>
            </w:pPr>
            <w:r>
              <w:rPr>
                <w:rFonts w:ascii="Arial" w:cs="Arial" w:eastAsia="Arial" w:hAnsi="Arial"/>
                <w:sz w:val="16"/>
                <w:szCs w:val="16"/>
                <w:color w:val="auto"/>
                <w:w w:val="93"/>
              </w:rPr>
              <w:t>of incorporation)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Pr>
          <w:p>
            <w:pPr>
              <w:jc w:val="center"/>
              <w:ind w:right="200"/>
              <w:spacing w:after="0"/>
              <w:rPr>
                <w:sz w:val="20"/>
                <w:szCs w:val="20"/>
                <w:color w:val="auto"/>
              </w:rPr>
            </w:pPr>
            <w:r>
              <w:rPr>
                <w:rFonts w:ascii="Arial" w:cs="Arial" w:eastAsia="Arial" w:hAnsi="Arial"/>
                <w:sz w:val="16"/>
                <w:szCs w:val="16"/>
                <w:color w:val="auto"/>
                <w:w w:val="94"/>
              </w:rPr>
              <w:t>Identification No.)</w:t>
            </w:r>
          </w:p>
        </w:tc>
      </w:tr>
      <w:tr>
        <w:trPr>
          <w:trHeight w:val="366"/>
        </w:trPr>
        <w:tc>
          <w:tcPr>
            <w:tcW w:w="3500" w:type="dxa"/>
            <w:vAlign w:val="bottom"/>
          </w:tcPr>
          <w:p>
            <w:pPr>
              <w:jc w:val="center"/>
              <w:ind w:left="1920"/>
              <w:spacing w:after="0"/>
              <w:rPr>
                <w:sz w:val="20"/>
                <w:szCs w:val="20"/>
                <w:color w:val="auto"/>
              </w:rPr>
            </w:pPr>
            <w:r>
              <w:rPr>
                <w:rFonts w:ascii="Arial" w:cs="Arial" w:eastAsia="Arial" w:hAnsi="Arial"/>
                <w:sz w:val="16"/>
                <w:szCs w:val="16"/>
                <w:b w:val="1"/>
                <w:bCs w:val="1"/>
                <w:color w:val="auto"/>
                <w:w w:val="90"/>
              </w:rPr>
              <w:t>76 Treble Cove Rd.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91"/>
        </w:trPr>
        <w:tc>
          <w:tcPr>
            <w:tcW w:w="3500" w:type="dxa"/>
            <w:vAlign w:val="bottom"/>
          </w:tcPr>
          <w:p>
            <w:pPr>
              <w:jc w:val="center"/>
              <w:ind w:left="1920"/>
              <w:spacing w:after="0"/>
              <w:rPr>
                <w:sz w:val="20"/>
                <w:szCs w:val="20"/>
                <w:color w:val="auto"/>
              </w:rPr>
            </w:pPr>
            <w:r>
              <w:rPr>
                <w:rFonts w:ascii="Arial" w:cs="Arial" w:eastAsia="Arial" w:hAnsi="Arial"/>
                <w:sz w:val="16"/>
                <w:szCs w:val="16"/>
                <w:b w:val="1"/>
                <w:bCs w:val="1"/>
                <w:color w:val="auto"/>
                <w:w w:val="90"/>
              </w:rPr>
              <w:t>Building 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12"/>
        </w:trPr>
        <w:tc>
          <w:tcPr>
            <w:tcW w:w="3500" w:type="dxa"/>
            <w:vAlign w:val="bottom"/>
            <w:tcBorders>
              <w:bottom w:val="single" w:sz="8" w:color="auto"/>
            </w:tcBorders>
          </w:tcPr>
          <w:p>
            <w:pPr>
              <w:jc w:val="center"/>
              <w:ind w:left="1940"/>
              <w:spacing w:after="0"/>
              <w:rPr>
                <w:sz w:val="20"/>
                <w:szCs w:val="20"/>
                <w:color w:val="auto"/>
              </w:rPr>
            </w:pPr>
            <w:r>
              <w:rPr>
                <w:rFonts w:ascii="Arial" w:cs="Arial" w:eastAsia="Arial" w:hAnsi="Arial"/>
                <w:sz w:val="16"/>
                <w:szCs w:val="16"/>
                <w:b w:val="1"/>
                <w:bCs w:val="1"/>
                <w:color w:val="auto"/>
                <w:w w:val="93"/>
              </w:rPr>
              <w:t>Billerica, MA 01862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jc w:val="right"/>
              <w:ind w:right="2480"/>
              <w:spacing w:after="0"/>
              <w:rPr>
                <w:sz w:val="20"/>
                <w:szCs w:val="20"/>
                <w:color w:val="auto"/>
              </w:rPr>
            </w:pPr>
            <w:r>
              <w:rPr>
                <w:rFonts w:ascii="Arial" w:cs="Arial" w:eastAsia="Arial" w:hAnsi="Arial"/>
                <w:sz w:val="16"/>
                <w:szCs w:val="16"/>
                <w:b w:val="1"/>
                <w:bCs w:val="1"/>
                <w:color w:val="auto"/>
              </w:rPr>
              <w:t>01862</w:t>
            </w:r>
          </w:p>
        </w:tc>
      </w:tr>
      <w:tr>
        <w:trPr>
          <w:trHeight w:val="204"/>
        </w:trPr>
        <w:tc>
          <w:tcPr>
            <w:tcW w:w="5520" w:type="dxa"/>
            <w:vAlign w:val="bottom"/>
            <w:gridSpan w:val="4"/>
          </w:tcPr>
          <w:p>
            <w:pPr>
              <w:jc w:val="center"/>
              <w:spacing w:after="0"/>
              <w:rPr>
                <w:sz w:val="20"/>
                <w:szCs w:val="20"/>
                <w:color w:val="auto"/>
              </w:rPr>
            </w:pPr>
            <w:r>
              <w:rPr>
                <w:rFonts w:ascii="Arial" w:cs="Arial" w:eastAsia="Arial" w:hAnsi="Arial"/>
                <w:sz w:val="16"/>
                <w:szCs w:val="16"/>
                <w:color w:val="auto"/>
                <w:w w:val="91"/>
              </w:rPr>
              <w:t>(Address of principal executive offices)</w:t>
            </w:r>
          </w:p>
        </w:tc>
        <w:tc>
          <w:tcPr>
            <w:tcW w:w="220" w:type="dxa"/>
            <w:vAlign w:val="bottom"/>
          </w:tcPr>
          <w:p>
            <w:pPr>
              <w:spacing w:after="0"/>
              <w:rPr>
                <w:sz w:val="17"/>
                <w:szCs w:val="17"/>
                <w:color w:val="auto"/>
              </w:rPr>
            </w:pPr>
          </w:p>
        </w:tc>
        <w:tc>
          <w:tcPr>
            <w:tcW w:w="2180" w:type="dxa"/>
            <w:vAlign w:val="bottom"/>
            <w:gridSpan w:val="3"/>
          </w:tcPr>
          <w:p>
            <w:pPr>
              <w:spacing w:after="0"/>
              <w:rPr>
                <w:sz w:val="17"/>
                <w:szCs w:val="17"/>
                <w:color w:val="auto"/>
              </w:rPr>
            </w:pPr>
          </w:p>
        </w:tc>
        <w:tc>
          <w:tcPr>
            <w:tcW w:w="3340" w:type="dxa"/>
            <w:vAlign w:val="bottom"/>
          </w:tcPr>
          <w:p>
            <w:pPr>
              <w:jc w:val="center"/>
              <w:ind w:right="2120"/>
              <w:spacing w:after="0"/>
              <w:rPr>
                <w:sz w:val="20"/>
                <w:szCs w:val="20"/>
                <w:color w:val="auto"/>
              </w:rPr>
            </w:pPr>
            <w:r>
              <w:rPr>
                <w:rFonts w:ascii="Arial" w:cs="Arial" w:eastAsia="Arial" w:hAnsi="Arial"/>
                <w:sz w:val="16"/>
                <w:szCs w:val="16"/>
                <w:color w:val="auto"/>
                <w:w w:val="92"/>
              </w:rPr>
              <w:t>(Zip Code)</w:t>
            </w:r>
          </w:p>
        </w:tc>
      </w:tr>
    </w:tbl>
    <w:p>
      <w:pPr>
        <w:spacing w:after="0" w:line="162"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896-5243</w:t>
      </w:r>
    </w:p>
    <w:p>
      <w:pPr>
        <w:spacing w:after="0" w:line="202"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496" w:lineRule="auto"/>
        <w:tabs>
          <w:tab w:leader="none" w:pos="29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212"/>
        </w:trPr>
        <w:tc>
          <w:tcPr>
            <w:tcW w:w="3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Title of each class</w:t>
            </w:r>
          </w:p>
        </w:tc>
        <w:tc>
          <w:tcPr>
            <w:tcW w:w="3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191"/>
        </w:trPr>
        <w:tc>
          <w:tcPr>
            <w:tcW w:w="3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Common Stock, par value $0.001 per share</w:t>
            </w:r>
          </w:p>
        </w:tc>
        <w:tc>
          <w:tcPr>
            <w:tcW w:w="12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AGFY</w:t>
            </w: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bl>
    <w:p>
      <w:pPr>
        <w:spacing w:after="0" w:line="179" w:lineRule="exact"/>
        <w:rPr>
          <w:sz w:val="24"/>
          <w:szCs w:val="24"/>
          <w:color w:val="auto"/>
        </w:rPr>
      </w:pPr>
    </w:p>
    <w:p>
      <w:pPr>
        <w:jc w:val="both"/>
        <w:ind w:left="4"/>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jc w:val="both"/>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528320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70" w:right="319" w:bottom="1440" w:gutter="0" w:footer="0" w:header="0"/>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Agrify Corporation (the “Company”) previously announced that Raymond Chang, Chief Executive Officer, will make a presentation on behalf of the Company at the 34th Annual Roth Conference in Dana Point, California on Monday, March 14, 2022. The Company will host a fireside chat at 3:30 p.m. ET. The discussion will be moderated by Scott Fortune, Senior Equity Research Analyst, Cannabis and Hemp CBD at Roth Capital Partners. The webcast can be accessed by visiting the Company’s Investor Relations website at https://ir.agrify.com/ and navigating to the Events page. The webcast will also be available for replay. Additionally, the Company will be conducting one-on-one meetings and small group meetings throughout the duration of the conference.</w:t>
      </w:r>
    </w:p>
    <w:p>
      <w:pPr>
        <w:spacing w:after="0" w:line="170"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A copy of the presentation slides, which will be discussed at that conference, is attached hereto as Exhibit 99.1. From time-to-time, the Company may also use this presentation in conversations with investors and analysts.</w:t>
      </w:r>
    </w:p>
    <w:p>
      <w:pPr>
        <w:spacing w:after="0" w:line="152"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5"/>
          <w:szCs w:val="15"/>
          <w:color w:val="auto"/>
        </w:rPr>
        <w:t>The information in Items 7.01 and 9.01 of this report (including Exhibit 99.1 hereto) is being “furnished” and shall not be deemed “filed” for the purposes of Section 18 of the Securities Exchange Act of 1934, as amended, is not subject to the liabilities of that section and is not deemed incorporated by reference in any filing under the Securities Act of 1933, as amended, or the Securities Exchange Act of 1934, as amended, except as shall be expressly set forth by specific reference in such a filing.</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(d) Exhibits.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 hereby files or furnishes, as applicable, the following exhibits:</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0240" w:type="dxa"/>
            <w:vAlign w:val="bottom"/>
            <w:gridSpan w:val="5"/>
          </w:tcPr>
          <w:p>
            <w:pPr>
              <w:ind w:left="1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1"/>
        </w:trPr>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700" w:type="dxa"/>
            <w:vAlign w:val="bottom"/>
            <w:tcBorders>
              <w:top w:val="single" w:sz="8" w:color="auto"/>
            </w:tcBorders>
          </w:tcPr>
          <w:p>
            <w:pPr>
              <w:spacing w:after="0"/>
              <w:rPr>
                <w:sz w:val="16"/>
                <w:szCs w:val="16"/>
                <w:color w:val="auto"/>
              </w:rPr>
            </w:pPr>
          </w:p>
        </w:tc>
        <w:tc>
          <w:tcPr>
            <w:tcW w:w="5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0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99.1*</w:t>
            </w:r>
          </w:p>
        </w:tc>
        <w:tc>
          <w:tcPr>
            <w:tcW w:w="280" w:type="dxa"/>
            <w:vAlign w:val="bottom"/>
            <w:tcBorders>
              <w:bottom w:val="single" w:sz="8" w:color="CCEEFF"/>
            </w:tcBorders>
            <w:gridSpan w:val="2"/>
            <w:vMerge w:val="restart"/>
            <w:shd w:val="clear" w:color="auto" w:fill="CCEEFF"/>
          </w:tcPr>
          <w:p>
            <w:pPr>
              <w:ind w:left="120"/>
              <w:spacing w:after="0"/>
              <w:rPr>
                <w:rFonts w:ascii="Arial" w:cs="Arial" w:eastAsia="Arial" w:hAnsi="Arial"/>
                <w:sz w:val="16"/>
                <w:szCs w:val="16"/>
                <w:color w:val="0000EE"/>
                <w:w w:val="78"/>
              </w:rPr>
            </w:pPr>
            <w:hyperlink w:anchor="page4">
              <w:r>
                <w:rPr>
                  <w:rFonts w:ascii="Arial" w:cs="Arial" w:eastAsia="Arial" w:hAnsi="Arial"/>
                  <w:sz w:val="16"/>
                  <w:szCs w:val="16"/>
                  <w:color w:val="0000EE"/>
                  <w:w w:val="78"/>
                </w:rPr>
                <w:t>34</w:t>
              </w:r>
            </w:hyperlink>
          </w:p>
        </w:tc>
        <w:tc>
          <w:tcPr>
            <w:tcW w:w="120" w:type="dxa"/>
            <w:vAlign w:val="bottom"/>
            <w:tcBorders>
              <w:bottom w:val="single" w:sz="8" w:color="0000EE"/>
            </w:tcBorders>
            <w:shd w:val="clear" w:color="auto" w:fill="CCEEFF"/>
          </w:tcPr>
          <w:p>
            <w:pPr>
              <w:spacing w:after="0" w:line="111" w:lineRule="exact"/>
              <w:rPr>
                <w:rFonts w:ascii="Arial" w:cs="Arial" w:eastAsia="Arial" w:hAnsi="Arial"/>
                <w:sz w:val="12"/>
                <w:szCs w:val="12"/>
                <w:color w:val="0000EE"/>
                <w:w w:val="99"/>
              </w:rPr>
            </w:pPr>
            <w:hyperlink w:anchor="page4">
              <w:r>
                <w:rPr>
                  <w:rFonts w:ascii="Arial" w:cs="Arial" w:eastAsia="Arial" w:hAnsi="Arial"/>
                  <w:sz w:val="12"/>
                  <w:szCs w:val="12"/>
                  <w:color w:val="0000EE"/>
                  <w:w w:val="99"/>
                </w:rPr>
                <w:t>th</w:t>
              </w:r>
            </w:hyperlink>
          </w:p>
        </w:tc>
        <w:tc>
          <w:tcPr>
            <w:tcW w:w="9840" w:type="dxa"/>
            <w:vAlign w:val="bottom"/>
            <w:tcBorders>
              <w:bottom w:val="single" w:sz="8" w:color="CCEEFF"/>
            </w:tcBorders>
            <w:gridSpan w:val="2"/>
            <w:vMerge w:val="restart"/>
            <w:shd w:val="clear" w:color="auto" w:fill="CCEEFF"/>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Annual Roth Conference Agrify Corporation Investor Presentation Slides</w:t>
              </w:r>
            </w:hyperlink>
          </w:p>
        </w:tc>
        <w:tc>
          <w:tcPr>
            <w:tcW w:w="0" w:type="dxa"/>
            <w:vAlign w:val="bottom"/>
          </w:tcPr>
          <w:p>
            <w:pPr>
              <w:spacing w:after="0"/>
              <w:rPr>
                <w:sz w:val="1"/>
                <w:szCs w:val="1"/>
                <w:color w:val="auto"/>
              </w:rPr>
            </w:pPr>
          </w:p>
        </w:tc>
      </w:tr>
      <w:tr>
        <w:trPr>
          <w:trHeight w:val="40"/>
        </w:trPr>
        <w:tc>
          <w:tcPr>
            <w:tcW w:w="1020" w:type="dxa"/>
            <w:vAlign w:val="bottom"/>
            <w:vMerge w:val="continue"/>
            <w:shd w:val="clear" w:color="auto" w:fill="CCEEFF"/>
          </w:tcPr>
          <w:p>
            <w:pPr>
              <w:spacing w:after="0"/>
              <w:rPr>
                <w:sz w:val="3"/>
                <w:szCs w:val="3"/>
                <w:color w:val="auto"/>
              </w:rPr>
            </w:pPr>
          </w:p>
        </w:tc>
        <w:tc>
          <w:tcPr>
            <w:tcW w:w="280" w:type="dxa"/>
            <w:vAlign w:val="bottom"/>
            <w:gridSpan w:val="2"/>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40" w:type="dxa"/>
            <w:vAlign w:val="bottom"/>
            <w:gridSpan w:val="2"/>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700" w:type="dxa"/>
            <w:vAlign w:val="bottom"/>
            <w:shd w:val="clear" w:color="auto" w:fill="0000EE"/>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 w:right="5020" w:hanging="4"/>
        <w:spacing w:after="0" w:line="524" w:lineRule="auto"/>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 Furnished but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-501650</wp:posOffset>
            </wp:positionV>
            <wp:extent cx="7148195" cy="121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3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AGRIFY CORPORATION</w:t>
      </w:r>
    </w:p>
    <w:p>
      <w:pPr>
        <w:spacing w:after="0" w:line="202"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6"/>
          <w:szCs w:val="16"/>
          <w:color w:val="auto"/>
        </w:rPr>
        <w:t>Date: March 14,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Timothy R. Oakes</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Chief Financial Officer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 w:name="page4"/>
    <w:bookmarkEnd w:id="3"/>
    <w:p>
      <w:pPr>
        <w:ind w:left="91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164465</wp:posOffset>
            </wp:positionV>
            <wp:extent cx="7203440" cy="433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16"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2022-03-14T06:02:36Z</dcterms:created>
  <dcterms:modified xsi:type="dcterms:W3CDTF">2022-03-14T06:02:36Z</dcterms:modified>
</cp:coreProperties>
</file>