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6" w:lineRule="exact"/>
        <w:rPr>
          <w:sz w:val="24"/>
          <w:szCs w:val="24"/>
          <w:color w:val="auto"/>
        </w:rPr>
      </w:pPr>
    </w:p>
    <w:p>
      <w:pPr>
        <w:ind w:left="300" w:right="60"/>
        <w:spacing w:after="0" w:line="313"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-189865</wp:posOffset>
            </wp:positionV>
            <wp:extent cx="111760" cy="111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84" w:lineRule="exact"/>
        <w:rPr>
          <w:sz w:val="24"/>
          <w:szCs w:val="24"/>
          <w:color w:val="auto"/>
        </w:rPr>
      </w:pPr>
    </w:p>
    <w:p>
      <w:pPr>
        <w:ind w:left="300"/>
        <w:spacing w:after="0" w:line="22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-525780</wp:posOffset>
            </wp:positionV>
            <wp:extent cx="111760" cy="111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20" w:type="dxa"/>
            <w:vAlign w:val="bottom"/>
          </w:tcPr>
          <w:p>
            <w:pPr>
              <w:jc w:val="center"/>
              <w:ind w:right="444"/>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jc w:val="center"/>
              <w:ind w:right="444"/>
              <w:spacing w:after="0" w:line="130"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64"/>
              <w:spacing w:after="0" w:line="167"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vMerge w:val="restart"/>
          </w:tcPr>
          <w:p>
            <w:pPr>
              <w:jc w:val="center"/>
              <w:ind w:right="44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5100955</wp:posOffset>
            </wp:positionH>
            <wp:positionV relativeFrom="paragraph">
              <wp:posOffset>-569595</wp:posOffset>
            </wp:positionV>
            <wp:extent cx="5524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293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-569595</wp:posOffset>
            </wp:positionV>
            <wp:extent cx="5524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293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597535</wp:posOffset>
            </wp:positionV>
            <wp:extent cx="7005955" cy="7332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955" cy="7332980"/>
                    </a:xfrm>
                    <a:prstGeom prst="rect">
                      <a:avLst/>
                    </a:prstGeom>
                    <a:noFill/>
                  </pic:spPr>
                </pic:pic>
              </a:graphicData>
            </a:graphic>
          </wp:anchor>
        </w:drawing>
      </w:r>
    </w:p>
    <w:p>
      <w:pPr>
        <w:spacing w:after="0" w:line="953" w:lineRule="exact"/>
        <w:rPr>
          <w:sz w:val="24"/>
          <w:szCs w:val="24"/>
          <w:color w:val="auto"/>
        </w:rPr>
      </w:pPr>
    </w:p>
    <w:p>
      <w:pPr>
        <w:sectPr>
          <w:pgSz w:w="11900" w:h="16895" w:orient="portrait"/>
          <w:cols w:equalWidth="0" w:num="2">
            <w:col w:w="2280" w:space="560"/>
            <w:col w:w="824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60" w:type="dxa"/>
            <w:vAlign w:val="bottom"/>
            <w:gridSpan w:val="7"/>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9"/>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RSLGH, LLC</w:t>
              </w:r>
            </w:hyperlink>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8"/>
          </w:tcPr>
          <w:p>
            <w:pPr>
              <w:ind w:left="60"/>
              <w:spacing w:after="0" w:line="94"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RYTHM,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RYM</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color w:val="auto"/>
              </w:rPr>
              <w:t>Director</w:t>
            </w: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2"/>
                <w:szCs w:val="12"/>
                <w:color w:val="auto"/>
              </w:rPr>
              <w:t>Officer (give title</w:t>
            </w:r>
          </w:p>
        </w:tc>
        <w:tc>
          <w:tcPr>
            <w:tcW w:w="520" w:type="dxa"/>
            <w:vAlign w:val="bottom"/>
          </w:tcPr>
          <w:p>
            <w:pPr>
              <w:spacing w:after="0"/>
              <w:rPr>
                <w:sz w:val="7"/>
                <w:szCs w:val="7"/>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20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color w:val="auto"/>
              </w:rPr>
              <w:t>below)</w:t>
            </w: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vMerge w:val="restart"/>
          </w:tcPr>
          <w:p>
            <w:pPr>
              <w:jc w:val="right"/>
              <w:ind w:right="47"/>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9"/>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9"/>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325 W. HURON STREET</w:t>
            </w:r>
          </w:p>
        </w:tc>
        <w:tc>
          <w:tcPr>
            <w:tcW w:w="1000" w:type="dxa"/>
            <w:vAlign w:val="bottom"/>
          </w:tcPr>
          <w:p>
            <w:pPr>
              <w:spacing w:after="0"/>
              <w:rPr>
                <w:sz w:val="19"/>
                <w:szCs w:val="19"/>
                <w:color w:val="auto"/>
              </w:rPr>
            </w:pPr>
          </w:p>
        </w:tc>
        <w:tc>
          <w:tcPr>
            <w:tcW w:w="1580" w:type="dxa"/>
            <w:vAlign w:val="bottom"/>
            <w:gridSpan w:val="7"/>
          </w:tcPr>
          <w:p>
            <w:pPr>
              <w:ind w:left="540"/>
              <w:spacing w:after="0"/>
              <w:rPr>
                <w:sz w:val="20"/>
                <w:szCs w:val="20"/>
                <w:color w:val="auto"/>
              </w:rPr>
            </w:pPr>
            <w:r>
              <w:rPr>
                <w:rFonts w:ascii="Times New Roman" w:cs="Times New Roman" w:eastAsia="Times New Roman" w:hAnsi="Times New Roman"/>
                <w:sz w:val="15"/>
                <w:szCs w:val="15"/>
                <w:color w:val="0000FF"/>
              </w:rPr>
              <w:t>11/03/2025</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SUITE 700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3"/>
          </w:tcPr>
          <w:p>
            <w:pPr>
              <w:spacing w:after="0"/>
              <w:rPr>
                <w:sz w:val="7"/>
                <w:szCs w:val="7"/>
                <w:color w:val="auto"/>
              </w:rPr>
            </w:pPr>
          </w:p>
        </w:tc>
        <w:tc>
          <w:tcPr>
            <w:tcW w:w="2720" w:type="dxa"/>
            <w:vAlign w:val="bottom"/>
            <w:tcBorders>
              <w:bottom w:val="single" w:sz="8" w:color="2C2C2C"/>
            </w:tcBorders>
            <w:gridSpan w:val="6"/>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restart"/>
          </w:tcPr>
          <w:p>
            <w:pPr>
              <w:ind w:left="60"/>
              <w:spacing w:after="0"/>
              <w:rPr>
                <w:sz w:val="20"/>
                <w:szCs w:val="20"/>
                <w:color w:val="auto"/>
              </w:rPr>
            </w:pPr>
            <w:r>
              <w:rPr>
                <w:rFonts w:ascii="Arial" w:cs="Arial" w:eastAsia="Arial" w:hAnsi="Arial"/>
                <w:sz w:val="12"/>
                <w:szCs w:val="12"/>
                <w:color w:val="auto"/>
                <w:w w:val="96"/>
              </w:rPr>
              <w:t>4. If Amendment, Date of Original Filed (Month/Day/Year)</w:t>
            </w: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20" w:type="dxa"/>
            <w:vAlign w:val="bottom"/>
            <w:gridSpan w:val="12"/>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1"/>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gridSpan w:val="9"/>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2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8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5"/>
            <w:vMerge w:val="restart"/>
          </w:tcPr>
          <w:p>
            <w:pPr>
              <w:ind w:left="40"/>
              <w:spacing w:after="0"/>
              <w:rPr>
                <w:sz w:val="20"/>
                <w:szCs w:val="20"/>
                <w:color w:val="auto"/>
              </w:rPr>
            </w:pPr>
            <w:r>
              <w:rPr>
                <w:rFonts w:ascii="Arial" w:cs="Arial" w:eastAsia="Arial" w:hAnsi="Arial"/>
                <w:sz w:val="12"/>
                <w:szCs w:val="12"/>
                <w:color w:val="auto"/>
              </w:rPr>
              <w:t>Form filed by One Reporting Person</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CHICAGO</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IL</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0000FF"/>
              </w:rPr>
              <w:t>60654</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gridSpan w:val="9"/>
            <w:vMerge w:val="restart"/>
          </w:tcPr>
          <w:p>
            <w:pPr>
              <w:ind w:left="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gridSpan w:val="5"/>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gridSpan w:val="3"/>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19"/>
          </w:tcPr>
          <w:p>
            <w:pPr>
              <w:ind w:left="2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36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1020" w:type="dxa"/>
            <w:vAlign w:val="bottom"/>
            <w:gridSpan w:val="6"/>
          </w:tcPr>
          <w:p>
            <w:pPr>
              <w:ind w:left="1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5. Amount of</w:t>
            </w:r>
          </w:p>
        </w:tc>
        <w:tc>
          <w:tcPr>
            <w:tcW w:w="34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gridSpan w:val="4"/>
          </w:tcPr>
          <w:p>
            <w:pPr>
              <w:ind w:left="140"/>
              <w:spacing w:after="0" w:line="117"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ind w:left="100"/>
              <w:spacing w:after="0" w:line="117"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104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Form: Direct (D)</w:t>
            </w: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6"/>
          </w:tcPr>
          <w:p>
            <w:pPr>
              <w:ind w:left="140"/>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1080" w:type="dxa"/>
            <w:vAlign w:val="bottom"/>
            <w:gridSpan w:val="3"/>
          </w:tcPr>
          <w:p>
            <w:pPr>
              <w:ind w:left="100"/>
              <w:spacing w:after="0" w:line="117"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Beneficially Owned</w:t>
            </w:r>
          </w:p>
        </w:tc>
        <w:tc>
          <w:tcPr>
            <w:tcW w:w="104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or Indirect (I)</w:t>
            </w: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ind w:left="100"/>
              <w:spacing w:after="0" w:line="117"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Following Reported</w:t>
            </w:r>
          </w:p>
        </w:tc>
        <w:tc>
          <w:tcPr>
            <w:tcW w:w="520" w:type="dxa"/>
            <w:vAlign w:val="bottom"/>
          </w:tcPr>
          <w:p>
            <w:pPr>
              <w:ind w:left="100"/>
              <w:spacing w:after="0" w:line="117" w:lineRule="exact"/>
              <w:rPr>
                <w:sz w:val="20"/>
                <w:szCs w:val="20"/>
                <w:color w:val="auto"/>
              </w:rPr>
            </w:pPr>
            <w:r>
              <w:rPr>
                <w:rFonts w:ascii="Arial" w:cs="Arial" w:eastAsia="Arial" w:hAnsi="Arial"/>
                <w:sz w:val="11"/>
                <w:szCs w:val="11"/>
                <w:b w:val="1"/>
                <w:bCs w:val="1"/>
                <w:color w:val="auto"/>
                <w:w w:val="92"/>
              </w:rPr>
              <w:t>(Instr. 4)</w:t>
            </w:r>
          </w:p>
        </w:tc>
        <w:tc>
          <w:tcPr>
            <w:tcW w:w="520" w:type="dxa"/>
            <w:vAlign w:val="bottom"/>
          </w:tcPr>
          <w:p>
            <w:pPr>
              <w:spacing w:after="0"/>
              <w:rPr>
                <w:sz w:val="10"/>
                <w:szCs w:val="10"/>
                <w:color w:val="auto"/>
              </w:rPr>
            </w:pP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4"/>
            <w:vMerge w:val="restart"/>
          </w:tcPr>
          <w:p>
            <w:pPr>
              <w:spacing w:after="0" w:line="117" w:lineRule="exact"/>
              <w:rPr>
                <w:sz w:val="20"/>
                <w:szCs w:val="20"/>
                <w:color w:val="auto"/>
              </w:rPr>
            </w:pPr>
            <w:r>
              <w:rPr>
                <w:rFonts w:ascii="Arial" w:cs="Arial" w:eastAsia="Arial" w:hAnsi="Arial"/>
                <w:sz w:val="11"/>
                <w:szCs w:val="11"/>
                <w:b w:val="1"/>
                <w:bCs w:val="1"/>
                <w:color w:val="auto"/>
                <w:w w:val="95"/>
              </w:rPr>
              <w:t>Transaction(s) (Instr.</w:t>
            </w: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4"/>
            <w:vMerge w:val="restart"/>
          </w:tcPr>
          <w:p>
            <w:pPr>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17"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3 and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gridSpan w:val="6"/>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40" w:type="dxa"/>
            <w:vAlign w:val="bottom"/>
            <w:gridSpan w:val="19"/>
          </w:tcPr>
          <w:p>
            <w:pPr>
              <w:ind w:left="4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20" w:type="dxa"/>
            <w:vAlign w:val="bottom"/>
            <w:gridSpan w:val="15"/>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3"/>
                <w:szCs w:val="13"/>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5"/>
          </w:tcPr>
          <w:p>
            <w:pPr>
              <w:ind w:left="60"/>
              <w:spacing w:after="0"/>
              <w:rPr>
                <w:sz w:val="20"/>
                <w:szCs w:val="20"/>
                <w:color w:val="auto"/>
              </w:rPr>
            </w:pPr>
            <w:r>
              <w:rPr>
                <w:rFonts w:ascii="Arial" w:cs="Arial" w:eastAsia="Arial" w:hAnsi="Arial"/>
                <w:sz w:val="11"/>
                <w:szCs w:val="11"/>
                <w:b w:val="1"/>
                <w:bCs w:val="1"/>
                <w:color w:val="auto"/>
              </w:rPr>
              <w:t>5. Number of Derivative</w:t>
            </w:r>
          </w:p>
        </w:tc>
        <w:tc>
          <w:tcPr>
            <w:tcW w:w="14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6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2"/>
              </w:rPr>
              <w:t>Conversion</w:t>
            </w:r>
          </w:p>
        </w:tc>
        <w:tc>
          <w:tcPr>
            <w:tcW w:w="104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Securities Acquired (A)</w:t>
            </w:r>
          </w:p>
        </w:tc>
        <w:tc>
          <w:tcPr>
            <w:tcW w:w="142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Ownership</w:t>
            </w:r>
          </w:p>
        </w:tc>
        <w:tc>
          <w:tcPr>
            <w:tcW w:w="640" w:type="dxa"/>
            <w:vAlign w:val="bottom"/>
            <w:tcBorders>
              <w:right w:val="single" w:sz="8" w:color="2C2C2C"/>
            </w:tcBorders>
            <w:gridSpan w:val="3"/>
          </w:tcPr>
          <w:p>
            <w:pPr>
              <w:ind w:left="20"/>
              <w:spacing w:after="0" w:line="117"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4"/>
              </w:rPr>
              <w:t>or Exercise</w:t>
            </w:r>
          </w:p>
        </w:tc>
        <w:tc>
          <w:tcPr>
            <w:tcW w:w="104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or Disposed of (D) (Instr.</w:t>
            </w:r>
          </w:p>
        </w:tc>
        <w:tc>
          <w:tcPr>
            <w:tcW w:w="142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w w:val="93"/>
              </w:rPr>
              <w:t>Derivative Security (Instr.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3, 4 and 5)</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3 and 4)</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ind w:left="40"/>
              <w:spacing w:after="0" w:line="117" w:lineRule="exact"/>
              <w:rPr>
                <w:sz w:val="20"/>
                <w:szCs w:val="20"/>
                <w:color w:val="auto"/>
              </w:rPr>
            </w:pPr>
            <w:r>
              <w:rPr>
                <w:rFonts w:ascii="Arial" w:cs="Arial" w:eastAsia="Arial" w:hAnsi="Arial"/>
                <w:sz w:val="11"/>
                <w:szCs w:val="11"/>
                <w:b w:val="1"/>
                <w:bCs w:val="1"/>
                <w:color w:val="auto"/>
                <w:w w:val="92"/>
              </w:rPr>
              <w:t>Direct (D)</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or Indirect</w:t>
            </w:r>
          </w:p>
        </w:tc>
        <w:tc>
          <w:tcPr>
            <w:tcW w:w="640" w:type="dxa"/>
            <w:vAlign w:val="bottom"/>
            <w:tcBorders>
              <w:right w:val="single" w:sz="8" w:color="2C2C2C"/>
            </w:tcBorders>
            <w:gridSpan w:val="3"/>
          </w:tcPr>
          <w:p>
            <w:pPr>
              <w:ind w:left="20"/>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gridSpan w:val="2"/>
          </w:tcPr>
          <w:p>
            <w:pPr>
              <w:ind w:left="60"/>
              <w:spacing w:after="0" w:line="94" w:lineRule="exact"/>
              <w:rPr>
                <w:sz w:val="20"/>
                <w:szCs w:val="20"/>
                <w:color w:val="auto"/>
              </w:rPr>
            </w:pPr>
            <w:r>
              <w:rPr>
                <w:rFonts w:ascii="Arial" w:cs="Arial" w:eastAsia="Arial" w:hAnsi="Arial"/>
                <w:sz w:val="9"/>
                <w:szCs w:val="9"/>
                <w:b w:val="1"/>
                <w:bCs w:val="1"/>
                <w:color w:val="auto"/>
              </w:rPr>
              <w:t>Security</w:t>
            </w: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gridSpan w:val="2"/>
          </w:tcPr>
          <w:p>
            <w:pPr>
              <w:ind w:left="40"/>
              <w:spacing w:after="0" w:line="94" w:lineRule="exact"/>
              <w:rPr>
                <w:sz w:val="20"/>
                <w:szCs w:val="20"/>
                <w:color w:val="auto"/>
              </w:rPr>
            </w:pPr>
            <w:r>
              <w:rPr>
                <w:rFonts w:ascii="Arial" w:cs="Arial" w:eastAsia="Arial" w:hAnsi="Arial"/>
                <w:sz w:val="9"/>
                <w:szCs w:val="9"/>
                <w:b w:val="1"/>
                <w:bCs w:val="1"/>
                <w:color w:val="auto"/>
              </w:rPr>
              <w:t>Following</w:t>
            </w:r>
          </w:p>
        </w:tc>
        <w:tc>
          <w:tcPr>
            <w:tcW w:w="680" w:type="dxa"/>
            <w:vAlign w:val="bottom"/>
            <w:gridSpan w:val="2"/>
          </w:tcPr>
          <w:p>
            <w:pPr>
              <w:ind w:left="40"/>
              <w:spacing w:after="0" w:line="94" w:lineRule="exact"/>
              <w:rPr>
                <w:sz w:val="20"/>
                <w:szCs w:val="20"/>
                <w:color w:val="auto"/>
              </w:rPr>
            </w:pPr>
            <w:r>
              <w:rPr>
                <w:rFonts w:ascii="Arial" w:cs="Arial" w:eastAsia="Arial" w:hAnsi="Arial"/>
                <w:sz w:val="9"/>
                <w:szCs w:val="9"/>
                <w:b w:val="1"/>
                <w:bCs w:val="1"/>
                <w:color w:val="auto"/>
              </w:rPr>
              <w:t>(I) (Instr. 4)</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6"/>
              </w:rPr>
              <w:t>Expiration</w:t>
            </w:r>
          </w:p>
        </w:tc>
        <w:tc>
          <w:tcPr>
            <w:tcW w:w="540" w:type="dxa"/>
            <w:vAlign w:val="bottom"/>
          </w:tcPr>
          <w:p>
            <w:pPr>
              <w:spacing w:after="0"/>
              <w:rPr>
                <w:sz w:val="10"/>
                <w:szCs w:val="10"/>
                <w:color w:val="auto"/>
              </w:rPr>
            </w:pPr>
          </w:p>
        </w:tc>
        <w:tc>
          <w:tcPr>
            <w:tcW w:w="76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(A)</w:t>
            </w:r>
          </w:p>
        </w:tc>
        <w:tc>
          <w:tcPr>
            <w:tcW w:w="1080" w:type="dxa"/>
            <w:vAlign w:val="bottom"/>
            <w:gridSpan w:val="3"/>
          </w:tcPr>
          <w:p>
            <w:pPr>
              <w:ind w:left="36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w w:val="98"/>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ind w:left="360"/>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1"/>
                <w:szCs w:val="11"/>
                <w:color w:val="0000FF"/>
                <w:w w:val="99"/>
              </w:rPr>
              <w:t>10,175,000</w:t>
            </w:r>
            <w:r>
              <w:rPr>
                <w:rFonts w:ascii="Times New Roman" w:cs="Times New Roman" w:eastAsia="Times New Roman" w:hAnsi="Times New Roman"/>
                <w:sz w:val="19"/>
                <w:szCs w:val="19"/>
                <w:color w:val="008000"/>
                <w:w w:val="99"/>
                <w:vertAlign w:val="superscript"/>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w w:val="96"/>
              </w:rPr>
              <w:t>3,222,997</w:t>
            </w:r>
            <w:r>
              <w:rPr>
                <w:rFonts w:ascii="Times New Roman" w:cs="Times New Roman" w:eastAsia="Times New Roman" w:hAnsi="Times New Roman"/>
                <w:sz w:val="19"/>
                <w:szCs w:val="19"/>
                <w:color w:val="008000"/>
                <w:w w:val="96"/>
                <w:vertAlign w:val="superscript"/>
              </w:rPr>
              <w:t>(1)</w:t>
            </w:r>
          </w:p>
        </w:tc>
        <w:tc>
          <w:tcPr>
            <w:tcW w:w="680" w:type="dxa"/>
            <w:vAlign w:val="bottom"/>
            <w:gridSpan w:val="2"/>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vMerge w:val="restart"/>
          </w:tcPr>
          <w:p>
            <w:pPr>
              <w:jc w:val="right"/>
              <w:ind w:right="67"/>
              <w:spacing w:after="0"/>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(2)</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Note (right</w:t>
            </w:r>
          </w:p>
        </w:tc>
        <w:tc>
          <w:tcPr>
            <w:tcW w:w="64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3.157</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2"/>
                <w:szCs w:val="12"/>
                <w:color w:val="0000FF"/>
              </w:rPr>
              <w:t>11/03/2025</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gridSpan w:val="4"/>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jc w:val="right"/>
              <w:ind w:right="366"/>
              <w:spacing w:after="0" w:line="128" w:lineRule="exact"/>
              <w:rPr>
                <w:sz w:val="20"/>
                <w:szCs w:val="20"/>
                <w:color w:val="auto"/>
              </w:rPr>
            </w:pPr>
            <w:r>
              <w:rPr>
                <w:rFonts w:ascii="Times New Roman" w:cs="Times New Roman" w:eastAsia="Times New Roman" w:hAnsi="Times New Roman"/>
                <w:sz w:val="12"/>
                <w:szCs w:val="12"/>
                <w:color w:val="0000FF"/>
              </w:rPr>
              <w:t>0</w:t>
            </w: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to buy)</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ind w:left="120"/>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8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4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0.001</w:t>
            </w:r>
          </w:p>
        </w:tc>
        <w:tc>
          <w:tcPr>
            <w:tcW w:w="94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11/03/2025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4"/>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3,222,997</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85"/>
              </w:rPr>
              <w:t>(3)</w:t>
            </w:r>
          </w:p>
        </w:tc>
        <w:tc>
          <w:tcPr>
            <w:tcW w:w="54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4"/>
          </w:tcPr>
          <w:p>
            <w:pPr>
              <w:ind w:left="60"/>
              <w:spacing w:after="0" w:line="186" w:lineRule="exact"/>
              <w:rPr>
                <w:sz w:val="20"/>
                <w:szCs w:val="20"/>
                <w:color w:val="auto"/>
              </w:rPr>
            </w:pPr>
            <w:r>
              <w:rPr>
                <w:rFonts w:ascii="Times New Roman" w:cs="Times New Roman" w:eastAsia="Times New Roman" w:hAnsi="Times New Roman"/>
                <w:sz w:val="15"/>
                <w:szCs w:val="15"/>
                <w:color w:val="0000FF"/>
                <w:w w:val="96"/>
              </w:rPr>
              <w:t>3,222,997</w:t>
            </w:r>
            <w:r>
              <w:rPr>
                <w:rFonts w:ascii="Times New Roman" w:cs="Times New Roman" w:eastAsia="Times New Roman" w:hAnsi="Times New Roman"/>
                <w:sz w:val="19"/>
                <w:szCs w:val="19"/>
                <w:color w:val="008000"/>
                <w:w w:val="96"/>
                <w:vertAlign w:val="superscript"/>
              </w:rPr>
              <w:t>(3)</w:t>
            </w:r>
          </w:p>
        </w:tc>
        <w:tc>
          <w:tcPr>
            <w:tcW w:w="680" w:type="dxa"/>
            <w:vAlign w:val="bottom"/>
            <w:gridSpan w:val="2"/>
          </w:tcPr>
          <w:p>
            <w:pPr>
              <w:jc w:val="center"/>
              <w:ind w:right="27"/>
              <w:spacing w:after="0" w:line="18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3.157</w:t>
            </w:r>
            <w:r>
              <w:rPr>
                <w:rFonts w:ascii="Times New Roman" w:cs="Times New Roman" w:eastAsia="Times New Roman" w:hAnsi="Times New Roman"/>
                <w:sz w:val="19"/>
                <w:szCs w:val="19"/>
                <w:color w:val="008000"/>
                <w:vertAlign w:val="superscript"/>
              </w:rPr>
              <w:t>(3)</w:t>
            </w:r>
          </w:p>
        </w:tc>
        <w:tc>
          <w:tcPr>
            <w:tcW w:w="860" w:type="dxa"/>
            <w:vAlign w:val="bottom"/>
            <w:gridSpan w:val="2"/>
          </w:tcPr>
          <w:p>
            <w:pPr>
              <w:jc w:val="right"/>
              <w:ind w:right="166"/>
              <w:spacing w:after="0"/>
              <w:rPr>
                <w:sz w:val="20"/>
                <w:szCs w:val="20"/>
                <w:color w:val="auto"/>
              </w:rPr>
            </w:pPr>
            <w:r>
              <w:rPr>
                <w:rFonts w:ascii="Times New Roman" w:cs="Times New Roman" w:eastAsia="Times New Roman" w:hAnsi="Times New Roman"/>
                <w:sz w:val="12"/>
                <w:szCs w:val="12"/>
                <w:color w:val="0000FF"/>
              </w:rPr>
              <w:t>3,222,997</w:t>
            </w:r>
          </w:p>
        </w:tc>
        <w:tc>
          <w:tcPr>
            <w:tcW w:w="520" w:type="dxa"/>
            <w:vAlign w:val="bottom"/>
          </w:tcPr>
          <w:p>
            <w:pPr>
              <w:jc w:val="right"/>
              <w:ind w:right="67"/>
              <w:spacing w:after="0" w:line="187" w:lineRule="exact"/>
              <w:rPr>
                <w:sz w:val="20"/>
                <w:szCs w:val="20"/>
                <w:color w:val="auto"/>
              </w:rPr>
            </w:pPr>
            <w:r>
              <w:rPr>
                <w:rFonts w:ascii="Times New Roman" w:cs="Times New Roman" w:eastAsia="Times New Roman" w:hAnsi="Times New Roman"/>
                <w:sz w:val="21"/>
                <w:szCs w:val="21"/>
                <w:color w:val="0000FF"/>
                <w:vertAlign w:val="subscript"/>
              </w:rPr>
              <w:t>D</w:t>
            </w:r>
            <w:r>
              <w:rPr>
                <w:rFonts w:ascii="Times New Roman" w:cs="Times New Roman" w:eastAsia="Times New Roman" w:hAnsi="Times New Roman"/>
                <w:sz w:val="9"/>
                <w:szCs w:val="9"/>
                <w:color w:val="008000"/>
              </w:rPr>
              <w:t>(2)</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680" w:type="dxa"/>
            <w:vAlign w:val="bottom"/>
            <w:gridSpan w:val="3"/>
          </w:tcPr>
          <w:p>
            <w:pPr>
              <w:ind w:left="60"/>
              <w:spacing w:after="0" w:line="71" w:lineRule="exact"/>
              <w:rPr>
                <w:sz w:val="20"/>
                <w:szCs w:val="20"/>
                <w:color w:val="auto"/>
              </w:rPr>
            </w:pPr>
            <w:r>
              <w:rPr>
                <w:rFonts w:ascii="Times New Roman" w:cs="Times New Roman" w:eastAsia="Times New Roman" w:hAnsi="Times New Roman"/>
                <w:sz w:val="8"/>
                <w:szCs w:val="8"/>
                <w:color w:val="0000FF"/>
              </w:rPr>
              <w:t>(right to</w:t>
            </w: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ind w:left="120"/>
              <w:spacing w:after="0" w:line="71" w:lineRule="exact"/>
              <w:rPr>
                <w:sz w:val="20"/>
                <w:szCs w:val="20"/>
                <w:color w:val="auto"/>
              </w:rPr>
            </w:pPr>
            <w:r>
              <w:rPr>
                <w:rFonts w:ascii="Times New Roman" w:cs="Times New Roman" w:eastAsia="Times New Roman" w:hAnsi="Times New Roman"/>
                <w:sz w:val="8"/>
                <w:szCs w:val="8"/>
                <w:color w:val="0000FF"/>
              </w:rPr>
              <w:t>Stock</w:t>
            </w: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360" w:type="dxa"/>
            <w:vAlign w:val="bottom"/>
            <w:gridSpan w:val="7"/>
          </w:tcPr>
          <w:p>
            <w:pPr>
              <w:ind w:left="60"/>
              <w:spacing w:after="0" w:line="206"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spacing w:after="0" w:line="19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RSLGH, LLC</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1000" w:type="dxa"/>
            <w:vAlign w:val="bottom"/>
          </w:tcPr>
          <w:p>
            <w:pPr>
              <w:ind w:left="54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325 W. HURON STREET</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SUITE 700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0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CHICAGO</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IL</w:t>
            </w:r>
          </w:p>
        </w:tc>
        <w:tc>
          <w:tcPr>
            <w:tcW w:w="10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60654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tcPr>
          <w:p>
            <w:pPr>
              <w:ind w:left="54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gridSpan w:val="7"/>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5"/>
          </w:tcPr>
          <w:p>
            <w:pPr>
              <w:spacing w:after="0" w:line="199"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Green Thumb Industries Inc.</w:t>
              </w:r>
            </w:hyperlink>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940" w:type="dxa"/>
            <w:vAlign w:val="bottom"/>
            <w:tcBorders>
              <w:top w:val="single" w:sz="8" w:color="0000EE"/>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1000" w:type="dxa"/>
            <w:vAlign w:val="bottom"/>
          </w:tcPr>
          <w:p>
            <w:pPr>
              <w:ind w:left="54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325 WEST HURON STREET</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SUITE 700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0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CHICAGO</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IL</w:t>
            </w:r>
          </w:p>
        </w:tc>
        <w:tc>
          <w:tcPr>
            <w:tcW w:w="10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60654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tcPr>
          <w:p>
            <w:pPr>
              <w:ind w:left="54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-4874260</wp:posOffset>
            </wp:positionV>
            <wp:extent cx="27305" cy="1787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305" cy="178752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0"/>
          <w:szCs w:val="20"/>
          <w:color w:val="auto"/>
        </w:rPr>
      </w:pPr>
    </w:p>
    <w:p>
      <w:pPr>
        <w:ind w:left="20" w:right="280" w:firstLine="9"/>
        <w:spacing w:after="0" w:line="236"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conversion of the Convertible Note issued to RSLGH, LLC ("RSLGH") on November 5, 2024 with a maturity date of November 5, 2025 (the "November 2024 Note") into Pre-Funded Warrants. The November 2024 Note was convertible into shares of the Issuer's common stock at a conversion price of $3.158 per share or, at the option of RSLGH, into Pre-Funded Warrants for shares of common stock exercisable at $0.001 per share at a conversion price of $3.157 per warrant.</w:t>
      </w:r>
    </w:p>
    <w:p>
      <w:pPr>
        <w:spacing w:after="0" w:line="26" w:lineRule="exact"/>
        <w:rPr>
          <w:rFonts w:ascii="Times New Roman" w:cs="Times New Roman" w:eastAsia="Times New Roman" w:hAnsi="Times New Roman"/>
          <w:sz w:val="12"/>
          <w:szCs w:val="12"/>
          <w:color w:val="008000"/>
        </w:rPr>
      </w:pPr>
    </w:p>
    <w:p>
      <w:pPr>
        <w:jc w:val="both"/>
        <w:ind w:left="20" w:right="420" w:firstLine="9"/>
        <w:spacing w:after="0" w:line="236"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RSLGH was the direct beneficial owner of the November 2024 Note and is the direct beneficial owner of the Pre-Funded Warrants. RSLGH is an indirectly, wholly- 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RSLGH.</w:t>
      </w:r>
    </w:p>
    <w:p>
      <w:pPr>
        <w:spacing w:after="0" w:line="26" w:lineRule="exact"/>
        <w:rPr>
          <w:rFonts w:ascii="Times New Roman" w:cs="Times New Roman" w:eastAsia="Times New Roman" w:hAnsi="Times New Roman"/>
          <w:sz w:val="12"/>
          <w:szCs w:val="12"/>
          <w:color w:val="008000"/>
        </w:rPr>
      </w:pPr>
    </w:p>
    <w:p>
      <w:pPr>
        <w:ind w:left="20" w:right="300" w:firstLine="9"/>
        <w:spacing w:after="0" w:line="236"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Pre-Funded Warrants issued upon conversion of the November 2024 Note, with the number of Pre-Funded Warrants determined pursuant to the terms of the November 2024 Note, by dividing the $10,000,000 of outstanding principal and $175,000 of accrued but unpaid interest as of November 3, 2025 by the warrant conversion price of $3.157. The Pre-Funded Warrants are subject to a 49.99% beneficial ownership limitation with exercise also subject to stockholder approval under the applicable Nasdaq listing rules, to the extent required.</w:t>
      </w:r>
    </w:p>
    <w:p>
      <w:pPr>
        <w:spacing w:after="0" w:line="4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Green Thumb Industries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12801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5"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5"/>
          <w:szCs w:val="15"/>
          <w:color w:val="0000FF"/>
        </w:rPr>
        <w:t>/s/ Bret Kravitz, Corporate</w:t>
      </w:r>
      <w:r>
        <w:rPr>
          <w:sz w:val="20"/>
          <w:szCs w:val="20"/>
          <w:color w:val="auto"/>
        </w:rPr>
        <w:tab/>
      </w:r>
      <w:r>
        <w:rPr>
          <w:rFonts w:ascii="Times New Roman" w:cs="Times New Roman" w:eastAsia="Times New Roman" w:hAnsi="Times New Roman"/>
          <w:sz w:val="14"/>
          <w:szCs w:val="14"/>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-11430</wp:posOffset>
            </wp:positionV>
            <wp:extent cx="18338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338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-11430</wp:posOffset>
            </wp:positionV>
            <wp:extent cx="3651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65125" cy="7620"/>
                    </a:xfrm>
                    <a:prstGeom prst="rect">
                      <a:avLst/>
                    </a:prstGeom>
                    <a:noFill/>
                  </pic:spPr>
                </pic:pic>
              </a:graphicData>
            </a:graphic>
          </wp:anchor>
        </w:drawing>
      </w:r>
    </w:p>
    <w:p>
      <w:pPr>
        <w:ind w:left="6600"/>
        <w:spacing w:after="0" w:line="183" w:lineRule="auto"/>
        <w:rPr>
          <w:sz w:val="20"/>
          <w:szCs w:val="20"/>
          <w:color w:val="auto"/>
        </w:rPr>
      </w:pPr>
      <w:r>
        <w:rPr>
          <w:rFonts w:ascii="Times New Roman" w:cs="Times New Roman" w:eastAsia="Times New Roman" w:hAnsi="Times New Roman"/>
          <w:sz w:val="15"/>
          <w:szCs w:val="15"/>
          <w:color w:val="0000FF"/>
        </w:rPr>
        <w:t xml:space="preserve">RSLGH, LLC By: /s/ Bret Kravitz, </w:t>
      </w:r>
      <w:r>
        <w:rPr>
          <w:rFonts w:ascii="Times New Roman" w:cs="Times New Roman" w:eastAsia="Times New Roman" w:hAnsi="Times New Roman"/>
          <w:sz w:val="29"/>
          <w:szCs w:val="29"/>
          <w:color w:val="0000FF"/>
          <w:vertAlign w:val="subscript"/>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1355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-15240</wp:posOffset>
            </wp:positionV>
            <wp:extent cx="7753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7533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-74930</wp:posOffset>
            </wp:positionV>
            <wp:extent cx="4368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36880" cy="7620"/>
                    </a:xfrm>
                    <a:prstGeom prst="rect">
                      <a:avLst/>
                    </a:prstGeom>
                    <a:noFill/>
                  </pic:spPr>
                </pic:pic>
              </a:graphicData>
            </a:graphic>
          </wp:anchor>
        </w:drawing>
      </w:r>
    </w:p>
    <w:p>
      <w:pPr>
        <w:sectPr>
          <w:pgSz w:w="11900" w:h="16895" w:orient="portrait"/>
          <w:cols w:equalWidth="0" w:num="1">
            <w:col w:w="11080"/>
          </w:cols>
          <w:pgMar w:left="460" w:top="210" w:right="359" w:bottom="0" w:gutter="0" w:footer="0" w:header="0"/>
          <w:type w:val="continuous"/>
        </w:sectPr>
      </w:pPr>
    </w:p>
    <w:bookmarkStart w:id="1" w:name="page2"/>
    <w:bookmarkEnd w:id="1"/>
    <w:p>
      <w:pPr>
        <w:jc w:val="right"/>
        <w:ind w:right="959"/>
        <w:spacing w:after="0"/>
        <w:tabs>
          <w:tab w:leader="none" w:pos="22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right="3219" w:firstLine="9"/>
        <w:spacing w:after="0" w:line="331" w:lineRule="auto"/>
        <w:tabs>
          <w:tab w:leader="none" w:pos="12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2025-11-04T14:46:50Z</dcterms:created>
  <dcterms:modified xsi:type="dcterms:W3CDTF">2025-11-04T14:46:50Z</dcterms:modified>
</cp:coreProperties>
</file>