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07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074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44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Varier Krishnan</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2"/>
                <w:szCs w:val="12"/>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6,839</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center"/>
              <w:ind w:left="91"/>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7,936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20"/>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25.6905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5,836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5,836</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3800" w:type="dxa"/>
            <w:vAlign w:val="bottom"/>
            <w:tcBorders>
              <w:bottom w:val="single" w:sz="8" w:color="2C2C2C"/>
            </w:tcBorders>
            <w:gridSpan w:val="8"/>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6"/>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ind w:left="11"/>
              <w:spacing w:after="0"/>
              <w:rPr>
                <w:sz w:val="20"/>
                <w:szCs w:val="20"/>
                <w:color w:val="auto"/>
              </w:rPr>
            </w:pPr>
            <w:r>
              <w:rPr>
                <w:rFonts w:ascii="Times New Roman" w:cs="Times New Roman" w:eastAsia="Times New Roman" w:hAnsi="Times New Roman"/>
                <w:sz w:val="17"/>
                <w:szCs w:val="17"/>
                <w:color w:val="0000FF"/>
                <w:w w:val="93"/>
              </w:rPr>
              <w:t>18</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1"/>
              </w:rPr>
              <w:t>18</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2,764</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2,764</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4,057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4,057</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-2868295</wp:posOffset>
            </wp:positionV>
            <wp:extent cx="29210" cy="2873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73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May 23, 2025.</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$25.50 to $25.70,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 restricted stock units on July 14, 2022, 2,764 restricted stock units on November 28, 2023, and 4,057 restricted stock units on April 24, 2024, in each case under the Agrify Corporation 2022 Omnibus Equity Incentive Plan. All of the restricted stock units settled on May 23, 2025.</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Krishnan Varier</w:t>
            </w:r>
          </w:p>
        </w:tc>
        <w:tc>
          <w:tcPr>
            <w:tcW w:w="9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05/28/2025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25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2025-05-28T17:43:27Z</dcterms:created>
  <dcterms:modified xsi:type="dcterms:W3CDTF">2025-05-28T17:43:27Z</dcterms:modified>
</cp:coreProperties>
</file>