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March 5, 2024</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AGRIFY CORPORATION</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440" w:type="dxa"/>
            <w:vAlign w:val="bottom"/>
            <w:gridSpan w:val="3"/>
          </w:tcPr>
          <w:p>
            <w:pPr>
              <w:jc w:val="center"/>
              <w:ind w:right="70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3000" w:type="dxa"/>
            <w:vAlign w:val="bottom"/>
            <w:gridSpan w:val="3"/>
          </w:tcPr>
          <w:p>
            <w:pPr>
              <w:jc w:val="right"/>
              <w:ind w:right="1420"/>
              <w:spacing w:after="0"/>
              <w:rPr>
                <w:sz w:val="20"/>
                <w:szCs w:val="20"/>
                <w:color w:val="auto"/>
              </w:rPr>
            </w:pPr>
            <w:r>
              <w:rPr>
                <w:rFonts w:ascii="Times New Roman" w:cs="Times New Roman" w:eastAsia="Times New Roman" w:hAnsi="Times New Roman"/>
                <w:sz w:val="18"/>
                <w:szCs w:val="18"/>
                <w:b w:val="1"/>
                <w:bCs w:val="1"/>
                <w:color w:val="auto"/>
              </w:rPr>
              <w:t>001-39946</w:t>
            </w:r>
          </w:p>
        </w:tc>
        <w:tc>
          <w:tcPr>
            <w:tcW w:w="100" w:type="dxa"/>
            <w:vAlign w:val="bottom"/>
          </w:tcPr>
          <w:p>
            <w:pPr>
              <w:spacing w:after="0"/>
              <w:rPr>
                <w:sz w:val="21"/>
                <w:szCs w:val="21"/>
                <w:color w:val="auto"/>
              </w:rPr>
            </w:pPr>
          </w:p>
        </w:tc>
        <w:tc>
          <w:tcPr>
            <w:tcW w:w="3700" w:type="dxa"/>
            <w:vAlign w:val="bottom"/>
          </w:tcPr>
          <w:p>
            <w:pPr>
              <w:jc w:val="right"/>
              <w:ind w:right="1330"/>
              <w:spacing w:after="0"/>
              <w:rPr>
                <w:sz w:val="20"/>
                <w:szCs w:val="20"/>
                <w:color w:val="auto"/>
              </w:rPr>
            </w:pPr>
            <w:r>
              <w:rPr>
                <w:rFonts w:ascii="Times New Roman" w:cs="Times New Roman" w:eastAsia="Times New Roman" w:hAnsi="Times New Roman"/>
                <w:sz w:val="18"/>
                <w:szCs w:val="18"/>
                <w:b w:val="1"/>
                <w:bCs w:val="1"/>
                <w:color w:val="auto"/>
              </w:rPr>
              <w:t>30-0943453</w:t>
            </w:r>
          </w:p>
        </w:tc>
      </w:tr>
      <w:tr>
        <w:trPr>
          <w:trHeight w:val="198"/>
        </w:trPr>
        <w:tc>
          <w:tcPr>
            <w:tcW w:w="3720" w:type="dxa"/>
            <w:vAlign w:val="bottom"/>
            <w:tcBorders>
              <w:top w:val="single" w:sz="8" w:color="auto"/>
            </w:tcBorders>
          </w:tcPr>
          <w:p>
            <w:pPr>
              <w:ind w:left="900"/>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12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3000" w:type="dxa"/>
            <w:vAlign w:val="bottom"/>
            <w:tcBorders>
              <w:top w:val="single" w:sz="8" w:color="auto"/>
            </w:tcBorders>
            <w:gridSpan w:val="3"/>
          </w:tcPr>
          <w:p>
            <w:pPr>
              <w:jc w:val="center"/>
              <w:ind w:right="600"/>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100" w:type="dxa"/>
            <w:vAlign w:val="bottom"/>
          </w:tcPr>
          <w:p>
            <w:pPr>
              <w:spacing w:after="0"/>
              <w:rPr>
                <w:sz w:val="17"/>
                <w:szCs w:val="17"/>
                <w:color w:val="auto"/>
              </w:rPr>
            </w:pPr>
          </w:p>
        </w:tc>
        <w:tc>
          <w:tcPr>
            <w:tcW w:w="37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440" w:type="dxa"/>
            <w:vAlign w:val="bottom"/>
            <w:gridSpan w:val="3"/>
          </w:tcPr>
          <w:p>
            <w:pPr>
              <w:jc w:val="center"/>
              <w:ind w:right="70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4440" w:type="dxa"/>
            <w:vAlign w:val="bottom"/>
            <w:gridSpan w:val="3"/>
          </w:tcPr>
          <w:p>
            <w:pPr>
              <w:jc w:val="center"/>
              <w:ind w:left="1110"/>
              <w:spacing w:after="0"/>
              <w:rPr>
                <w:sz w:val="20"/>
                <w:szCs w:val="20"/>
                <w:color w:val="auto"/>
              </w:rPr>
            </w:pPr>
            <w:r>
              <w:rPr>
                <w:rFonts w:ascii="Times New Roman" w:cs="Times New Roman" w:eastAsia="Times New Roman" w:hAnsi="Times New Roman"/>
                <w:sz w:val="18"/>
                <w:szCs w:val="18"/>
                <w:b w:val="1"/>
                <w:bCs w:val="1"/>
                <w:color w:val="auto"/>
                <w:w w:val="98"/>
              </w:rPr>
              <w:t>2468 Industrial Row Dr.</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245"/>
        </w:trPr>
        <w:tc>
          <w:tcPr>
            <w:tcW w:w="4440" w:type="dxa"/>
            <w:vAlign w:val="bottom"/>
            <w:tcBorders>
              <w:bottom w:val="single" w:sz="8" w:color="auto"/>
            </w:tcBorders>
            <w:gridSpan w:val="3"/>
          </w:tcPr>
          <w:p>
            <w:pPr>
              <w:jc w:val="center"/>
              <w:ind w:left="1110"/>
              <w:spacing w:after="0"/>
              <w:rPr>
                <w:sz w:val="20"/>
                <w:szCs w:val="20"/>
                <w:color w:val="auto"/>
              </w:rPr>
            </w:pPr>
            <w:r>
              <w:rPr>
                <w:rFonts w:ascii="Times New Roman" w:cs="Times New Roman" w:eastAsia="Times New Roman" w:hAnsi="Times New Roman"/>
                <w:sz w:val="18"/>
                <w:szCs w:val="18"/>
                <w:b w:val="1"/>
                <w:bCs w:val="1"/>
                <w:color w:val="auto"/>
                <w:w w:val="95"/>
              </w:rPr>
              <w:t>Troy, MI</w:t>
            </w:r>
          </w:p>
        </w:tc>
        <w:tc>
          <w:tcPr>
            <w:tcW w:w="12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70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48084</w:t>
            </w:r>
          </w:p>
        </w:tc>
      </w:tr>
      <w:tr>
        <w:trPr>
          <w:trHeight w:val="234"/>
        </w:trPr>
        <w:tc>
          <w:tcPr>
            <w:tcW w:w="4440" w:type="dxa"/>
            <w:vAlign w:val="bottom"/>
            <w:gridSpan w:val="3"/>
          </w:tcPr>
          <w:p>
            <w:pPr>
              <w:jc w:val="center"/>
              <w:ind w:left="113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00" w:type="dxa"/>
            <w:vAlign w:val="bottom"/>
          </w:tcPr>
          <w:p>
            <w:pPr>
              <w:jc w:val="center"/>
              <w:ind w:right="16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(617) 896-5243</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20" w:hanging="331"/>
        <w:spacing w:after="0"/>
        <w:tabs>
          <w:tab w:leader="none" w:pos="42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20" w:hanging="331"/>
        <w:spacing w:after="0"/>
        <w:tabs>
          <w:tab w:leader="none" w:pos="42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00" w:hanging="325"/>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00" w:firstLine="75"/>
        <w:spacing w:after="0" w:line="498" w:lineRule="auto"/>
        <w:tabs>
          <w:tab w:leader="none" w:pos="391"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AGFY</w:t>
            </w:r>
          </w:p>
        </w:tc>
        <w:tc>
          <w:tcPr>
            <w:tcW w:w="1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The Nasdaq Capital Market</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3.01 Notice of Delisting or Failure to Satisfy a Continued Listing Rule or Standard; Transfer of Listing.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5, 2024, Agrify Corporation (the “Company”) received a deficiency letter (the “Notice”) from the Listing Qualifications Department (the “Staff”) of The Nasdaq Stock Market, LLC (“Nasdaq”) notifying the Company that, for the last 30 consecutive business days, the bid price for the Company’s common stock had closed below $1.00 per share, which is the minimum closing price required to maintain continued listing on the Nasdaq Stock Market under Nasdaq Listing Rule 5550(a)(2) (the “Minimum Bid Requirement”).</w:t>
      </w:r>
    </w:p>
    <w:p>
      <w:pPr>
        <w:spacing w:after="0" w:line="180" w:lineRule="exact"/>
        <w:rPr>
          <w:sz w:val="20"/>
          <w:szCs w:val="20"/>
          <w:color w:val="auto"/>
        </w:rPr>
      </w:pPr>
    </w:p>
    <w:p>
      <w:pPr>
        <w:jc w:val="both"/>
        <w:ind w:right="40"/>
        <w:spacing w:after="0" w:line="257" w:lineRule="auto"/>
        <w:rPr>
          <w:sz w:val="20"/>
          <w:szCs w:val="20"/>
          <w:color w:val="auto"/>
        </w:rPr>
      </w:pPr>
      <w:r>
        <w:rPr>
          <w:rFonts w:ascii="Times New Roman" w:cs="Times New Roman" w:eastAsia="Times New Roman" w:hAnsi="Times New Roman"/>
          <w:sz w:val="18"/>
          <w:szCs w:val="18"/>
          <w:color w:val="auto"/>
        </w:rPr>
        <w:t>The Notice has no immediate effect on the listing of the Company’s common stock on Nasdaq. In accordance with Nasdaq Listing Rule 5810(c)(3)(A), the Company has 180 calendar days to regain compliance with the Minimum Bid Requirement. To regain compliance with the Minimum Bid Requirement, the closing bid price of the Company’s common stock must be at least $1.00 per share for a minimum of 10 consecutive trading days during this 180-</w:t>
      </w:r>
    </w:p>
    <w:p>
      <w:pPr>
        <w:spacing w:after="0" w:line="1"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day compliance period, unless the Staff exercises its discretion to extend this period pursuant to Nasdaq Listing Rule 5810(c)(3)(H). The compliance period for the Company will expire on September 3, 2024.</w:t>
      </w:r>
    </w:p>
    <w:p>
      <w:pPr>
        <w:spacing w:after="0" w:line="18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In the event that the Company does not regain compliance within the 180-day compliance period, the Company may be eligible for an additional 180 calendar day compliance period. To qualify, the Company would be required to meet the continued listing requirement for market value of publicly held shares and all other initial listing standards for Nasdaq, with the exception of the Minimum Bid Requirement, and provide written notice to the Staff of its intention to cure the deficiency during the second compliance period, by effecting a reverse stock split, if necessary. However, if it appears to the Staff that the Company will not be able to cure the deficiency, or if the Company does not meet the other listing standards, the Staff could provide notice that the Company’s common stock will become subject to delisting. In the event the Company receives notice that its common stock is being delisted, the Nasdaq Listing Rules permit the Company to appeal any such delisting determination by the Staff to a Hearings Panel.</w:t>
      </w:r>
    </w:p>
    <w:p>
      <w:pPr>
        <w:spacing w:after="0" w:line="18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Company intends to actively monitor the closing bid price of its common stock and is evaluating available options to regain compliance with the Minimum Bid Requirement. There can be no assurance that the Company will be able to regain compliance with the Minimum Bid Requirement or that the Company will otherwise remain in compliance with the other listing standards for Nasdaq.</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120" w:type="dxa"/>
            <w:vAlign w:val="bottom"/>
          </w:tcPr>
          <w:p>
            <w:pPr>
              <w:spacing w:after="0"/>
              <w:rPr>
                <w:sz w:val="20"/>
                <w:szCs w:val="20"/>
                <w:color w:val="auto"/>
              </w:rPr>
            </w:pPr>
          </w:p>
        </w:tc>
        <w:tc>
          <w:tcPr>
            <w:tcW w:w="9760" w:type="dxa"/>
            <w:vAlign w:val="bottom"/>
          </w:tcPr>
          <w:p>
            <w:pPr>
              <w:spacing w:after="0"/>
              <w:rPr>
                <w:sz w:val="20"/>
                <w:szCs w:val="20"/>
                <w:color w:val="auto"/>
              </w:rPr>
            </w:pPr>
          </w:p>
        </w:tc>
      </w:tr>
      <w:tr>
        <w:trPr>
          <w:trHeight w:val="459"/>
        </w:trPr>
        <w:tc>
          <w:tcPr>
            <w:tcW w:w="1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20" w:type="dxa"/>
            <w:vAlign w:val="bottom"/>
          </w:tcPr>
          <w:p>
            <w:pPr>
              <w:spacing w:after="0"/>
              <w:rPr>
                <w:sz w:val="24"/>
                <w:szCs w:val="24"/>
                <w:color w:val="auto"/>
              </w:rPr>
            </w:pPr>
          </w:p>
        </w:tc>
        <w:tc>
          <w:tcPr>
            <w:tcW w:w="9760" w:type="dxa"/>
            <w:vAlign w:val="bottom"/>
            <w:tcBorders>
              <w:bottom w:val="single" w:sz="8" w:color="auto"/>
            </w:tcBorders>
          </w:tcPr>
          <w:p>
            <w:pPr>
              <w:ind w:left="44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10"/>
        </w:trPr>
        <w:tc>
          <w:tcPr>
            <w:tcW w:w="1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Borders>
              <w:top w:val="single" w:sz="8" w:color="CCEEFF"/>
            </w:tcBorders>
            <w:shd w:val="clear" w:color="auto" w:fill="CCEEFF"/>
          </w:tcPr>
          <w:p>
            <w:pPr>
              <w:spacing w:after="0"/>
              <w:rPr>
                <w:sz w:val="18"/>
                <w:szCs w:val="18"/>
                <w:color w:val="auto"/>
              </w:rPr>
            </w:pPr>
          </w:p>
        </w:tc>
        <w:tc>
          <w:tcPr>
            <w:tcW w:w="97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331"/>
        </w:trPr>
        <w:tc>
          <w:tcPr>
            <w:tcW w:w="1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7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2"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9" w:lineRule="exact"/>
        <w:rPr>
          <w:sz w:val="20"/>
          <w:szCs w:val="20"/>
          <w:color w:val="auto"/>
        </w:rPr>
      </w:pPr>
    </w:p>
    <w:p>
      <w:pPr>
        <w:spacing w:after="0"/>
        <w:tabs>
          <w:tab w:leader="none" w:pos="6400" w:val="left"/>
          <w:tab w:leader="none" w:pos="7180" w:val="left"/>
        </w:tabs>
        <w:rPr>
          <w:sz w:val="20"/>
          <w:szCs w:val="20"/>
          <w:color w:val="auto"/>
        </w:rPr>
      </w:pPr>
      <w:r>
        <w:rPr>
          <w:rFonts w:ascii="Times New Roman" w:cs="Times New Roman" w:eastAsia="Times New Roman" w:hAnsi="Times New Roman"/>
          <w:sz w:val="18"/>
          <w:szCs w:val="18"/>
          <w:color w:val="auto"/>
        </w:rPr>
        <w:t>Date: March 6,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Raymond Nobu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Raymond Nobu Chang</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79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lvl w:ilvl="1">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2024-03-06T15:38:48Z</dcterms:created>
  <dcterms:modified xsi:type="dcterms:W3CDTF">2024-03-06T15:38:48Z</dcterms:modified>
</cp:coreProperties>
</file>