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00" w:right="940" w:hanging="2559"/>
        <w:spacing w:after="0" w:line="500" w:lineRule="auto"/>
        <w:tabs>
          <w:tab w:leader="none" w:pos="113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139700</wp:posOffset>
            </wp:positionV>
            <wp:extent cx="1440180" cy="1268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5520" w:type="dxa"/>
            <w:vAlign w:val="bottom"/>
            <w:tcBorders>
              <w:top w:val="single" w:sz="8" w:color="auto"/>
            </w:tcBorders>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2220 Hicks Road Suite 210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Rolling Meadows, IL 60008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7"/>
              </w:rPr>
              <w:t>RYM</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2026, the registrant had 2,149,128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77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8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950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950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32,218</w:t>
            </w: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8,357</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9,317</w:t>
            </w: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Inventory, net</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prepaid license rights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associated with discontinued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51"/>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127,524</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106,677</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2,340</w:t>
            </w: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Accrued expenses and other current liabilities</w:t>
            </w:r>
            <w:r>
              <w:rPr>
                <w:rFonts w:ascii="Times New Roman" w:cs="Times New Roman" w:eastAsia="Times New Roman" w:hAnsi="Times New Roman"/>
                <w:sz w:val="29"/>
                <w:szCs w:val="29"/>
                <w:color w:val="auto"/>
                <w:vertAlign w:val="superscript"/>
              </w:rPr>
              <w:t>(4)</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5,724</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27,000</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90,357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42,960</w:t>
            </w:r>
          </w:p>
        </w:tc>
        <w:tc>
          <w:tcPr>
            <w:tcW w:w="100" w:type="dxa"/>
            <w:vAlign w:val="bottom"/>
            <w:tcBorders>
              <w:top w:val="single" w:sz="8" w:color="CCEEFF"/>
            </w:tcBorders>
          </w:tcPr>
          <w:p>
            <w:pPr>
              <w:spacing w:after="0"/>
              <w:rPr>
                <w:sz w:val="17"/>
                <w:szCs w:val="17"/>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9"/>
                <w:szCs w:val="29"/>
                <w:color w:val="auto"/>
                <w:vertAlign w:val="superscript"/>
              </w:rPr>
              <w:t>(5)</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90,949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93,657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shares authorized; 2,149,128 shares issued and outstanding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at March 31, 2026 and December 31, 2025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357,451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353,818</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(320,878)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(340,800)</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36,575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13,020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 million and $7.0 million from related parties as of March 31, 2026 and December 31, 2025,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$202 thousand and $392 thousand from a related party as of March 31, 2026 and December 31, 2025,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$522 thousand and $152 thousand due to related parties as of March 31, 2026 and December 31, 2025,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 million and $4.7 million due to related parties as of March 31, 2026 and December 31, 2025, respectively.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the number of outstanding warrants subject to liability classification was 40,017, of which 15,394 were held by RSLGH, LLC (“RSLGH”) a related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13,286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2,889</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14,431</w:t>
            </w:r>
          </w:p>
        </w:tc>
        <w:tc>
          <w:tcPr>
            <w:tcW w:w="3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14,431</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(4,034)</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Interest (expense) income, net</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(1,742)</w:t>
            </w:r>
          </w:p>
        </w:tc>
        <w:tc>
          <w:tcPr>
            <w:tcW w:w="340" w:type="dxa"/>
            <w:vAlign w:val="bottom"/>
          </w:tcPr>
          <w:p>
            <w:pPr>
              <w:spacing w:after="0"/>
              <w:rPr>
                <w:sz w:val="22"/>
                <w:szCs w:val="22"/>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25,593</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net of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 basic</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2,149,128</w:t>
            </w:r>
          </w:p>
        </w:tc>
        <w:tc>
          <w:tcPr>
            <w:tcW w:w="340" w:type="dxa"/>
            <w:vAlign w:val="bottom"/>
          </w:tcPr>
          <w:p>
            <w:pPr>
              <w:spacing w:after="0"/>
              <w:rPr>
                <w:sz w:val="24"/>
                <w:szCs w:val="24"/>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1,952,022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5,247,311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million for the three months ended March 31, 2026, and $80 thousand for the three months ended March 31, 2025, in each case from related parties.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 million for the three months ended March 31, 2026, and $1.4 million for the three months ended March 31, 2025, in each case from related parties.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 million of interest expense for the three months ended March 31, 2026, and $250 thousand for the three months ended March 31, 2025, in each case from a related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2300" w:type="dxa"/>
            <w:vAlign w:val="bottom"/>
            <w:tcBorders>
              <w:bottom w:val="single" w:sz="8" w:color="auto"/>
            </w:tcBorders>
            <w:gridSpan w:val="3"/>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1,952,032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Cancellation of common shares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non-controlling interests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(1,626)</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1,952,014</w:t>
            </w: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335,989</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(309,169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26,822</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2300" w:type="dxa"/>
            <w:vAlign w:val="bottom"/>
            <w:tcBorders>
              <w:bottom w:val="single" w:sz="8" w:color="auto"/>
            </w:tcBorders>
            <w:gridSpan w:val="3"/>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2,149,128</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353,818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payments on related party debt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payments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19,922</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2,149,128</w:t>
            </w: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357,451</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(320,878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36,575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tax benefit from release of valuation allowance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(25,593)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4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4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(742)</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4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w:t>
            </w:r>
          </w:p>
        </w:tc>
        <w:tc>
          <w:tcPr>
            <w:tcW w:w="4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provided by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used in financing activities continuing operations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32,218</w:t>
            </w:r>
          </w:p>
        </w:tc>
        <w:tc>
          <w:tcPr>
            <w:tcW w:w="4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31,170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end of period</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4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pre-funded warrants in lieu of related party cash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accounts payable to notes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RYTHM, Inc. (formerly Agrify Corporation) (together with its subsidiaries, the “Company” or “RYTHM”) delivers well-being to consumers through its portfolio of hemp-derived THC products and iconic licensed brands. The Company’s portfolio of consumer-packaged goods brands includes RYTHM, incredibles, Dogwalkers, Beboe, &amp;Shine, Doctor Solomon’s, Good Green and Señorita. The Señorita brand offers consumers hemp-derived 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in seventeen U.S. states and Canada including at top retailers such as Total Wine, ABC Fine Wine</w:t>
      </w:r>
    </w:p>
    <w:p>
      <w:pPr>
        <w:spacing w:after="0" w:line="5" w:lineRule="exact"/>
        <w:rPr>
          <w:sz w:val="20"/>
          <w:szCs w:val="20"/>
          <w:color w:val="auto"/>
        </w:rPr>
      </w:pPr>
    </w:p>
    <w:p>
      <w:pPr>
        <w:jc w:val="both"/>
        <w:ind w:firstLine="8"/>
        <w:spacing w:after="0" w:line="252" w:lineRule="auto"/>
        <w:tabs>
          <w:tab w:leader="none" w:pos="1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Spirits, and Binny’s. The RYTHM branded beverage comes in two fruit-driven flavors with effect-based ingredients. Both Señorita and RYTHM hemp-derived beverages are available at Chicago’s iconic United Center, based on a partnership announced in January 2026, establishing the Company as the venue’s official THC sponsor. Other hemp-derived products including incredibles and Beboe edible products are primarily sold online and through direct-to-retail partnerships. In addition to the sale of hemp-derived products (“Non-licensing Revenue”), the Company licenses its brands to be manufactured and distributed in exchange for a licensing fee (“Licensing Revenue”). Throughout these unaudited condensed consolidated financial statements, the terms “intellectual property”, “intellectual property rights”, “brands”, “trademarks”, “tradenames”, “brand rights” and “Prepaid License Rights” are used interchangeably.</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On August 27, 2025, the Company filed a Certificate of Amendment to the Articles of Incorporation of the Company with the Secretary of State of Nevada, to effect a change in the Company’s name from Agrify Corporation to RYTHM, Inc., effective as of September 2, 2025. In connection with the name change, the Company’s trading symbol on the Nasdaq Capital Market changed from “AGFY” to “RYM” effective as of the open of trading on September 2, 2025. The Company is sometimes referred to herein by the words “we,” “us,” “our,” and similar terminology.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thirteen wholly-owned consolidated subsidiaries, which are collectively referred to as the “Subsidiaries” and seven out of thirteen subsidiaries are related to discontinued operations.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LLC (“Double or Nothing”), the owner and creator of the Señorita brand of hemp-derived drinks as part of the Company’s strategic plan to reposition itself as a distributor of hemp-derived THC beverages and similar products.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31, 2024, the Company entered into an Asset Purchase Agreement (the “Purchase Agreement”) with CP Acquisitions, LLC (“CP”), an entity affiliated with Raymond Chang, the Company’s former Chairman and Chief Executive Officer. Under the Purchase Agreement, CP acquired assets</w:t>
      </w:r>
    </w:p>
    <w:p>
      <w:pPr>
        <w:jc w:val="both"/>
        <w:spacing w:after="0" w:line="234" w:lineRule="auto"/>
        <w:rPr>
          <w:sz w:val="20"/>
          <w:szCs w:val="20"/>
          <w:color w:val="auto"/>
        </w:rPr>
      </w:pPr>
      <w:r>
        <w:rPr>
          <w:rFonts w:ascii="Times New Roman" w:cs="Times New Roman" w:eastAsia="Times New Roman" w:hAnsi="Times New Roman"/>
          <w:sz w:val="18"/>
          <w:szCs w:val="18"/>
          <w:color w:val="auto"/>
        </w:rPr>
        <w:t>from the Company relating to the Company’s VFUs, including the related Agrify total-turnkey (“TTK”)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sale of the Cultivation Business occurred following signing on December 31, 2024. The results of the Cultivation Business are presented as discontinued operations in the Condensed Consolidated Statements of Operations and, as such, have been excluded from continuing operations. Further, the Company reclassified the assets and liabilities of the Cultivation Business associated with discontinued operations in the Condensed Consolidated Balance Sheets as of March 31, 2026 and December 31, 2025. For further discussion on the discontinued operations, refer to Note 6 included elsewhere in the notes to the unaudited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30, 2025, the Company approved the winding down of the Extraction Business by March 31, 2025, including but not limited to, the sale or other disposal of all remaining assets constituting the Extraction Business, the cessation of all business operations related to the Extraction Business, the termination of any outstanding contracts related to the Extraction Business, and termination of any employees primarily involved in the Extraction Business. The results of the Extraction Business are presented as discontinued operations in the Condensed Consolidated Statements of Operations and, as such, have been excluded from continuing operations. Further, the Company reclassified the assets and liabilities of the Extraction Business associated with discontinued operations in the Condensed Consolidated Balance Sheets as of March 31, 2026 and December 31, 2025. For further discussion on the discontinued operations, refer to Note 6 included elsewhere in the notes to the unaudited condensed consolidated financial statements.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20, 2025, the Company acquired from VCP IP Holdings, LLC (“VCP”) an indirect wholly-owned subsidiary of Green Thumb Industries Inc., a related party (“Green Thumb”), 100% of the equity interests of MC Brands, LLC pursuant to which the Company obtained rights relating to MC Brands, LLC and its wholly-owned subsidiary Core Growth LLC (together referred to as “MC Brands”). The assets of MC Brands consist primarily of intellectual property rights associated with the Incredibles brand. Concurrent with the transaction, the Company entered into a license agreement with GTI Core, LLC (“GTI Core”), an indirect subsidiary of Green Thumb, pursuant to which GTI Core was granted the right to use the incredibles brand in connection with its existing businesses. Consideration payable by GTI Core under the license agreement consists of a monthly license fee payable in cash. The Company began recognizing licensing revenue under this agreement in May 2025.</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27, 2025, the Company acquired from VCP23, LLC an indirect wholly-owned subsidiary of Green Thumb (“VCP23”), 100% of the equity interests of VCP pursuant to which the Company obtained rights relating to VCP. The assets of VCP, consist primarily of intellectual property rights to the RYTHM, Beboe, Dogwalkers, Doctor Solomon’s, &amp; Shine, and Good Green brands (these rights, together with the incredibles brand rights, referred to as “Brand Rights”). Concurrent with the transaction, the Company entered into a license agreement with GTI Core pursuant to which GTI Core was granted the right to use the Brand Rights in connection with its existing businesses. Consideration payable by GTI Core under the license agreement consists of a monthly license fee payable in cash. The Company began recognizing licensing revenue under this agreement in November 2025.</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31, 2026, the Company amended the license agreements with GTI Core described above to replace sales-based royalty consideration with fixed annual fees, effective April 1, 2026. Under the amended terms, the Company is entitled to aggregate fixed payments of $70 million per year, subject to annual escalation based on a 2x multiple of changes in the Consumer Price Index (“CPI”) beginning January 1, 2027, subject to a maximum year-over-year increase of 10%. The Company recognizes this revenue on a ratable basis over the license term as the customer receives continuous access to the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interim condensed consolidated financial statements of the Company are unaudited. In the opinion of management, all adjustments (consisting of normal recurring adjustments) and disclosures necessary for a fair presentation of these unaudited condensed consolidated financial statements have been included. The results reported in the unaudited condensed consolidated financial statements for any interim periods are not necessarily indicative of the results that may be reported for the entire year. The accompanying unaudited condensed consolidated financial statements have been prepared in accordance with the rules and regulations of the Securities and Exchange Commission (the “SEC”) and do not include all information and footnotes necessary for a complete presentation of financial statements in conformity with accounting principles generally accepted in the United States (“GAAP”).</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annual consolidated financial statements prepared in accordance with GAAP have been condensed or omitted. These unaudited interim condensed consolidated financial statements should be read in conjunction with the Company’s audited consolidated financial statements and notes thereto included in the Company’s Annual Report on Form 10-K for the year ended December 31, 2025 filed with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On an ongoing basis, the Company evaluates estimates, which include estimates related to accruals, stock-based compensation expense, reported amounts of revenues during the reported period, fair value of warrant liabilities, sales tax liabilities, valuation of deferred tax assets, net realizable value of inventory and collectability of trade accounts, intangible assets, other assets (Prepaid License Rights), goodwill, and litigation. Management bases their estimates on historical experience and other market-specific or other relevant assumptions that they believe to be reasonable under the circumstances. Actual results may differ materially from those estimates or assumptions.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evaluates its assets, including asset groups or reporting units, for impairment in accordance with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2024, the Company entered into and closed the Purchase Agreement with CP. Under the Purchase Agreement, CP acquired assets from the Company relating to the Cultivation Business. On March 30, 2025, the Company discontinued the Extraction Business (together with the Cultivation Business, the “Discontinued Operations”).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the sale of the Cultivation Business and the exit of the Extraction Business represented strategic shifts that will have a major effect on the Company’s operations and financial results, they have been presented in discontinued operations in accordance with Accounting Standards Codification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separate from continuing operations for the three months ended March 31, 2026 and 2025, in the Company’s consolidated statement of operations and applicable footnotes and as of March 31, 2026 and December 31, 2025, in the Company’s consolidated balance sheets, as applicable. For further discussion, refer to Note 6 included elsewhere in the notes to the unaudited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net, primarily consists of amounts for goods and services that are billed and currently due from customers. In accordance with the current expect credited loss (“CECL”) impairment model under Accounting Standards Update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326)</w:t>
      </w:r>
      <w:r>
        <w:rPr>
          <w:rFonts w:ascii="Times New Roman" w:cs="Times New Roman" w:eastAsia="Times New Roman" w:hAnsi="Times New Roman"/>
          <w:sz w:val="18"/>
          <w:szCs w:val="18"/>
          <w:color w:val="auto"/>
        </w:rPr>
        <w:t>, accounts receivable balances are presented net of an allowance for credit losses, which are an estimate of billed or borrowed amounts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unaudited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had one related party customer that accounted for 75% of the total revenue from continuing operations. For the three months ended March 31, 2025, the Company had four third-party customers that accounted for 10% or more of the total revenue from continuing operations. These customers represented between 10% and 26% of total revenue from continuing operations for the period.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related party customer accounted for 79% of accounts receivable. For the year ended December 31, 2025, a related party accounted for 75% of the Company’s total accounts receivable.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finished goods and raw materials, at the lower of cost or net realizable value, with cost principally determined by the weighted-average cost method. Write-offs of potentially slow-moving or damaged inventory are recorded through specific identification of obsolete or damaged material. The Company takes a physical inventory count at least once annually at all significant inventory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sustained decline in the Company’s stock price.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is not subject to amortization and is tested annually for impairment, or more frequently if events or changes in circumstances indicate there might be an impairment. An impaired asset is written down to its estimated fair value based upon the most recent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indicate the carrying value may not be recoverable. Examples include a significant adverse change in the extent or manner in which we use the asset, or an unexpected change in financial performance. When evaluating long-lived assets for impairment, we compare the carrying value of the asset to the asset’s estimated undiscounted future cash flows. An impairment is indicated if the estimated future cash flows are less than the carrying value of the asset. The impairment is the excess of the carrying value over the fair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including issued private placement stock purchase warrants, to determine if such instruments are derivatives or contain features that qualify as embedded derivatives, pursuant to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Issued or modified warrants that meet all of the criteria for equity classification are recorded as a component of additional paid-in capital at the time of issuance. Issued or modified warrants that are precluded from equity classification are recorded as a liability at their initial fair value on the date of issuance and subject to remeasurement on each balance sheet date with changes in the estimated fair value of the warrants to be recognized as an unrealized gain or loss in the unaudited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815. ASC 815 requires that the Company identify and record certain embedded conversion options, certain variable-share settlement features, and any related freestanding instruments at their fair values as of the inception date of the agreement and at fair value as of each subsequent balance sheet date. Any change in fair value is recorded as an unrealized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operating lease liabilities, long-term debt, related-party debt, and warrant liabilities. Refer to Note 4 - Fair Value Measures, included elsewhere in the notes to the unaudited condensed consolidated financial statements for details of the Company’s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restricted stock units and stock options awards granted to employees, directors and consultants based on the fair value on the date of the grant and recognizes compensation expense of those awards over the requisite service period, which is generally the vesting period of the respective award. Forfeitures are recognized as incurred. Historically, the Company has issued restricted stock units and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unaudited condensed consolidated statements of operations in the same manner in which the award recipient’s payroll costs are classified.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for determining the appropriate accounting treatment for asset acquisitions. ASU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provides an initial fair value screen to determine if substantially all of the fair value of the assets acquired is concentrated in a single asset or group of similar assets. If the initial screening test is not met, the set is considered a business based on whether there are inputs and substantive processes in place. Based on the results of this analysis and conclusion on an acquisition’s classification of a business combination or an asset acquisition, the accounting treatment is derived.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acquisition is deemed to be a business, the purchase method of accounting is applied. The estimated fair value of net assets acquired, including the allocation of the fair value to identifiable assets and liabilities, is determined using established valuation techniques. A fair value measurement is determined as the price received to sell an asset or pay to transfer a liability in an orderly transaction between market participants at the measurement date. In the context of purchase accounting, the determination of fair value often involves significant judgments and estimates by management, including the selection of valuation methodologies, estimates of future revenues, costs and cash flows, discount rates, and selection of comparable companies. The estimated fair values reflected in the purchase accounting rely on management’s judgment and the expertise of a third-party valuation firm engaged to assist in concluding on the fair value measurements. In determining the fair value of all identifiable assets and liabilities acquired, the most significant estimates relate to intangible assets. For the intangible assets identified, depending on the type of intangible asset and the complexity of determining its fair value, the fair value is developed using appropriate valuation techniques, taking into account assumptions such as the expected future revenue, expected use of the asset, market conditions, uncertainty factors, the estimated useful life, and discount rate, among other factors. These assumptions may vary based on future events, perceptions of different market participants and other factors outside the control of management, and such variations may be significant to estimated values.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transaction is deemed to be an asset acquisition, the cost accumulation and allocation model is used whereby the assets and liabilities are recorded based on the purchase price and allocated to the individual assets and liabilities based on relative fair values. For the allocation of intangible assets identified, depending on the type of intangible asset and the complexity of determining its relative fair value, an independent valuation expert or management may allocate the relative fair value, using appropriate valuation techniques, which are generally based on a forecast of the total expected future net cash flows and takes into consideration other significant assumptions such as the expected use, market uncertainty, marketing or sales support requirements and the intangible asset useful lives.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Prepaid License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sale arrangement includes terms—such as repurchase features or other provisions—that prevent the buyer from obtaining control of the business or assets, the Company concludes that control has not transferred. In those circumstances, the arrangement is accounted for based on its substance under other applicable GAAP. In connection with such arrangements, amounts paid for licensing rights are deferred and recorded as prepaid licensing rights on the Company’s unaudited condensed consolidated balance sheets. These amounts are recognized in expense over the period in which the related rights are utilized or otherwise as the underlying economic benefit is consumed.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generates revenue from continuing operations through the sale of hemp-derived THC products (non-licensing) and Licensing Revenue. The Company licenses intellectual property to a related party under arrangements that, prior to April 1, 2026, provided for sales-based royalties. Licensing revenue associated with these arrangements was recognized in accordance with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specifically, the sales-based royalty exception, through March 31, 2026.</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March 31, 2026, in accordance with ASC 606-10-55-65 through 55-65B, Licensing Revenue is recognized only when the underlying sale by the licensee occurs, and the performance obligation has otherwise been satisfied. This approach ensures that revenue is recognized in the period in which it is earned and determinable, consistent with the transfer of control of the intellectual property to the licensee.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April 1, 2026, the Company amended certain licensing agreements with subsidiaries of Green Thumb to replace sales-based royalty consideration with fixed annual fees. Under the amended terms, the Company is entitled to aggregate fixed payments of $70 million per year, subject to annual escalation based on a two times multiple of changes in the CPI beginning January 1, 2027, subject to a maximum year-over-year increase of 10%. The Company recognizes this revenue on a ratable basis over the license term as the licensees receive continuous access to the intellectual property.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ASC 606, the transaction price for these arrangements includes fixed consideration and variable consideration related to CPI-based adjustments. Per ASC 606, variable consideration is included in the transaction price only to the extent that it is probable that a significant reversal of cumulative revenue will not occur. As of March 31, 2026, CPI-based adjustments are considered constrained and are therefore excluded from the transaction price and will be recognized as revenue in the period in which the uncertainty is resolved.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Effective April 1, 2026, in accordance with ASC 606-10-50-13, the Company is required to include disclosure on its remaining performance obligations as of the end of the current reporting period. The Company excluded variable consideration related to CPI-based fee escalators from the total remaining performance obligations, as such amounts are not included in the transaction price due to the application of the constraint. The Company expects to recognize such variable consideration in the period in which the related uncertainty is resolved. Actual amounts and timing of revenue recognition may differ from these estimates due to contract modifications, CPI-based price increases, or the exercise of contractual repurchase rights by Green Thumb.</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ASC 606, revenue for hemp-derived THC products (non-licensing) is recognized through a five-step model, as outlined below:  </w:t>
      </w:r>
    </w:p>
    <w:p>
      <w:pPr>
        <w:spacing w:after="0" w:line="221" w:lineRule="exact"/>
        <w:rPr>
          <w:sz w:val="20"/>
          <w:szCs w:val="20"/>
          <w:color w:val="auto"/>
        </w:rPr>
      </w:pPr>
    </w:p>
    <w:p>
      <w:pPr>
        <w:jc w:val="both"/>
        <w:ind w:left="660" w:hanging="328"/>
        <w:spacing w:after="0" w:line="26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the customer contract</w:t>
      </w:r>
      <w:r>
        <w:rPr>
          <w:rFonts w:ascii="Times New Roman" w:cs="Times New Roman" w:eastAsia="Times New Roman" w:hAnsi="Times New Roman"/>
          <w:sz w:val="18"/>
          <w:szCs w:val="18"/>
          <w:color w:val="auto"/>
        </w:rPr>
        <w:t>: A customer contract is identified when there is mutual approval and commitment between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the rights and obligations are clear, payment terms are set, the contract has commercial substance, and collectability is probable. Written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electronic signatures on contracts and purchase orders are obtained if such orders are issued in the normal course of business by the customer.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performance obligations that are distinct</w:t>
      </w:r>
      <w:r>
        <w:rPr>
          <w:rFonts w:ascii="Times New Roman" w:cs="Times New Roman" w:eastAsia="Times New Roman" w:hAnsi="Times New Roman"/>
          <w:sz w:val="18"/>
          <w:szCs w:val="18"/>
          <w:color w:val="auto"/>
        </w:rPr>
        <w:t>: The Company identifies distinct performance obligations in each contract. A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is considered distinct if the customer can benefit from the good or service on its own or with readily available resources, and if it is separately identifiable from other promises in the contract. The Company’s revenue-generating activities typically have a single performance obligation.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Determine the transaction price</w:t>
      </w:r>
      <w:r>
        <w:rPr>
          <w:rFonts w:ascii="Times New Roman" w:cs="Times New Roman" w:eastAsia="Times New Roman" w:hAnsi="Times New Roman"/>
          <w:sz w:val="18"/>
          <w:szCs w:val="18"/>
          <w:color w:val="auto"/>
        </w:rPr>
        <w:t>: The transaction price is the amount of consideration the Company expects to receive in exchange for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 This amount is determined excluding sales taxes collected on behalf of government agencies and net of any sales discounts,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incentives, and returns.</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Allocate the transaction price to distinct performance obligations</w:t>
      </w:r>
      <w:r>
        <w:rPr>
          <w:rFonts w:ascii="Times New Roman" w:cs="Times New Roman" w:eastAsia="Times New Roman" w:hAnsi="Times New Roman"/>
          <w:sz w:val="18"/>
          <w:szCs w:val="18"/>
          <w:color w:val="auto"/>
        </w:rPr>
        <w:t>: The transaction price is allocated to each distinct performance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relative standalone selling prices (“SSP”) of the goods or services provided. If a contract involves multiple performance obligations, each is accounted for separately if distinct, and the SSP reflects the price the Company would charge if the good or service were sold separately in similar circumstances and to similar customers.</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Recognize revenue as the performance obligations are satisfied</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hemp-derived THC products (non-licensing) is recognized when control of the product transfers to the customer, typically upon delivery or shipment, as the customer assumes the risks and rewards of ownership. Payment terms vary by customer, but the</w:t>
      </w:r>
    </w:p>
    <w:p>
      <w:pPr>
        <w:spacing w:after="0" w:line="1" w:lineRule="exact"/>
        <w:rPr>
          <w:sz w:val="20"/>
          <w:szCs w:val="20"/>
          <w:color w:val="auto"/>
        </w:rPr>
      </w:pPr>
    </w:p>
    <w:p>
      <w:pPr>
        <w:jc w:val="both"/>
        <w:ind w:left="980"/>
        <w:spacing w:after="0" w:line="250" w:lineRule="auto"/>
        <w:rPr>
          <w:sz w:val="20"/>
          <w:szCs w:val="20"/>
          <w:color w:val="auto"/>
        </w:rPr>
      </w:pPr>
      <w:r>
        <w:rPr>
          <w:rFonts w:ascii="Times New Roman" w:cs="Times New Roman" w:eastAsia="Times New Roman" w:hAnsi="Times New Roman"/>
          <w:sz w:val="18"/>
          <w:szCs w:val="18"/>
          <w:color w:val="auto"/>
        </w:rPr>
        <w:t>time between revenue recognition and payment due is generally not significant. For products sold under consignment arrangements, revenue is recognized only when control is transferred to the end customer.  The Company does not maintain a specific reserve for returns due to the limited circumstances under which returns are permitted in customer agreements. Payments for slotting, listing fees, or other marketing or promotional activities, where legally permitted, are recorded as a reduction in revenue unless a distinct good or service is received in exchange.</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pursuant to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 the benefit of a tax position is recognized in the unaudited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has recorded liabilities for unrecognized tax benefits related to research and development tax credits.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 provides guidance on how an entity should determine whether a tax position is effectively settled for the purpose of recognizing previously unrecognized tax benefits. ASC 740 clarifies that a tax position can be effectively settled upon the completion of an examination by a taxing authority. For tax positions considered effectively settled, the Company recognizes the full amount of the tax benefit.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state and local income taxes. The effective rate differs from statutory rates due to the Company’s release of valuation allowance during the three months ended March 31, 2026 that was previously offsetting deferred tax assets. Our effective tax rate may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presents basic and diluted net income (loss) per share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Basic income (loss) per share is computed using the two-class method, under which net income is allocated to common stockholders and participating securities based on their respective rights to receive dividends. The Company’s participating securities consist of pre-funded warrants. Accordingly, net income attributable to its Common Stockholders may differ from reported net income in periods of net income.</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attributable to Common Stockholders by the weighted-average number of shares of Common Stock outstanding during the period. Diluted income (loss) per share reflects the potential dilution that could occur if securities or other contracts to issue Common Stock were exercised or converted into common stock. The Company determines diluted income (loss) per share by applying the most dilutive method for each class of potentially dilutive securities. The treasury stock method is applied to stock options and restricted stock units, the if-converted method is applied to convertible notes, and the two-class method is applied to participating securities. For instruments subject to the two-class method, the Company applies a hybrid approach in which income is allocated after giving effect to adjustments from other dilutive securities.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periods of net income, a portion of income is allocated to participating securities and deducted in determining income attributable to Common Stockholders. In periods of net loss, losses are not allocated to participating securities, as they do not have a contractual obligation to share in losses. In such periods, basic and diluted net loss per share are the same, as potentially dilutive securities are anti-dilutive. See Note 14 – Net Income (Loss) Per Share for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2024-04,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(“ASU 2024-04”), which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Derivatives and Hedging – Contracts in Entity’s Own Equity</w:t>
      </w:r>
      <w:r>
        <w:rPr>
          <w:rFonts w:ascii="Times New Roman" w:cs="Times New Roman" w:eastAsia="Times New Roman" w:hAnsi="Times New Roman"/>
          <w:sz w:val="18"/>
          <w:szCs w:val="18"/>
          <w:color w:val="auto"/>
        </w:rPr>
        <w:t>. The Company adopted this new standard on January 1, 2026 on a prospective basis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 of this guidance is reflected in the financial statements beginning in the three months ended March 31,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(Topic 220): Disaggregation of Income Statement Expenses. This 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condensed consolidated financial statements and related disclosures.</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(Topic 270) (“ASU 2025-11”), Narrow-Scope Improvements, to provide clarity about the current requirements, rather than evaluate whether to expand or reduce interim disclosure requirements. The amendments in ASU 2025-11 result in a comprehensive list of interim disclosures that are required by GAAP. The amendments in ASU 2025-11 also include a disclosure principle that requires entities to disclose events since the end of the last annual reporting period that have a material impact on the entity. The amendments in ASU 2025-11 are effective for interim reporting periods within annual reporting periods beginning after December 15, 2027 and early adoption is permitted. The amendments in ASU 2025-11 can be applied either prospectively or retrospectively to any or all prior periods presented in the financial statements. The Company is currently evaluating the disclosure impact that ASU 2025-11 may have on its financial statement presentation and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which includes various amendments to the FASB Accounting Standards Codification intended to clarify, correct, and improve existing guidance. ASU 2025-12 is effective for annual reporting periods beginning after December 15, 2026, and interim reporting periods within those annual reporting periods. Early adoption is permitted. The Company is currently evaluating the impact that ASU 2025-12 may have on its financial statement presentation and disclosures.</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required to evaluate whether there are conditions or events, considered in aggregate, that raise substantial doubt about the Company’s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condensed consolidated financial statements are issued.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history of recurring net losses and negative cash flow in operating activities. However, for the three months ended March 31, 2026, the Company generated positive cash flow from operating activities and reported net income primarily as a result of non-cash income tax benefit. Management believes that the Company’s $33.3 million of cash and cash equivalents, anticipated contractual Licensing Revenue and ability to address outstanding Convertible Notes will be sufficient to meet our cash requirements through at least the 12-month period following the date that these condensed consolidated financial statements were issued.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Convertible Notes maturities of $80 million exist through February 2027, with $72.0 million held by Green Thumb, a related party. The ability for the holders of these notes to elect to be repaid in cash upon maturity could raise substantial doubt about the Company’s ability to continue as a going concern. However, while these contractual maturities require management attention, management believes it is probable that the obligations will be addressed through extension or conversion consistent with historical practice. As such, the Company’s financial statements have been prepared on a going concern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continuing operations from Non-licensing Revenue and Licensing Revenue.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the Company generated revenue from continuing operations from hemp-derived product sales (Non-licensing Revenue) and sales-based Licensing Revenue. Hemp-derived product sales revenue is recognized at a point-in-time when control transfers to the customer. Licensing Revenue is recognized over time as the underlying sales occur in accordance with the terms of the related party license agreements. For the three months ended March 31, 2025, all of the Company’s revenue from continuing operations is transferred at a point-in-time and relates to hemp-derived beverages.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revenue type: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9,975</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As of March 31, 2026, the aggregate amount of contractual Licensing Revenue allocated to remaining performance obligations is approximately $308.4 million. This represents fixed fees through August 27, 2030, reflecting the period prior to which neither party may terminate unilaterally; mutual termination remains available throughout the term. The Company expects to recognize this amount as revenue ratably over that period. The Company excluded variable consideration related to CPI-based fee escalators from the total remaining performance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Condensed Consolidated Balance Sheet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as of March 31, 2026 and December 31, 2025: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movement of the Company’s credit losses accounts were as follows: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(Recovery of) Provision allowance for credit losses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of uncollectible accounts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Allowance for credit losses -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1,582</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2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2026 and December 31, 2025: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fee</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fulfillment and manufacturing related costs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accounts receivable, accounts payable, accrued expenses, operating lease liabilities, long-term debt, related party debt, and warrant liabilities. Fair value information for each of these instruments as well as other balances of the Company are as follows:</w:t>
      </w:r>
    </w:p>
    <w:p>
      <w:pPr>
        <w:spacing w:after="0" w:line="176"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payable, and accrued expenses approximate their fair value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are presented net of an allowance for estimated credit losses, which approximates fair value.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Long-term debt and related party debt, including the debt that has undergone troubled debt restructuring, is carried at amortized cost, dictated by the prevailing market interest rates at the time of each transaction in accordance with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for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2026 and December 31, 2025, the Company’s assets and liabilities measured at fair value on a recurring basis were as follows:</w:t>
      </w:r>
    </w:p>
    <w:p>
      <w:pPr>
        <w:sectPr>
          <w:pgSz w:w="11900" w:h="16838" w:orient="portrait"/>
          <w:cols w:equalWidth="0" w:num="1">
            <w:col w:w="11240"/>
          </w:cols>
          <w:pgMar w:left="320" w:top="877" w:right="339" w:bottom="1440" w:gutter="0" w:footer="0" w:header="0"/>
        </w:sectPr>
      </w:pPr>
    </w:p>
    <w:p>
      <w:pPr>
        <w:spacing w:after="0" w:line="235"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19685</wp:posOffset>
            </wp:positionV>
            <wp:extent cx="30429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42920" cy="17145"/>
                    </a:xfrm>
                    <a:prstGeom prst="rect">
                      <a:avLst/>
                    </a:prstGeom>
                    <a:noFill/>
                  </pic:spPr>
                </pic:pic>
              </a:graphicData>
            </a:graphic>
          </wp:anchor>
        </w:drawing>
      </w:r>
    </w:p>
    <w:p>
      <w:pPr>
        <w:spacing w:after="0" w:line="16"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19685</wp:posOffset>
            </wp:positionV>
            <wp:extent cx="29489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48940" cy="17145"/>
                    </a:xfrm>
                    <a:prstGeom prst="rect">
                      <a:avLst/>
                    </a:prstGeom>
                    <a:noFill/>
                  </pic:spPr>
                </pic:pic>
              </a:graphicData>
            </a:graphic>
          </wp:anchor>
        </w:drawing>
      </w:r>
    </w:p>
    <w:p>
      <w:pPr>
        <w:spacing w:after="0" w:line="16"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43" w:lineRule="exact"/>
        <w:rPr>
          <w:sz w:val="20"/>
          <w:szCs w:val="20"/>
          <w:color w:val="auto"/>
        </w:rPr>
      </w:pPr>
    </w:p>
    <w:p>
      <w:pPr>
        <w:sectPr>
          <w:pgSz w:w="11900" w:h="16838" w:orient="portrait"/>
          <w:cols w:equalWidth="0" w:num="2">
            <w:col w:w="6380" w:space="720"/>
            <w:col w:w="414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r>
      <w:tr>
        <w:trPr>
          <w:trHeight w:val="210"/>
        </w:trPr>
        <w:tc>
          <w:tcPr>
            <w:tcW w:w="13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tcBorders>
          </w:tcPr>
          <w:p>
            <w:pPr>
              <w:spacing w:after="0"/>
              <w:rPr>
                <w:sz w:val="18"/>
                <w:szCs w:val="18"/>
                <w:color w:val="auto"/>
              </w:rPr>
            </w:pPr>
          </w:p>
        </w:tc>
      </w:tr>
      <w:tr>
        <w:trPr>
          <w:trHeight w:val="21"/>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fair value of the warrant liabilities on March 31, 2026 and December 31, 2025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 However, inherent uncertainties are involved. If factors or assumptions change, the estimated fair values could be materially different.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$18.30</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$0.14 - $22,440</w:t>
            </w:r>
          </w:p>
        </w:tc>
        <w:tc>
          <w:tcPr>
            <w:tcW w:w="20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$0.14 - $22,440</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0.83 - 1.89</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1.08 - 2.14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160.7%</w:t>
            </w:r>
          </w:p>
        </w:tc>
        <w:tc>
          <w:tcPr>
            <w:tcW w:w="200" w:type="dxa"/>
            <w:vAlign w:val="bottom"/>
          </w:tcPr>
          <w:p>
            <w:pPr>
              <w:spacing w:after="0"/>
              <w:rPr>
                <w:sz w:val="18"/>
                <w:szCs w:val="18"/>
                <w:color w:val="auto"/>
              </w:rPr>
            </w:pPr>
          </w:p>
        </w:tc>
        <w:tc>
          <w:tcPr>
            <w:tcW w:w="18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3.68 - 3.79%</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3.47 - 3.48%</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months ended March 31, 2026 and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697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tcPr>
          <w:p>
            <w:pPr>
              <w:spacing w:after="0"/>
              <w:rPr>
                <w:sz w:val="20"/>
                <w:szCs w:val="20"/>
                <w:color w:val="auto"/>
              </w:rPr>
            </w:pPr>
          </w:p>
        </w:tc>
        <w:tc>
          <w:tcPr>
            <w:tcW w:w="12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7"/>
              </w:rPr>
              <w:t>(105)</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592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number of outstanding warrants subject to liability classification was 40,017, of which 15,394 are held by RSLGH, LLC, a related party and wholly-owned subsidiary of Green Thumb.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Inventory,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Such costs include the acquisition cost for raw materials and operating supplies. The Company’s standard payment terms with suppliers may require making payments in advance of delivery of the Company’s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related to hemp-derived THC products as of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materials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 gross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r>
      <w:tr>
        <w:trPr>
          <w:trHeight w:val="210"/>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inventory,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4,045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Business Discontinued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December 31, 2024, the Company entered into an Asset Purchase Agreement (the “Purchase Agreement”) with CP Acquisitions, LLC (“CP”), an entity affiliated with Raymond Chang, the Company’s former Chairman and Chief Executive Officer. Under the Purchase Agreement, CP acquired assets from the Company relating to the Company’s vertical farming unit business, including the related Agrify total-turnkey (“TTK”) solution assets and Agrify</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consideration for the sale included the assumption by CP of certain secured indebtedness and other liabilities related to the Cultivation Business. The disposition resulted in a loss on sale of $11.9 million, which was recorded in net loss from discontinued operations for the year ended December 31, 2024. As of March 31, 2026, the Company has no material remaining assets or liabilities, nor any ongoing involvement related to the Cultivation Business. For the three months ended March 31, 2026, the Company has no material results of operations related to the Cultivation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Business Discontinued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30, 2025, the Company approved the discontinuation and wind down of its extraction product line, which included hydrocarbon, alcohol, solventless, post-processing, and lab equipment (the “Extraction Business”). The wind down was completed during 2025 and included the cessation of operations, termination of contracts, and disposal of related assets. The Company recognized a gain of approximately $3.5 million in income from discontinued operations for the year ended December 31, 2025. The operating results of the Extraction Business were reported as discontinued operations in the condensed consolidated financial statements for all prior periods presented.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discontinuation of its legacy Extraction Business, the Company continues to carry certain liabilities, including accounts payable and other current liabilities of $0.6 million and $1.5 million, respectively, as of March 31, 2026. These balances represent historical obligations for which there has been limited collection activity. The Company believes the amounts may be owed and therefore has classified them as current liabilities; however, the timing and likelihood of settlement remain uncertain. The Company evaluates these balances periodically and will derecognize such obligations when it determines that settlement is no longer probable, including consideration of applicable statutes of limitations, which may extend for several years.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the Company has no material results of operations related to the Extraction Business.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assets associated with Discontinued Operations consisted of operating lease right-of-use assets of $14 thousand. Liabilities associated with Discontinued Operations totaled $2.1 million, consisting of accounts payable of $0.6 million, accrued expenses and other current liabilities of $1.5 million, and current operating lease liabilities of $38 thousand.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income from Discontinued Operations for the three months ended March 31, 2025:</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0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30"/>
        </w:trPr>
        <w:tc>
          <w:tcPr>
            <w:tcW w:w="10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1,169</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1,820</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0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discontinued operations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3,566</w:t>
            </w:r>
          </w:p>
        </w:tc>
      </w:tr>
      <w:tr>
        <w:trPr>
          <w:trHeight w:val="216"/>
        </w:trPr>
        <w:tc>
          <w:tcPr>
            <w:tcW w:w="100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1,648</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statements of cash flows include continuing operations and discontinued operations. The following table summarizes the depreciation and amortization of long-lived assets and change in provision for credit losses related to Discontinued Operations for the three months ended March 31, 2025:</w:t>
      </w:r>
    </w:p>
    <w:p>
      <w:pPr>
        <w:spacing w:after="0" w:line="172"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4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Prepaid License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evaluates transactions involving the acquisition of intellectual property and other assets to determine the appropriate accounting treatment based on applicable GAAP, including ASC 805, and ASC Topic 340 –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xml:space="preserve"> (“ASC 340”). Certain transactions may not meet the criteria for either a business combination or an asset acquisition and are accounted for under other applicable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color w:val="auto"/>
        </w:rPr>
        <w:t>Prepaid License Rights relate to arrangements entered into in 2025 with affiliates of Green Thumb, as further described in Note 8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and December 31, 2025, prepaid license rights were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6"/>
                <w:szCs w:val="16"/>
                <w:color w:val="auto"/>
              </w:rPr>
            </w:pPr>
          </w:p>
        </w:tc>
      </w:tr>
      <w:tr>
        <w:trPr>
          <w:trHeight w:val="230"/>
        </w:trPr>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642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License Rights, related party</w:t>
            </w: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2 - 5</w:t>
            </w: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w:t>
            </w:r>
          </w:p>
        </w:tc>
        <w:tc>
          <w:tcPr>
            <w:tcW w:w="20" w:type="dxa"/>
            <w:vAlign w:val="bottom"/>
          </w:tcPr>
          <w:p>
            <w:pPr>
              <w:spacing w:after="0"/>
              <w:rPr>
                <w:sz w:val="18"/>
                <w:szCs w:val="18"/>
                <w:color w:val="auto"/>
              </w:rPr>
            </w:pPr>
          </w:p>
        </w:tc>
      </w:tr>
      <w:tr>
        <w:trPr>
          <w:trHeight w:val="453"/>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4"/>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4"/>
          </w:tcPr>
          <w:p>
            <w:pPr>
              <w:jc w:val="center"/>
              <w:ind w:right="5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 w:type="dxa"/>
            <w:vAlign w:val="bottom"/>
          </w:tcPr>
          <w:p>
            <w:pPr>
              <w:spacing w:after="0"/>
              <w:rPr>
                <w:sz w:val="16"/>
                <w:szCs w:val="16"/>
                <w:color w:val="auto"/>
              </w:rPr>
            </w:pPr>
          </w:p>
        </w:tc>
      </w:tr>
      <w:tr>
        <w:trPr>
          <w:trHeight w:val="229"/>
        </w:trPr>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00" w:type="dxa"/>
            <w:vAlign w:val="bottom"/>
          </w:tcPr>
          <w:p>
            <w:pPr>
              <w:spacing w:after="0"/>
              <w:rPr>
                <w:sz w:val="19"/>
                <w:szCs w:val="19"/>
                <w:color w:val="auto"/>
              </w:rPr>
            </w:pPr>
          </w:p>
        </w:tc>
        <w:tc>
          <w:tcPr>
            <w:tcW w:w="116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45"/>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6"/>
        </w:trPr>
        <w:tc>
          <w:tcPr>
            <w:tcW w:w="63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License Rights, related party</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2 - 5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54,500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recognized amortization expense of $3.4 million related to Prepaid License Rights.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estimated future amortization expense for the next five years and thereafter is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Future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6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13,964</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12,346</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8,784</w:t>
            </w:r>
          </w:p>
        </w:tc>
        <w:tc>
          <w:tcPr>
            <w:tcW w:w="80" w:type="dxa"/>
            <w:vAlign w:val="bottom"/>
          </w:tcPr>
          <w:p>
            <w:pPr>
              <w:spacing w:after="0"/>
              <w:rPr>
                <w:sz w:val="18"/>
                <w:szCs w:val="18"/>
                <w:color w:val="auto"/>
              </w:rPr>
            </w:pPr>
          </w:p>
        </w:tc>
      </w:tr>
      <w:tr>
        <w:trPr>
          <w:trHeight w:val="25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45,957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License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VCP Transaction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27, 2025, the Company entered into a purchase agreement with VCP23, an indirect wholly-owned subsidiary of Green Thumb, a related party, pursuant to which the Company obtained access to and use of certain intellectual property rights (the “VCP Transaction”) in exchange for cash consideration of $50.0 million.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affiliate of Green Thumb holds a call option to repurchase some or all of the VCP Transaction intellectual property rights for up to five years from the transaction date upon the occurrence of certain specified eligibility conditions, which are outside of the control of both parties but with likelihood of eligibility greater than remote. Due to changes in legislation around hemp-derived products enacted in November 2025, which are currently expected to become effective in November 2026, one of the eligibility conditions that would permit the repurchase right to become exercisable is likely to be satisfied within the next twelve months. However, satisfaction of such conditions does not obligate Green Thumb or its affiliates to exercise the repurchase option, which remains within their discretion.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this call option represents a substantive repurchase right, the arrangement includes terms that preclude the transfer of control and therefore does not meet the criteria for a completed sale and is not accounted for as an asset acquisition under ASC 805. Instead, the Company accounts for the arrangement under other applicable U.S. GAAP, including ASC 340. The related Prepaid License Rights are amortized on a straight-line basis over their estimated useful life.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MC Brands Transaction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20, 2025, the Company entered into a purchase agreement with VCP, an indirect wholly-owned subsidiary of Green Thumb, a related party, pursuant to which the Company obtained access to and use of certain intellectual property rights associated with the incredibles brand (the “MC Brands Transaction”) in exchange for cash consideration of $5.1 million.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affiliate of Green Thumb holds a call option to repurchase some or all of the MC Brands intellectual property rights for up to five years from the transaction date upon the occurrence of certain specified eligibility conditions. Due to changes in legislation around hemp-derived products enacted in November 2025, which are currently expected to become effective in November 2026, one of the eligibility conditions that would permit the repurchase right to become exercisable is likely to be satisfied within the next twelve months. However, satisfaction of such conditions does not obligate Green Thumb or its affiliates to exercise the repurchase option, which remains within their discretion.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Consistent with the VCP Transaction, this arrangement is not accounted for as an asset acquisition under ASC 805 and is instead accounted for as a prepaid executory contract under ASC 340.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evaluate the impact of regulatory developments related to hemp-derived products on this arrangement. As of March 31, 2026, no additional impairment or changes in accounting conclusions have been recognized.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—Debt</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4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72,000</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related party debt</w:t>
            </w:r>
          </w:p>
        </w:tc>
        <w:tc>
          <w:tcPr>
            <w:tcW w:w="44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72,000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4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5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Related party debt, net of current</w:t>
            </w:r>
          </w:p>
        </w:tc>
        <w:tc>
          <w:tcPr>
            <w:tcW w:w="44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PPP Loan</w:t>
            </w:r>
          </w:p>
        </w:tc>
        <w:tc>
          <w:tcPr>
            <w:tcW w:w="4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Notes Payable - Current</w:t>
            </w:r>
          </w:p>
        </w:tc>
        <w:tc>
          <w:tcPr>
            <w:tcW w:w="4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short-term debt</w:t>
            </w:r>
          </w:p>
        </w:tc>
        <w:tc>
          <w:tcPr>
            <w:tcW w:w="4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w:t>
            </w:r>
          </w:p>
        </w:tc>
        <w:tc>
          <w:tcPr>
            <w:tcW w:w="4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notes payable</w:t>
            </w:r>
          </w:p>
        </w:tc>
        <w:tc>
          <w:tcPr>
            <w:tcW w:w="4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4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16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Long-term debt, net of current</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440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2025, the Company issued secured convertible notes with an aggregate original principal amount of $30.0 million (collectively the “May 2025 Notes”) to RSLGH and to certain other third-party accredited investors. The May 2025 Notes are secured obligations of the Company and rank senior to all indebtedness of the Company except for the August 2025 Notes,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25, 2025, the Company issued secured convertible notes with an aggregate original principal amount of $50.0 million (collectively the “August 2025 Notes”) to RSLGH and to certain other third-party accredited investors. The August 2025 Notes are secured obligations of the Company and rank senior to all indebtedness of the Company except for the May 2025,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$0.001 exercise price of the warrant. The conversion of the August 2025 Notes into Common Stock and/or pre-funded warrants is subject to certain customary conditions and, to the extent necessary, the receipt of stockholder approval under Nasdaq listing rules.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May 2025 Notes and August 2025 Notes (together referred to as the “Convertible Notes”) impose certain customary affirmative and negative covenants upon the Company, including covenants relating to ranking and reservation of shares. If an event of default under one or more of the Convertible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The Company was in compliance with these covenants as of March 31,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the Convertible Notes do not contain features that qualify as embedded derivatives in accordance with ASC 815. Borrowings under the Convertible Notes as of March 31, 2026 totaled $80.0 million recorded on the Company’s condensed consolidated balance sheet as Long-term debt, current, $72.0 million of which are considered related party with Green Thumb.</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Related party interest expense incurred on the Convertible Notes was approximately $1.8 million for the three months ended March 31, 2026. Related party interest expense was approximately $250 thousand for the three months ended March 31, 2025, primarily related to a note that was entered into in November 2024 and was settled in November 2025.</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incurred on the Convertible Notes related to unaffiliated third parties amounted to approximately $200 thousand and an immaterial amount for the three months ended March 31, 2026 and 2025,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future minimum principal payments on all debt positions, excluding accrued interest amounts,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100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Warrant Issuance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21, 2024, in connection with the amendment of previously outstanding notes, the Company issued 492,204 and 525,114 Pre-Funded Warrants to GIC Acquisitions and CP (the “Related Party Pre-Funded Warrants”), respectively, in exchange of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Related Party Pre-Funded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Ionic at an effective purchase price of $2.109 per share of Common Stock, the number of shares of Common Stock underlying the Related Party Pre-Funded Warrant held by CP Acquisitions was adjusted to 5,452,288 and the number of shares of Common Stock underlying the Related Party Pre-Funded Warrant held by GIC Acquisition was adjusted to 1,085,122. On August 30, 2024, CP Acquisitions partially exercised its Pre-Funded Warrant and entities affiliated with Raymond Chang and I-Tseng Jenny Chan received an aggregate of 383,127 shares of Common Stock upon the exercise.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 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142,213 pre-funded warrants were issued in lieu of cash interest payments of $3.8 million, of which 135,836 warrants were issued to RSLGH.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As of March 31, 2026, there were 135,065 shares of Common Stock available to be granted under the Company’s 2022 Plan.</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from continuing operations was $570 thousand and $587 thousand for the three months ended March 31, 2026 and 2025,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from discontinued operations was nil and $2 thousand for the three months ended March 31, 2026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three months ended March 31, 2026, there were no options granted, exercised, or expired under the Company’s stock option plans. There were 75 options outstanding with a weighted average exercise price of $27 thousand as of both March 31, 2026 and December 31, 2025. There were no unvested options as of March 31, 2026.</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there was no unrecognized compensation expense related to unvested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March 31,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 Vested and Exercisable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14,208</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4,104</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subject to certain exceptions for directors.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for the three months ended March 31, 2026:</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unvested restricted stock units was $3.5 million, which is expected to be recognized over a weighted average period of 1.24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Stock Warrants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three months ended March 31, 2026:</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10,892,112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142,213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11,034,325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451.3% and 0.0% for the three months ended March 31, 2026 and 2025, respectively. The benefit from income taxes was $25.6 million for the three months ended March 31, 2026, compared to $0 for the three months ended March 31,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the provision for (benefit from) income taxes for the three months ended March 31, 2026 compared to the three months ended March 31, 2025 are a result of the Company releasing the valuation allowance against its deferred tax assets.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the Company released its valuation allowance of $25.6 million following the execution of an amendment to its license agreement with GTI Core on March 31, 2026, which transitioned the Company’s licensing fees to a fixed annual structure. This amendment significantly reduces uncertainty around the Company’s future taxable income projections. Based on sustained projected book and taxable income over the near term, management concluded that sufficient positive evidence exists to determine that its deferred tax assets are more-likely-than-not realizable, and accordingly released the valuation allowance in full during the three months ended March 31, 2026, with the exception of certain state deferred tax assets for which apportionment factors do not support realization in the foreseeable future; the aggregate amount of such state deferred tax assets for which a valuation allowance is maintained is not material. As a result, the income tax benefit recognized for the three months ended March 31, 2026 is attributable to the release of the valuation allowance. Prior to this release, the Company maintained a full valuation allowance against its deferred tax assets due to uncertainty surrounding future income projections.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utilization of the Company’s net operating loss (“NOL”) carryforwards is subject to limitations under Section 382 of the Internal Revenue Code of 1986, as amended and similar provisions in various state jurisdictions due to historical change in ownership provisions (“Ownership Changes”). These limitations may reduce the amount of NOLs available in future periods and may result in the expiration of certain NOLs before they can be utilized. During the quarter ended June 30, 2025, the Company completed an analysis of Ownership Changes, which had not previously been performed. The analysis identified multiple historical ownership changes that significantly limit the utilization of federal and state NOLs through the date of the most recent change on November 5, 2024, subjecting them to a minimal annual limitation. NOLs generated after November 5, 2024 are not currently subject to this limitation and may be available to offset future taxable income, although any future ownership changes could impose additional limitations.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(“OBBA”) was enacted, introducing significant and wide-ranging changes to the U.S. tax system. The bill includes restoration of 100% accelerated tax depreciation on qualifying property including expansion to cover qualified production property. Another key point is the return to immediate expensing of domestic research and experimental expenditures (“R&amp;E”) and accelerated tax deductions of R&amp;E that were previously capitalized for large businesses. The legislation also reinstates EBITDA-based interest deduction for tax purposes. The impacts of the OBBA are reflected in our results for the quarter ended March 31, 2026, and there was no material impact to our income tax expense or effective tax 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14 — Net Income (Loss) Per Share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holders of the Company’s pre-funded warrants are entitled to receive pro rata distributions if the Company declares or makes any dividend or other distribution of its assets to holders of shares of Common Stock, without regard to the beneficial ownership limitation contained in the pre-funded warrants. As a result, the pre-funded warrants are considered participating securities in accordance with ASC 260, Earnings Per Share. In periods in which the Company reports net income, the Company applies the two-class method to compute basic and diluted earnings per share. Under this method, earnings are allocated to Common Stock and participating securities based on their respective rights to receive dividends, as if all undistributed earnings for the period were distributed. The portion of earnings allocated to participating securities is deducted from net income in determining net income attributable to common stockholders for purposes of computing earnings per share. In periods in which the Company reports a net loss, losses are allocated to participating securities only if the security has a contractual obligation to share in losses. As the pre-funded warrants do not contain a contractual obligation to share in losses, no loss was allocated to the pre-funded warrants for the years ended December 31, 2025 and 2024, or for the three months ended March 31, 2025. For the three months ended March 31, 2026, the Company’s net income was allocated in accordance with the two-class method.</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computes diluted earnings per share by considering the impact of all potentially dilutive securities and applying the combination of methods that results in the most dilutive outcome in accordance with ASC 260. The Company evaluates the dilutive effect of each class of potential common shares using the treasury stock method, if-converted method, or the two-class method, as applicable. For instruments subject to the two-class method, the Company applies a hybrid approach under which the two-class earnings allocation is applied to the earnings pool adjusted for if-converted and treasury stock method adjustments applicable to other dilutive instruments. The treasury stock method is applied to unvested restricted stock units, the if-converted method is applied to convertible notes, and the two-class method is applied to participating pre-funded warrants. The convertible notes are not considered participating securities, as they do not provide the holder with a current right to participate in dividends or undistributed earnings prior to conversion.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income (loss) per share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Minus: net income allocated to participating warrants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(16,641)</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Numerator for basic EPS - Net income (loss) available for common shareholders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3,281</w:t>
            </w:r>
          </w:p>
        </w:tc>
        <w:tc>
          <w:tcPr>
            <w:tcW w:w="220" w:type="dxa"/>
            <w:vAlign w:val="bottom"/>
            <w:tcBorders>
              <w:top w:val="single" w:sz="8" w:color="CCEEFF"/>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on Convertible Notes - from 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Reallocation of net income to participating warrants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2,214</w:t>
            </w:r>
          </w:p>
        </w:tc>
        <w:tc>
          <w:tcPr>
            <w:tcW w:w="3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Numerator for diluted EPS - Net income (loss) available for common shareholders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 outstanding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2,149,128</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126,750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2,971,433</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Denominator for diluted EPS - adjusted weighted-average common stock outstanding</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5,247,311</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1,952,022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shareholders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shareholders</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gridSpan w:val="2"/>
            <w:vMerge w:val="continue"/>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excluded the following potential common stock equivalents, based on amounts outstanding at each period end, from the computation of diluted earnings (loss) per share attributable to common stockholders for the periods presented because their inclusion would have been antidilutive. In addition, the Company’s pre-funded warrants are considered participating securities and are reflected through the application of the two-class method; accordingly, they are not included in the diluted earnings per share denominator in periods in which the two-class method results in the most dilutive outcome.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4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11,034,325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4200" w:type="dxa"/>
            <w:vAlign w:val="bottom"/>
          </w:tcPr>
          <w:p>
            <w:pPr>
              <w:spacing w:after="0"/>
              <w:rPr>
                <w:sz w:val="18"/>
                <w:szCs w:val="18"/>
                <w:color w:val="auto"/>
              </w:rPr>
            </w:pPr>
          </w:p>
        </w:tc>
        <w:tc>
          <w:tcPr>
            <w:tcW w:w="16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102,132</w:t>
            </w:r>
          </w:p>
        </w:tc>
        <w:tc>
          <w:tcPr>
            <w:tcW w:w="0" w:type="dxa"/>
            <w:vAlign w:val="bottom"/>
          </w:tcPr>
          <w:p>
            <w:pPr>
              <w:spacing w:after="0"/>
              <w:rPr>
                <w:sz w:val="1"/>
                <w:szCs w:val="1"/>
                <w:color w:val="auto"/>
              </w:rPr>
            </w:pPr>
          </w:p>
        </w:tc>
      </w:tr>
      <w:tr>
        <w:trPr>
          <w:trHeight w:val="24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5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11,034,400</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7,678,795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2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081"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This matter is subject to the Cultivation sale escrow litigation reserve agreement where the Company funded $1.5 million in January 2025 into escrow for the benefit of settling this and other 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in the Superior Court of Massachusetts in Norfolk County, Massachusetts (the “Bowdoin Complaint”),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Two of Bowdoin’s subcontractors, Hannon Electric, Inc. and Electric Supply Center Corp, have filed separate suits against the Company in the amount of $1.498 million and $93 thousand, respectively. These amounts are part of the $7.0 million claimed in Bowdoin’s Complaint. The Bowdoin suit and the subcontractor suits have been consolidated. The Company has denied liability in all such suits. This matter is subject to the sale of the Cultivation Business escrow litigation reserve agreement where the Company funded $1.5 million in January 2025 into escrow for the benefit of settling this and other claims.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This matter is subject to the Cultivation sale escrow litigation reserve agreement where the Company funded $1.5 million in January 2025 into escrow for the benefit of settling this and other claims.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Subject to Contingent Repurchase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purchase agreements for MC Brands Transaction and VCP Transaction, Green Thumb or its affiliates may repurchase some or all of the MC Brands and/or VCP assets within five years of the respective transaction dates upon the occurrence of specified eligibility conditions, all of which are outside the control of both the Company and Green Thumb. The 2026 Appropriations Act includes an amendment to the definition of hemp under the 2018 Farm Bill that, if implemented as enacted, could materially restrict the commercialization of certain hemp-derived THC products beginning 365 days after enactment. If the amendment becomes effective in its current form and is not repealed, replaced, or otherwise modified prior to its effective date, one of the eligibility conditions under the MC Brands and VCP purchase agreements that could permit the repurchase right to become exercisable would be satisfied. However, the exercise of the repurchase option would remain solely within the discretion of Green Thumb or its affiliates. The full eligibility conditions are set forth in the purchase agreements for MC Brands Transaction and VCP Transaction filed on May 22, 2025 and August 27,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16 — Related Parties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Some of the current and former officers and directors of the Company are involved in other business activities and may, in the future, become involved in other business opportunities that become available. Ben Kovler, RYTHM’s Chairman and Interim Chief Executive Officer also serves as Green Thumb’s Chairman and Chief Executive Officer. RYTHM’s Chief Financial Officer is a Green Thumb employee and provides services under a shared services agreement. Including Mr. Kovler, two of RYTHM’s seven directors are affiliated with Green Thumb. Green Thumb, through its subsidiaries, currently holds approximately 33% of our outstanding shares of Common Stock and beneficially owns 49.99% of our Common Stock, taking into account beneficial ownership limitations contained in the warrants and convertible notes held by subsidiaries of Green Thumb. Of the approximately 11.0 million warrants outstanding as of March 31, 2026, approximately 9.9 million are held by subsidiaries of Green Thumb, subject to 49.99% beneficial ownership limitations. Of the approximately 3.0 million shares or pre-funded warrants that would be issuable upon the conversion (excluding interest) of the Convertible Notes outstanding as of March 31, 2026, approximately 2.7 million are held by subsidiaries of Green Thumb, subject to 49.99% beneficial ownership limitations. The outstanding warrants are entitled to pro rata participation in dividends and other distributions to holders of Common Stock without regard to the beneficial ownership limitation. Additional details regarding the shared services arrangement, convertible notes, and intellectual property and licensing agreements are provided in the sections below.</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activity with entities identified as related parties to the Company:</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 Inc.</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activity of $3.7 million during the three months ended March 31, 2026 consists of $3.1 million of support services performed by Green Thumb on behalf of the Company, $1.8 million interest charges for the Convertible Notes, and $1.4 million non-licensing chargeback expense, offset by $10.0 million Licensing Revenue from Green Thumb. The $1.4 million of non-licensing chargeback expense represents a net amount and includes a $202 thousand inventory purchase from Green Thumb.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Licensing 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20, 2025, and August 27, 2025, the Company acquired intellectual property rights to the Brand Rights, as part of the related party acquisition of MC Brands and VCP, respectively. In connection with the acquisitions, the Company also licensed the Brand Rights back to a Green Thumb affiliate under license arrangements and recognized related party Licensing Revenue. On March 31, 2026, the Company amended these licensing agreements to replace sales-based royalty consideration with fixed annual fees, effective April 1, 2026. For further discussion on the acquisition and Licensing Revenue, refer to Note 8 and Note 2 included elsewhere in the notes to the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a May 2025 Note with an original principal amount of $27.0 million to RSLGH. On August 25, 2025, the Company issued an August 2025 Note with an original principal amount of $45.0 million to RSLGH. For further discussion on these notes, refer to Note 9 included elsewhere in the notes to the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Services Agreements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20, 2025, the Company entered into an Amended and Restated Shared Services Agreement (the “Services Agreement”) with Vision Management Services, LLC (“VMS”), an indirect wholly-owned subsidiary of Green Thumb, a related party. Under the Services Agreement, VMS will provide certain administrative, supply chain, operations management, sales and marketing, and technical services to the Company and its subsidiaries. As consideration for those services, the Company pays VMS service fees equal to (i) 125% of the costs incurred by VMS in connection with any services provided by non-dedicated personnel and (ii) 100% of such costs incurred by VMS in connection with services provided by dedicated personnel and any third-party costs incurred in connection with the services. The service fees are payable in cash or, upon mutual agreement of the Company and VMS and to the extent permitted under applicable Nasdaq listing rules, in Common Stock or in pre-funded warrants, with the value per share of Common Stock or pre-funded warrant being equal to $26.68, the most recent closing price of the Company’s Common Stock on the Nasdaq Capital Market as of the time the Services Agreement was executed. The maximum cost for services provided by non-dedicated personnel during the one-year term of the Services Agreement may not exceed $3.0 million unless the parties otherwise agree in writing.</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21, 2025, the Company entered into a Shared Services Agreement (the “CFO Services Agreement”) with VMS, pursuant to which Brad Asher provides his services as Chief Financial Officer.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 year terms unless terminated by either party at least thirty days prior to the end of the applicable term. As a result of the services provided under the Services Agreement and the CFO Services Agreement, we do not have any direct employees other than our Interim Chief Executive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determined that it operates as a single operating and reporting segment in accordance with ASC 280, Segment Reporting. This is due to the key decisions and allocation of resources happening in a centralized manner based on the review of the Company’s Chief Operating Decision Maker (“CODM”), Benjamin Kovler, the Company’s Chairman and Interim Chief Executive Officer, of Operating income from continuing operations of the Company. This profit measure is presented in the Condensed Consolidated Statements of Operations and the disaggregation of sales from hemp-derived THC products (non-licensing) and Licensing Revenue is presented in Note 2 – Revenue. There are no significant expenses associated with the Licensing Revenue and the CODM does not review expense allocations, amortization expense or specific assets when reviewing Licensing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and concluded that there were no subsequent events that required recognition or disclosure in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is intended to update the information contained in our Annual Report on Form 10-K for the year ended December 31, 2025 filed with the Securities And Exchange Commission (the “SEC”) on March 3, 2026 (the “Form 10-K”) and presumes that readers have access to, and will have read, the “Management’s Discussion and Analysis of Financial Condition and Results of Operations” and other information contained in the Form 10-K. The following discussion and analysis also should be read together with our financial statements and the notes to the financial statements included elsewhere in this Quarterly Report.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Quarterly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the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The following should also be read in conjunction with the unaudited financial statements and notes thereto that appear elsewhere in this Quarterly Report.</w:t>
      </w:r>
    </w:p>
    <w:p>
      <w:pPr>
        <w:spacing w:after="0" w:line="185" w:lineRule="exact"/>
        <w:rPr>
          <w:sz w:val="20"/>
          <w:szCs w:val="20"/>
          <w:color w:val="auto"/>
        </w:rPr>
      </w:pPr>
    </w:p>
    <w:p>
      <w:pPr>
        <w:jc w:val="both"/>
        <w:ind w:firstLine="292"/>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“RYTHM”, the “Company,” “we,” “us,” “our,” or similar references mean RYTHM, Inc. and its subsidiaries on a consolidated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RYTHM, Inc. delivers well-being to consumers through its portfolio of hemp-derived THC products and iconic licensed brands. The Company’s portfolio of consumer-packaged goods brands includes RYTHM, incredibles, Dogwalkers, Beboe, &amp;Shine, Doctor Solomon’s, Good Green and Señorita. Our Señorita brand offers consumers hemp-derived tetrahydrocannabinol (“THC”) beverages and are sold at top retailers, online and through direct-to-retail partnerships. The Señorita brand mirrors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in seventeen U.S. states and Canada including at top retailers such as Total Wine, ABC Fine Wine &amp; Spirits, and Binny’s. The RYTHM branded beverage comes in two fruit-driven flavors with effect-based ingredients. Both Señorita and RYTHM hemp-derived beverages are available at Chicago’s iconic United Center, based on a partnership announced in January 2026, establishing RYTHM as the venue’s official THC sponsor. Other hemp-derived products including incredibles and Beboe edible products are primarily sold online and through direct-to-retail partnerships. In addition to the sale of hemp-derived products (“Non-licensing Revenue”), we license our brands to be manufactured and distributed in exchange for a licensing fee (“Licensing Revenue”).</w:t>
      </w:r>
    </w:p>
    <w:p>
      <w:pPr>
        <w:spacing w:after="0" w:line="192"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 xml:space="preserve">RYTHM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 industry (the “Cultivation Business”). As the discontinuation of the Extraction Business and the sale of the Cultivation Business represented strategic shifts that had a major effect on our operations and financial results, they have been presented in discontinued operations separate from continuing operations for the three months ended March 31, 2026 and 2025 in our condensed consolidated statements of operations and as of March 31, 2026 and December 31, 2025 in our condensed consolidated balance sheets and applicable footnotes in accordance with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Please refer to Item 1 and the notes to the unaudited condensed consolidated financial statements for details on recent developments and significant transactions during the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estimates, which include estimates related to accruals, stock-based compensation expense, recoverability of goodwill, intangible assets, and other assets (prepaid licensing rights),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 Refer to Note 1 included elsewhere in the notes to the unaudited condensed consolidated financial statements, for further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history of recurring net losses and have incurred losses to date, except for the three months ended March 31, 2026, during which we recognized net income primarily as a result of a non-cash income tax benefit. Our unaudited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Refer to information provided under the heading “Liquidity and Capital Resources” below for further details.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continuing operations for the three months ended March 31,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2,889</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14,431</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(4,034)</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line="250" w:lineRule="exact"/>
              <w:rPr>
                <w:sz w:val="20"/>
                <w:szCs w:val="20"/>
                <w:color w:val="auto"/>
              </w:rPr>
            </w:pPr>
            <w:r>
              <w:rPr>
                <w:rFonts w:ascii="Times New Roman" w:cs="Times New Roman" w:eastAsia="Times New Roman" w:hAnsi="Times New Roman"/>
                <w:sz w:val="17"/>
                <w:szCs w:val="17"/>
                <w:color w:val="auto"/>
              </w:rPr>
              <w:t>Interest (expense) income, net</w:t>
            </w:r>
            <w:r>
              <w:rPr>
                <w:rFonts w:ascii="Times New Roman" w:cs="Times New Roman" w:eastAsia="Times New Roman" w:hAnsi="Times New Roman"/>
                <w:sz w:val="28"/>
                <w:szCs w:val="28"/>
                <w:color w:val="auto"/>
                <w:vertAlign w:val="superscript"/>
              </w:rPr>
              <w:t>(3)</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(loss) from continuing operations, net of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19,922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(3,274)</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 basic</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2,149,128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1,952,022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5,247,311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1,952,022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million for the three months ended March 31, 2026, and $80 thousand for the three months ended March 31, 2025, in each case from related parties.</w:t>
      </w:r>
    </w:p>
    <w:p>
      <w:pPr>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 million for the three months ended March 31, 2026, and $1.4 million for the three months ended March 31, 2025, in each case from related parties.</w:t>
      </w:r>
    </w:p>
    <w:p>
      <w:pPr>
        <w:ind w:left="340" w:right="2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 million of interest expense for the three months ended March 31, 2026, and $250 thousand for the three months ended March 31, 2025, in each case from a related party.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sales of hemp-derived THC products (non-licensing) and related party Licensing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from continuing operations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9,975</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increased by $12.7 million for the three months ended March 31, 2026, as compared to the same period in 2025. The comparative increase in revenue was primarily driven by the commencement of Licensing Revenue in May and August 2025 as well as the $2.8 million increase in Non-Licensing Revenue. Of the revenue recognized for the three months ended March 31, 2026, $10.0 million was attributable to related parties, as compared to $80 thousand for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goods sold represents costs associated with the hemp-derived THC product sales (Non-licensing Revenue).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cost of goods sold from continuing operations for the three months ended March 31, 2026 and 2025, all of which relates to non-licensing revenue:</w:t>
      </w:r>
    </w:p>
    <w:p>
      <w:pPr>
        <w:spacing w:after="0" w:line="15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9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$2.4 million for the three months ended March 31, 2026 compared to the same period in 2025. The comparative increase in cost of goods sold is driven by the increased sales of hemp-derived THC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11452%</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totaled $10.4 million, or 78% of total revenue during the three months ended March 31, 2026, compared to a gross profit of $90 thousand, or 17% of total revenue during the three months ended March 31, 2025. The comparative $10.3 million increase in gross profit was primarily driven by the commencement of Licensing Revenue in August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principally of marketing costs and support services performed by Vision Management Services, LLC, a subsidiary of Green Thumb Industries Inc, a related party (“Green Thumb”), pursuant to two shared services agreements, as well as stock-based compensation and travel expenses associated with executive and other administrative functions. Other SG&amp;A expenses include, but are not limited to, professional fees for legal and accounting services and amortization costs.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SG&amp;A expense increased by $10.6 million, or 281%, for the three months ended March 31, 2026, compared to the same period in 2025. The comparative change is primarily attributable to marketing and consulting costs to support the growth of the hemp-derived THC products sales in addition to the presentation of SG&amp;A expense from the Cultivation Business and Extraction Business for the three months ended March 31, 2025 as part of discontinued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 Net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5"/>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59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(expenses) income, net</w:t>
            </w:r>
          </w:p>
        </w:tc>
        <w:tc>
          <w:tcPr>
            <w:tcW w:w="260" w:type="dxa"/>
            <w:vAlign w:val="bottom"/>
            <w:tcBorders>
              <w:top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(483</w:t>
            </w:r>
          </w:p>
        </w:tc>
        <w:tc>
          <w:tcPr>
            <w:tcW w:w="2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was $1.7 million for the three months ended March 31, 2026, compared to interest income, net of $1 thousand for the three months ended March 31, 2025. The change is attributable mainly to the increase of $80.0 million new borrowings under the Convertible Notes (as that term is defined under “—Indebtedness” below). Included in interest expense, net for the three months ended March 31, 2026 is $1.8 million of interest expense incurred with a related party and $0.3 million of interest income.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gain on warrant liabilities decreased by $302 thousand, or 74%, for the three months ended March 31, 2026, compared to the same period in 2025. The decrease reflects a smaller reduction in the fair value of warrant liabilities during the current period compared to the prior year period.</w:t>
      </w:r>
    </w:p>
    <w:p>
      <w:pPr>
        <w:ind w:left="340"/>
        <w:spacing w:after="0"/>
        <w:rPr>
          <w:sz w:val="20"/>
          <w:szCs w:val="20"/>
          <w:color w:val="auto"/>
        </w:rPr>
      </w:pPr>
      <w:r>
        <w:rPr>
          <w:rFonts w:ascii="Times New Roman" w:cs="Times New Roman" w:eastAsia="Times New Roman" w:hAnsi="Times New Roman"/>
          <w:sz w:val="18"/>
          <w:szCs w:val="18"/>
          <w:color w:val="auto"/>
        </w:rPr>
        <w:t>Other income, net was nil for the three months ended March 31, 2026, compared to $19 thousand for the same period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Income tax benefit was $25.6 million for the three months ended March 31, 2026, compared to nil for the three months ended March 31, 2025. The increase was attributable to a $25.6 million non-cash income tax benefit resulting from the release of the Company’s valuation allowance against its deferred tax assets. The valuation allowance was released following the execution of an amendment to the Company’s license agreement with GTI Core on March 31, 2026, which transitioned licensing fees to a fixed annual structure and reduced uncertainty in projected future taxable income. Based on this change and sustained projected profitability, management concluded that sufficient positive evidence exists to support the realizability of its deferred tax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believes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 EBITDA is calculated as Income (loss) from continuing operations before: net interest (expense) income, provision for income taxes, and depreciation and amortization. Adjusted EBITDA is calculated as EBITDA before stock-based compensation and change in fair value of warrant liabilities.</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(loss) from continuing operations (GAAP) to non-GAAP Adjusted EBITDA, for the periods presented:</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net of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(25,593)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3,443</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 (EBITDA) (non-GAAP measure)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 (non-GAAP measure)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(2,757</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our principal sources of liquidity are cash and cash equivalents totaling $33.3 million. Our current working capital needs are to support revenue growth and manage inventory to meet demand forecasts and support operational growth. Our long-term financial needs primarily include working capital requirements.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evaluate whether there are conditions or events, considered in aggregate, that raise substantial doubt about our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condensed consolidated financial statements are issued.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history of recurring net losses and negative cash flow in operating activities. However, for the three months ended March 31, 2026, the Company generated positive cash flow from operating activities and reported net income which was mainly impacted by a non-cash income tax benefit. We believe our $33.3 million of cash and cash equivalents, anticipated contractual Licensing Revenue and ability to address our Convertible Notes will be sufficient to meet our cash requirements through at least the 12-month period following the date that these condensed consolidated financial statements were issued.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Convertible Notes maturities of $80.0 million exist through February 2027, with $72.0 million held by a subsidiary of Green Thumb, a related party. If the holders of these notes elect to be paid in cash upon maturity could raise substantial doubt about the our ability to continue as a going concern. However, while these contractual maturities require management attention, management believes it is probable that the obligations will be addressed through extension or conversion consistent with historical practice. As such, our financial statements have been prepared on a going concern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2025, we issued secured convertible notes with an aggregate original principal amount of $30.0 million (collectively the “May 2025 Notes”) to RSLGH and to certain other third-party accredited investors. The May 2025 Notes are secured obligations and rank senior to all of our indebtedness except for the August 2025 Notes,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25, 2025, we issued secured convertible notes with an aggregate original principal amount of $50.0 million (collectively the “August 2025 Notes”) to RSLGH and to certain other third-party accredited investors. The August 2025 Notes are secured obligations and rank senior to all of our indebtedness except for the May 2025 Notes,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$0.001 exercise price of the warrant. The conversion of the August 2025 Notes into Common Stock and/or pre-funded warrants is subject to certain customary conditions and, to the extent necessary, the receipt of stockholder approval under Nasdaq listing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May 2025 Notes and August 2025 Notes (together referred to as “the Convertible Notes”) impose certain customary affirmative and negative covenants upon us, including covenants relating to ranking and reservation of shares. If an event of default under one or more of the Convertible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We were in compliance with these covenants as of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1,043</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(6,721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explains the major components contributing to the net cash flows from operating, investing, and financing activities for the three months ended March 31, 2026 and 2025, as summarized in the table above. Each section below provides details on the key drivers of the cash inflows and outflows for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our operating cash flows included a net income of $19.9 million, which included $3.4 million related to depreciation and amortization, $25.6 million non-cash deferred income tax benefit, $750 thousand non-cash interest expenses, $570 thousand of stock-based compensation expense, and $105 thousand gain related to the change in fair value of warrant liabilities. Net cash was increased by changes in operating assets and liabilities of $1.9 million.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our operating cash flows included a net loss of $1.6 million, which included $336 thousand related to depreciation and amortization, $589 thousand of stock-based compensation expense, $407 thousand gain related to the change in fair value of warrant liabilities, and $3.6 million gain on disposal of the Extraction Business. Net cash was decreased by changes in operating assets and liabilities of $2.3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and 2025, there were no cash flows from investing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there were no cash flows from financing activities.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2025, net cash provided by financing activities was due to immaterial repayments of notes payable.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unaudited condensed consolidated financial statements, which have been prepared in accordance with GAAP. The preparation of these unaudited condensed consolidated financial statements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 Actual results may differ from these estimates under different assumptions or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net realizable value of inventory, goodwill impairment assessment, intangible assets and revenue recognition.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condensed consolidated financial statements are detailed in Note 1 - Overview, Basis of Presentation and Significant Accounting Policies included in the Form 10-K and Note 1 - Overview, Basis of Presentation and Significant Accounting Policies to our unaudited condensed consolidated financial statements in Part I, Item 1 of this Quarterly Report. Other than the addition of the accounting policies related to business combinations and asset acquisitions described in Note 1 – Overview, Basis of Presentation and Significant Accounting Policies, there have been no changes in these policies and estimates that had a significant impact on the financial condition and results of operations for the periods covered in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are included within Note 1 - Overview, Basis of Presentation and Significant Accounting Policies, included elsewhere in the notes to unaudited condensed consolidated financial statements covered under Part I, Item 1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are included within Note 1 - Overview, Basis of Presentation and Significant Accounting Policies, included elsewhere in the notes to unaudited condensed consolidated financial statements covered under Part I, Item 1 in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17 C.F.R. § 229.10, the Company is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Management, with the participation of our Interim Chief Executive Officer and Chief Financial Officer, evaluated the effectiveness of the design and operation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Interim Chief Executive Officer and Chief Financial Officer concluded that our disclosure controls and procedures were effective at the reasonable assurance level as of March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quarter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Proceedings in Note 15 - Commitments and Contingencies to our unaudited condensed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there are no material changes to our risk factors as previously disclosed in Part I, Item 1A of the 10-K. The risks described in this Quarterly Report and in the 10-K, among others, could materially and adversely affect our business, reputation, financial condition, results of operations, and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 2026, we issued 63,754 pre-funded warrants as payments of interest pursuant to the May 2025 Notes with an effective conversion price of $23.53. On March 9, 2026, we issued 78,459 pre-funded warrants to RSLGH as payment of interest pursuant to the August 2025 Note held by RSLGH with an effective conversion price of $29.475. The pre-funded warrants have an exercise price of $0.001 per share. The offers, sales and issuances of the securities described in this Item 2 were deemed to be exempt from registration under the Securities Act in reliance on Section 4(a)(2) of the Securities Act and Rule 506 promulgated under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officers or directors, as defined in Rule 16a-1(f), adopted, modified or terminated a Rule 10b5-1 trading arrangement or a non-Rule 10b5-1 trading arrangement as defined in item 408 of Regulation S-K, during the three months ended March 31,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Amendment to Trademark and Recipe License Agreement, dated March 31, 2026, by and between VCP IP Holdings, LLC and GTI Core,</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LL (incorporated by reference to Exhibit 10.1 to the Registrant’s Current Report on Form 8-K filed with the Securities and Exchange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Commission on April 1, 2026).</w:t>
              </w:r>
            </w:hyperlink>
          </w:p>
        </w:tc>
        <w:tc>
          <w:tcPr>
            <w:tcW w:w="7840" w:type="dxa"/>
            <w:vAlign w:val="bottom"/>
            <w:tcBorders>
              <w:bottom w:val="single" w:sz="8" w:color="CCEEFF"/>
            </w:tcBorders>
            <w:gridSpan w:val="7"/>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Amendment to Amended and Restated Trademark and Recipe License Agreement, dated March 31, 2026, by and between MC Brands LLC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and GTI Core, LLC (incorporated by reference to Exhibit 10.2 to the Registrant’s Current Report on Form 8-K filed with the Securities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Exchange Commission on April 1, 2026).</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Rule 13(a)-14(a)/15(d)-14(a) Certification of principal executive officer</w:t>
            </w:r>
          </w:p>
        </w:tc>
        <w:tc>
          <w:tcPr>
            <w:tcW w:w="492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financial and accounting officer</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executive officer</w:t>
            </w:r>
          </w:p>
        </w:tc>
        <w:tc>
          <w:tcPr>
            <w:tcW w:w="6060" w:type="dxa"/>
            <w:vAlign w:val="bottom"/>
            <w:tcBorders>
              <w:bottom w:val="single" w:sz="8" w:color="CCEEFF"/>
            </w:tcBorders>
            <w:gridSpan w:val="5"/>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principal financial and accounting officer</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20" w:firstLine="8"/>
        <w:spacing w:after="0" w:line="489" w:lineRule="auto"/>
        <w:tabs>
          <w:tab w:leader="none" w:pos="11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601(b)(32) of Regulation 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 /s/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 /s/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RYTHM,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Asher,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RYTHM,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RYTHM, Inc. (the “Company”) on Form 10-Q, for the period ended March 31, 2026, as filed with the Securities and Exchange Commission on the date hereof (the “Report”), I, Benjamin Kovler, Chairman and Interim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4"/>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336"/>
        <w:spacing w:after="0" w:line="499" w:lineRule="auto"/>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May 5,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RYTHM, Inc. (the “Company”) on Form 10-Q, for the period ended March 31, 2026, as filed with the Securities and Exchange Commission on the date hereof (the “Report”), I, Brad Asher,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4"/>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336"/>
        <w:spacing w:after="0" w:line="499"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May 5,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amp;"/>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04"/>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1" Type="http://schemas.openxmlformats.org/officeDocument/2006/relationships/hyperlink" Target="http://www.sec.gov/Archives/edgar/data/1800637/000121390026037996/ea028447501ex10-1.htm" TargetMode="External"/><Relationship Id="rId52" Type="http://schemas.openxmlformats.org/officeDocument/2006/relationships/hyperlink" Target="http://www.sec.gov/Archives/edgar/data/1800637/000121390026037996/ea028447501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2026-05-05T15:24:22Z</dcterms:created>
  <dcterms:modified xsi:type="dcterms:W3CDTF">2026-05-05T15:24:22Z</dcterms:modified>
</cp:coreProperties>
</file>