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28,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6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560" w:type="dxa"/>
            <w:vAlign w:val="bottom"/>
          </w:tcPr>
          <w:p>
            <w:pPr>
              <w:spacing w:after="0"/>
              <w:rPr>
                <w:sz w:val="24"/>
                <w:szCs w:val="24"/>
                <w:color w:val="auto"/>
              </w:rPr>
            </w:pPr>
          </w:p>
        </w:tc>
      </w:tr>
      <w:tr>
        <w:trPr>
          <w:trHeight w:val="245"/>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68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(855) 420-0020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62"/>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previously reported, on October 27, 2023, CP Acquisitions LLC (the “Lender”), an entity affiliated with and controlled by Raymond Chang, the Chief Executive Officer of Agrify Corporation (the “Company”) and a member of its Board of Directors, purchased from an institutional investor the Senior Secured Convertible Note originally issued by the Company on March 10, 2023 (the “Note”).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28, 2023, the Company granted an aggregate of 1,774,409 restricted stock units (the “RSUs”) pursuant to its 2022 Omnibus Equity Incentive Plan (the “Plan”) to its officers, directors and employees. The vesting of the RSUs is subject to future shareholder approval of an amendment to the Plan to increase the shares available for issuance thereunder by an amount that is sufficient for issuance of the underlying shares.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connection with and conditioned upon the grant of the RSUs, on November 30, 2023, the Lender agreed to forgive $1.0 million of principal amount outstanding under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2023-11-30T15:35:40Z</dcterms:created>
  <dcterms:modified xsi:type="dcterms:W3CDTF">2023-11-30T15:35:40Z</dcterms:modified>
</cp:coreProperties>
</file>