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182880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98" w:lineRule="exact"/>
        <w:rPr>
          <w:sz w:val="24"/>
          <w:szCs w:val="24"/>
          <w:color w:val="auto"/>
        </w:rPr>
      </w:pPr>
    </w:p>
    <w:p>
      <w:pPr>
        <w:ind w:left="4861"/>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34" w:lineRule="exact"/>
        <w:rPr>
          <w:sz w:val="24"/>
          <w:szCs w:val="24"/>
          <w:color w:val="auto"/>
        </w:rPr>
      </w:pPr>
    </w:p>
    <w:p>
      <w:pPr>
        <w:ind w:left="4461"/>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August 18, 2022</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AGRIFY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235"/>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020" w:type="dxa"/>
            <w:vAlign w:val="bottom"/>
            <w:gridSpan w:val="3"/>
          </w:tcPr>
          <w:p>
            <w:pPr>
              <w:jc w:val="right"/>
              <w:ind w:right="1440"/>
              <w:spacing w:after="0"/>
              <w:rPr>
                <w:sz w:val="20"/>
                <w:szCs w:val="20"/>
                <w:color w:val="auto"/>
              </w:rPr>
            </w:pPr>
            <w:r>
              <w:rPr>
                <w:rFonts w:ascii="Times New Roman" w:cs="Times New Roman" w:eastAsia="Times New Roman" w:hAnsi="Times New Roman"/>
                <w:sz w:val="16"/>
                <w:szCs w:val="16"/>
                <w:b w:val="1"/>
                <w:bCs w:val="1"/>
                <w:color w:val="auto"/>
              </w:rPr>
              <w:t>001-39946</w:t>
            </w:r>
          </w:p>
        </w:tc>
        <w:tc>
          <w:tcPr>
            <w:tcW w:w="2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30-0943453</w:t>
            </w:r>
          </w:p>
        </w:tc>
      </w:tr>
      <w:tr>
        <w:trPr>
          <w:trHeight w:val="181"/>
        </w:trPr>
        <w:tc>
          <w:tcPr>
            <w:tcW w:w="36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(State or other jurisdiction</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20" w:type="dxa"/>
            <w:vAlign w:val="bottom"/>
            <w:tcBorders>
              <w:top w:val="single" w:sz="8" w:color="auto"/>
            </w:tcBorders>
            <w:gridSpan w:val="3"/>
          </w:tcPr>
          <w:p>
            <w:pPr>
              <w:jc w:val="center"/>
              <w:ind w:right="560"/>
              <w:spacing w:after="0" w:line="181" w:lineRule="exact"/>
              <w:rPr>
                <w:sz w:val="20"/>
                <w:szCs w:val="20"/>
                <w:color w:val="auto"/>
              </w:rPr>
            </w:pPr>
            <w:r>
              <w:rPr>
                <w:rFonts w:ascii="Times New Roman" w:cs="Times New Roman" w:eastAsia="Times New Roman" w:hAnsi="Times New Roman"/>
                <w:sz w:val="16"/>
                <w:szCs w:val="16"/>
                <w:color w:val="auto"/>
              </w:rPr>
              <w:t>(Commission File Number)</w:t>
            </w:r>
          </w:p>
        </w:tc>
        <w:tc>
          <w:tcPr>
            <w:tcW w:w="240" w:type="dxa"/>
            <w:vAlign w:val="bottom"/>
          </w:tcPr>
          <w:p>
            <w:pPr>
              <w:spacing w:after="0"/>
              <w:rPr>
                <w:sz w:val="15"/>
                <w:szCs w:val="15"/>
                <w:color w:val="auto"/>
              </w:rPr>
            </w:pPr>
          </w:p>
        </w:tc>
        <w:tc>
          <w:tcPr>
            <w:tcW w:w="35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(IRS Employer</w:t>
            </w:r>
          </w:p>
        </w:tc>
      </w:tr>
      <w:tr>
        <w:trPr>
          <w:trHeight w:val="214"/>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rPr>
              <w:t>of incorporation)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3"/>
        </w:trPr>
        <w:tc>
          <w:tcPr>
            <w:tcW w:w="4400" w:type="dxa"/>
            <w:vAlign w:val="bottom"/>
            <w:gridSpan w:val="3"/>
          </w:tcPr>
          <w:p>
            <w:pPr>
              <w:jc w:val="center"/>
              <w:ind w:left="1038"/>
              <w:spacing w:after="0"/>
              <w:rPr>
                <w:sz w:val="20"/>
                <w:szCs w:val="20"/>
                <w:color w:val="auto"/>
              </w:rPr>
            </w:pPr>
            <w:r>
              <w:rPr>
                <w:rFonts w:ascii="Times New Roman" w:cs="Times New Roman" w:eastAsia="Times New Roman" w:hAnsi="Times New Roman"/>
                <w:sz w:val="16"/>
                <w:szCs w:val="16"/>
                <w:b w:val="1"/>
                <w:bCs w:val="1"/>
                <w:color w:val="auto"/>
              </w:rPr>
              <w:t>76 Treble Cove Rd.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97"/>
        </w:trPr>
        <w:tc>
          <w:tcPr>
            <w:tcW w:w="4400" w:type="dxa"/>
            <w:vAlign w:val="bottom"/>
            <w:gridSpan w:val="3"/>
          </w:tcPr>
          <w:p>
            <w:pPr>
              <w:jc w:val="center"/>
              <w:ind w:left="1038"/>
              <w:spacing w:after="0"/>
              <w:rPr>
                <w:sz w:val="20"/>
                <w:szCs w:val="20"/>
                <w:color w:val="auto"/>
              </w:rPr>
            </w:pPr>
            <w:r>
              <w:rPr>
                <w:rFonts w:ascii="Times New Roman" w:cs="Times New Roman" w:eastAsia="Times New Roman" w:hAnsi="Times New Roman"/>
                <w:sz w:val="16"/>
                <w:szCs w:val="16"/>
                <w:b w:val="1"/>
                <w:bCs w:val="1"/>
                <w:color w:val="auto"/>
              </w:rPr>
              <w:t>Building 3</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2"/>
        </w:trPr>
        <w:tc>
          <w:tcPr>
            <w:tcW w:w="4400" w:type="dxa"/>
            <w:vAlign w:val="bottom"/>
            <w:tcBorders>
              <w:bottom w:val="single" w:sz="8" w:color="auto"/>
            </w:tcBorders>
            <w:gridSpan w:val="3"/>
          </w:tcPr>
          <w:p>
            <w:pPr>
              <w:jc w:val="center"/>
              <w:ind w:left="1038"/>
              <w:spacing w:after="0"/>
              <w:rPr>
                <w:sz w:val="20"/>
                <w:szCs w:val="20"/>
                <w:color w:val="auto"/>
              </w:rPr>
            </w:pPr>
            <w:r>
              <w:rPr>
                <w:rFonts w:ascii="Times New Roman" w:cs="Times New Roman" w:eastAsia="Times New Roman" w:hAnsi="Times New Roman"/>
                <w:sz w:val="16"/>
                <w:szCs w:val="16"/>
                <w:b w:val="1"/>
                <w:bCs w:val="1"/>
                <w:color w:val="auto"/>
              </w:rPr>
              <w:t>Billerica, MA 01862</w:t>
            </w: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jc w:val="right"/>
              <w:ind w:right="2458"/>
              <w:spacing w:after="0"/>
              <w:rPr>
                <w:sz w:val="20"/>
                <w:szCs w:val="20"/>
                <w:color w:val="auto"/>
              </w:rPr>
            </w:pPr>
            <w:r>
              <w:rPr>
                <w:rFonts w:ascii="Times New Roman" w:cs="Times New Roman" w:eastAsia="Times New Roman" w:hAnsi="Times New Roman"/>
                <w:sz w:val="16"/>
                <w:szCs w:val="16"/>
                <w:b w:val="1"/>
                <w:bCs w:val="1"/>
                <w:color w:val="auto"/>
              </w:rPr>
              <w:t>01862</w:t>
            </w:r>
          </w:p>
        </w:tc>
      </w:tr>
      <w:tr>
        <w:trPr>
          <w:trHeight w:val="214"/>
        </w:trPr>
        <w:tc>
          <w:tcPr>
            <w:tcW w:w="4400" w:type="dxa"/>
            <w:vAlign w:val="bottom"/>
            <w:gridSpan w:val="3"/>
          </w:tcPr>
          <w:p>
            <w:pPr>
              <w:jc w:val="center"/>
              <w:ind w:left="1038"/>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Pr>
          <w:p>
            <w:pPr>
              <w:jc w:val="center"/>
              <w:ind w:right="1818"/>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896-5243</w:t>
      </w:r>
    </w:p>
    <w:p>
      <w:pPr>
        <w:spacing w:after="0" w:line="21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0" w:lineRule="exact"/>
        <w:rPr>
          <w:rFonts w:ascii="MS PGothic" w:cs="MS PGothic" w:eastAsia="MS PGothic" w:hAnsi="MS PGothic"/>
          <w:sz w:val="16"/>
          <w:szCs w:val="16"/>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0" w:lineRule="exact"/>
        <w:rPr>
          <w:rFonts w:ascii="MS PGothic" w:cs="MS PGothic" w:eastAsia="MS PGothic" w:hAnsi="MS PGothic"/>
          <w:sz w:val="16"/>
          <w:szCs w:val="16"/>
          <w:color w:val="auto"/>
        </w:rPr>
      </w:pPr>
    </w:p>
    <w:p>
      <w:pPr>
        <w:ind w:left="301" w:hanging="301"/>
        <w:spacing w:after="0"/>
        <w:tabs>
          <w:tab w:leader="none" w:pos="30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0" w:lineRule="exact"/>
        <w:rPr>
          <w:rFonts w:ascii="MS PGothic" w:cs="MS PGothic" w:eastAsia="MS PGothic" w:hAnsi="MS PGothic"/>
          <w:sz w:val="16"/>
          <w:szCs w:val="16"/>
          <w:color w:val="auto"/>
        </w:rPr>
      </w:pPr>
    </w:p>
    <w:p>
      <w:pPr>
        <w:ind w:left="1" w:right="3600" w:hanging="1"/>
        <w:spacing w:after="0" w:line="511" w:lineRule="auto"/>
        <w:tabs>
          <w:tab w:leader="none" w:pos="29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1" w:type="dxa"/>
        <w:tblCellMar>
          <w:top w:w="0" w:type="dxa"/>
          <w:left w:w="0" w:type="dxa"/>
          <w:bottom w:w="0" w:type="dxa"/>
          <w:right w:w="0" w:type="dxa"/>
        </w:tblCellMar>
      </w:tblPr>
      <w:tr>
        <w:trPr>
          <w:trHeight w:val="21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9"/>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AGFY</w:t>
            </w:r>
          </w:p>
        </w:tc>
        <w:tc>
          <w:tcPr>
            <w:tcW w:w="24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jc w:val="both"/>
        <w:ind w:left="1"/>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jc w:val="both"/>
        <w:ind w:left="1"/>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71443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714438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543560</wp:posOffset>
            </wp:positionV>
            <wp:extent cx="714438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468" w:right="339" w:bottom="1440" w:gutter="0" w:footer="0" w:header="0"/>
        </w:sectPr>
      </w:pPr>
    </w:p>
    <w:bookmarkStart w:id="1" w:name="page2"/>
    <w:bookmarkEnd w:id="1"/>
    <w:p>
      <w:pPr>
        <w:ind w:left="1"/>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1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i w:val="1"/>
          <w:iCs w:val="1"/>
          <w:color w:val="auto"/>
        </w:rPr>
        <w:t>Securities Exchange Agreement</w:t>
      </w:r>
    </w:p>
    <w:p>
      <w:pPr>
        <w:spacing w:after="0" w:line="212"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6"/>
          <w:szCs w:val="16"/>
          <w:color w:val="auto"/>
        </w:rPr>
        <w:t>As previously reported, on March 14, 2022, Agrify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 Securities Purchase Agreement (the “</w:t>
      </w:r>
      <w:r>
        <w:rPr>
          <w:rFonts w:ascii="Times New Roman" w:cs="Times New Roman" w:eastAsia="Times New Roman" w:hAnsi="Times New Roman"/>
          <w:sz w:val="16"/>
          <w:szCs w:val="16"/>
          <w:u w:val="single" w:color="auto"/>
          <w:color w:val="auto"/>
        </w:rPr>
        <w:t>Securities Purchase Agreement</w:t>
      </w:r>
      <w:r>
        <w:rPr>
          <w:rFonts w:ascii="Times New Roman" w:cs="Times New Roman" w:eastAsia="Times New Roman" w:hAnsi="Times New Roman"/>
          <w:sz w:val="16"/>
          <w:szCs w:val="16"/>
          <w:color w:val="auto"/>
        </w:rPr>
        <w:t>”) with an accredited investor (the “</w:t>
      </w:r>
      <w:r>
        <w:rPr>
          <w:rFonts w:ascii="Times New Roman" w:cs="Times New Roman" w:eastAsia="Times New Roman" w:hAnsi="Times New Roman"/>
          <w:sz w:val="16"/>
          <w:szCs w:val="16"/>
          <w:u w:val="single" w:color="auto"/>
          <w:color w:val="auto"/>
        </w:rPr>
        <w:t>Lender</w:t>
      </w:r>
      <w:r>
        <w:rPr>
          <w:rFonts w:ascii="Times New Roman" w:cs="Times New Roman" w:eastAsia="Times New Roman" w:hAnsi="Times New Roman"/>
          <w:sz w:val="16"/>
          <w:szCs w:val="16"/>
          <w:color w:val="auto"/>
        </w:rPr>
        <w:t>”), pursuant to which, among other things, the Company agreed to issue and sell to the Lender, in a private placement transaction, in exchange for the payment by the Lender of $65,000,000, less applicable expenses as set forth in the Securities Purchase Agreement, (i) a senior secured promissory note in an aggregate principal amount of $65,000,000 (the “</w:t>
      </w:r>
      <w:r>
        <w:rPr>
          <w:rFonts w:ascii="Times New Roman" w:cs="Times New Roman" w:eastAsia="Times New Roman" w:hAnsi="Times New Roman"/>
          <w:sz w:val="16"/>
          <w:szCs w:val="16"/>
          <w:u w:val="single" w:color="auto"/>
          <w:color w:val="auto"/>
        </w:rPr>
        <w:t>Existing Note</w:t>
      </w:r>
      <w:r>
        <w:rPr>
          <w:rFonts w:ascii="Times New Roman" w:cs="Times New Roman" w:eastAsia="Times New Roman" w:hAnsi="Times New Roman"/>
          <w:sz w:val="16"/>
          <w:szCs w:val="16"/>
          <w:color w:val="auto"/>
        </w:rPr>
        <w:t>”), and (ii) a warrant (the “</w:t>
      </w:r>
      <w:r>
        <w:rPr>
          <w:rFonts w:ascii="Times New Roman" w:cs="Times New Roman" w:eastAsia="Times New Roman" w:hAnsi="Times New Roman"/>
          <w:sz w:val="16"/>
          <w:szCs w:val="16"/>
          <w:u w:val="single" w:color="auto"/>
          <w:color w:val="auto"/>
        </w:rPr>
        <w:t>Existing Warrant</w:t>
      </w:r>
      <w:r>
        <w:rPr>
          <w:rFonts w:ascii="Times New Roman" w:cs="Times New Roman" w:eastAsia="Times New Roman" w:hAnsi="Times New Roman"/>
          <w:sz w:val="16"/>
          <w:szCs w:val="16"/>
          <w:color w:val="auto"/>
        </w:rPr>
        <w:t>”) to purchase up to an aggregate of 6,881,108 shares of common stock of the Company, par value $0.001 per share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6"/>
          <w:szCs w:val="16"/>
          <w:color w:val="auto"/>
        </w:rPr>
        <w:t>On August 18, 2022, the Company entered into a Securities Exchange Agreement (the “</w:t>
      </w:r>
      <w:r>
        <w:rPr>
          <w:rFonts w:ascii="Times New Roman" w:cs="Times New Roman" w:eastAsia="Times New Roman" w:hAnsi="Times New Roman"/>
          <w:sz w:val="16"/>
          <w:szCs w:val="16"/>
          <w:u w:val="single" w:color="auto"/>
          <w:color w:val="auto"/>
        </w:rPr>
        <w:t>Exchange Agreement</w:t>
      </w:r>
      <w:r>
        <w:rPr>
          <w:rFonts w:ascii="Times New Roman" w:cs="Times New Roman" w:eastAsia="Times New Roman" w:hAnsi="Times New Roman"/>
          <w:sz w:val="16"/>
          <w:szCs w:val="16"/>
          <w:color w:val="auto"/>
        </w:rPr>
        <w:t>”). Pursuant to the Exchange Agreement, the Company will partially prepay $35.2 million under the Existing Note and exchange the remaining balance of the Existing Note for (i) a new senior secured note (the “</w:t>
      </w:r>
      <w:r>
        <w:rPr>
          <w:rFonts w:ascii="Times New Roman" w:cs="Times New Roman" w:eastAsia="Times New Roman" w:hAnsi="Times New Roman"/>
          <w:sz w:val="16"/>
          <w:szCs w:val="16"/>
          <w:u w:val="single" w:color="auto"/>
          <w:color w:val="auto"/>
        </w:rPr>
        <w:t>Exchange Note</w:t>
      </w:r>
      <w:r>
        <w:rPr>
          <w:rFonts w:ascii="Times New Roman" w:cs="Times New Roman" w:eastAsia="Times New Roman" w:hAnsi="Times New Roman"/>
          <w:sz w:val="16"/>
          <w:szCs w:val="16"/>
          <w:color w:val="auto"/>
        </w:rPr>
        <w:t>”) with an aggregate original principal amount of $35.0 million and (ii) a new warrant to purchase 14,227,643 shares of common stock (the “</w:t>
      </w:r>
      <w:r>
        <w:rPr>
          <w:rFonts w:ascii="Times New Roman" w:cs="Times New Roman" w:eastAsia="Times New Roman" w:hAnsi="Times New Roman"/>
          <w:sz w:val="16"/>
          <w:szCs w:val="16"/>
          <w:u w:val="single" w:color="auto"/>
          <w:color w:val="auto"/>
        </w:rPr>
        <w:t>Note Exchange Warrant</w:t>
      </w:r>
      <w:r>
        <w:rPr>
          <w:rFonts w:ascii="Times New Roman" w:cs="Times New Roman" w:eastAsia="Times New Roman" w:hAnsi="Times New Roman"/>
          <w:sz w:val="16"/>
          <w:szCs w:val="16"/>
          <w:color w:val="auto"/>
        </w:rPr>
        <w:t>”). Additionally, the Company will exchange the Existing Warrant for a new warrant for the same number of underlying shares but with a reduced exercise price (the “</w:t>
      </w:r>
      <w:r>
        <w:rPr>
          <w:rFonts w:ascii="Times New Roman" w:cs="Times New Roman" w:eastAsia="Times New Roman" w:hAnsi="Times New Roman"/>
          <w:sz w:val="16"/>
          <w:szCs w:val="16"/>
          <w:u w:val="single" w:color="auto"/>
          <w:color w:val="auto"/>
        </w:rPr>
        <w:t>Warrant Exchange Warrant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The Exchange Note will be a senior secured obligation of the Company and will rank senior to all indebtedness of the Company. The Exchange Note will mature on the three-year anniversary of its issuance (the “</w:t>
      </w:r>
      <w:r>
        <w:rPr>
          <w:rFonts w:ascii="Times New Roman" w:cs="Times New Roman" w:eastAsia="Times New Roman" w:hAnsi="Times New Roman"/>
          <w:sz w:val="16"/>
          <w:szCs w:val="16"/>
          <w:u w:val="single" w:color="auto"/>
          <w:color w:val="auto"/>
        </w:rPr>
        <w:t>Maturity Date</w:t>
      </w:r>
      <w:r>
        <w:rPr>
          <w:rFonts w:ascii="Times New Roman" w:cs="Times New Roman" w:eastAsia="Times New Roman" w:hAnsi="Times New Roman"/>
          <w:sz w:val="16"/>
          <w:szCs w:val="16"/>
          <w:color w:val="auto"/>
        </w:rPr>
        <w:t>”) and will contain a 9.0% annualized interest rate, with interest to be paid monthly, in cash, beginning September 1, 2022. The principal amount of the Exchange Note will be payable on the Maturity Date, provided that the Lender will entitled to a cash sweep of 20% of the proceeds received by the Company in connection with any equity financing, which will reduce the outstanding principal amount under the Note.</w:t>
      </w:r>
    </w:p>
    <w:p>
      <w:pPr>
        <w:spacing w:after="0" w:line="158" w:lineRule="exact"/>
        <w:rPr>
          <w:sz w:val="20"/>
          <w:szCs w:val="20"/>
          <w:color w:val="auto"/>
        </w:rPr>
      </w:pPr>
    </w:p>
    <w:p>
      <w:pPr>
        <w:jc w:val="both"/>
        <w:ind w:left="1"/>
        <w:spacing w:after="0" w:line="270" w:lineRule="auto"/>
        <w:rPr>
          <w:sz w:val="20"/>
          <w:szCs w:val="20"/>
          <w:color w:val="auto"/>
        </w:rPr>
      </w:pPr>
      <w:r>
        <w:rPr>
          <w:rFonts w:ascii="Times New Roman" w:cs="Times New Roman" w:eastAsia="Times New Roman" w:hAnsi="Times New Roman"/>
          <w:sz w:val="16"/>
          <w:szCs w:val="16"/>
          <w:color w:val="auto"/>
        </w:rPr>
        <w:t>At any time, the Company may prepay all of the Exchange Note by redemption at a price equal to 102.5% of the then-outstanding principal amount under the Note plus accrued but unpaid interest. The Lender will also have the option of requiring the Company to redeem the Exchange Note (i) on the one-year or two-year anniversaries of issuance at a price equal to the then-outstanding principal amount under the Exchange Note plus accrued but unpaid interest, or (ii) if the Company undergoes a fundamental change at a price equal to 102.5% of the then-outstanding principal amount under the Exchange Note plus accrued but unpaid interest.</w:t>
      </w:r>
    </w:p>
    <w:p>
      <w:pPr>
        <w:spacing w:after="0" w:line="158" w:lineRule="exact"/>
        <w:rPr>
          <w:sz w:val="20"/>
          <w:szCs w:val="20"/>
          <w:color w:val="auto"/>
        </w:rPr>
      </w:pPr>
    </w:p>
    <w:p>
      <w:pPr>
        <w:jc w:val="both"/>
        <w:ind w:left="1"/>
        <w:spacing w:after="0" w:line="264" w:lineRule="auto"/>
        <w:rPr>
          <w:sz w:val="20"/>
          <w:szCs w:val="20"/>
          <w:color w:val="auto"/>
        </w:rPr>
      </w:pPr>
      <w:r>
        <w:rPr>
          <w:rFonts w:ascii="Times New Roman" w:cs="Times New Roman" w:eastAsia="Times New Roman" w:hAnsi="Times New Roman"/>
          <w:sz w:val="16"/>
          <w:szCs w:val="16"/>
          <w:color w:val="auto"/>
        </w:rPr>
        <w:t>The Exchange Note will impose certain customary affirmative and negative covenants upon the Company, as well as covenants that (i) restrict the Company and its subsidiaries from incurring any additional indebtedness or suffering any liens, subject to specified exceptions, (ii) restrict the ability of the Company and its subsidiaries from making certain investments, subject to specified exceptions, (iii) restrict the declaration of any dividends or other distributions, subject to specified exceptions,</w:t>
      </w:r>
    </w:p>
    <w:p>
      <w:pPr>
        <w:spacing w:after="0" w:line="2" w:lineRule="exact"/>
        <w:rPr>
          <w:sz w:val="20"/>
          <w:szCs w:val="20"/>
          <w:color w:val="auto"/>
        </w:rPr>
      </w:pPr>
    </w:p>
    <w:p>
      <w:pPr>
        <w:jc w:val="both"/>
        <w:ind w:left="1" w:hanging="1"/>
        <w:spacing w:after="0" w:line="262" w:lineRule="auto"/>
        <w:tabs>
          <w:tab w:leader="none" w:pos="3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Company not to exceed maximum levels of allowable cash spend while the Exchange Note is outstanding, and (v) require the Company to maintain minimum amounts of cash on hand. If an event of default under the Exchange Note occurs, the Lender can elect to redeem the Exchange Note for cash equal to 115% of the then-outstanding principal amount of the Note (or such lesser principal amount accelerated by the Investor), plus accrued and unpaid interest, including default interest, which accrues at a rate per annum equal to 15% from the date of a default or event of default.</w:t>
      </w:r>
    </w:p>
    <w:p>
      <w:pPr>
        <w:spacing w:after="0" w:line="165" w:lineRule="exact"/>
        <w:rPr>
          <w:sz w:val="20"/>
          <w:szCs w:val="20"/>
          <w:color w:val="auto"/>
        </w:rPr>
      </w:pPr>
    </w:p>
    <w:p>
      <w:pPr>
        <w:jc w:val="both"/>
        <w:ind w:left="1"/>
        <w:spacing w:after="0" w:line="277" w:lineRule="auto"/>
        <w:rPr>
          <w:sz w:val="20"/>
          <w:szCs w:val="20"/>
          <w:color w:val="auto"/>
        </w:rPr>
      </w:pPr>
      <w:r>
        <w:rPr>
          <w:rFonts w:ascii="Times New Roman" w:cs="Times New Roman" w:eastAsia="Times New Roman" w:hAnsi="Times New Roman"/>
          <w:sz w:val="16"/>
          <w:szCs w:val="16"/>
          <w:color w:val="auto"/>
        </w:rPr>
        <w:t>Until the date the Exchange Note is fully repaid, the Lender will, subject to certain exceptions, have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52"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6"/>
          <w:szCs w:val="16"/>
          <w:color w:val="auto"/>
        </w:rPr>
        <w:t>The Warrant Exchange Warrant will have an exercise price of $2.15 per share, subject to adjustment for stock splits, reverse stock splits, stock dividends and similar transactions, will be exercisable on and after the six-month anniversary of issuance, will have a term of five and one-half years from the date of issuance and will be exercisable on a cash basis, unless there is not an effective registration statement covering the resale of the shares issuable upon exercise of the Warrant Exchange Warrant (the “</w:t>
      </w:r>
      <w:r>
        <w:rPr>
          <w:rFonts w:ascii="Times New Roman" w:cs="Times New Roman" w:eastAsia="Times New Roman" w:hAnsi="Times New Roman"/>
          <w:sz w:val="16"/>
          <w:szCs w:val="16"/>
          <w:u w:val="single" w:color="auto"/>
          <w:color w:val="auto"/>
        </w:rPr>
        <w:t>Warrant Exchange Warrant Shares</w:t>
      </w:r>
      <w:r>
        <w:rPr>
          <w:rFonts w:ascii="Times New Roman" w:cs="Times New Roman" w:eastAsia="Times New Roman" w:hAnsi="Times New Roman"/>
          <w:sz w:val="16"/>
          <w:szCs w:val="16"/>
          <w:color w:val="auto"/>
        </w:rPr>
        <w:t>”) or if shareholder approval for full exercise of the Warrant Exchange Warrant is not received, in which case the Warrant Exchange Warrant will also be exercisable on a cashless exercise basis at the Lender’s election.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2" w:name="page3"/>
    <w:bookmarkEnd w:id="2"/>
    <w:p>
      <w:pPr>
        <w:jc w:val="both"/>
        <w:spacing w:after="0" w:line="263" w:lineRule="auto"/>
        <w:rPr>
          <w:sz w:val="20"/>
          <w:szCs w:val="20"/>
          <w:color w:val="auto"/>
        </w:rPr>
      </w:pPr>
      <w:r>
        <w:rPr>
          <w:rFonts w:ascii="Times New Roman" w:cs="Times New Roman" w:eastAsia="Times New Roman" w:hAnsi="Times New Roman"/>
          <w:sz w:val="16"/>
          <w:szCs w:val="16"/>
          <w:color w:val="auto"/>
        </w:rPr>
        <w:t>The Note Exchange Warrant will have an exercise price of $1.23 per share, subject to adjustment for stock splits, reverse stock splits, stock dividends and similar transactions, will be exercisable upon issuance, will have a term of five and one-half years from the date of issuance and will be exercisable on a cash basis, unless there is not an effective registration statement covering the resale of the shares issuable upon exercise of the Warrant (the “</w:t>
      </w:r>
      <w:r>
        <w:rPr>
          <w:rFonts w:ascii="Times New Roman" w:cs="Times New Roman" w:eastAsia="Times New Roman" w:hAnsi="Times New Roman"/>
          <w:sz w:val="16"/>
          <w:szCs w:val="16"/>
          <w:u w:val="single" w:color="auto"/>
          <w:color w:val="auto"/>
        </w:rPr>
        <w:t>Note Exchange Warrant Shares</w:t>
      </w:r>
      <w:r>
        <w:rPr>
          <w:rFonts w:ascii="Times New Roman" w:cs="Times New Roman" w:eastAsia="Times New Roman" w:hAnsi="Times New Roman"/>
          <w:sz w:val="16"/>
          <w:szCs w:val="16"/>
          <w:color w:val="auto"/>
        </w:rPr>
        <w:t>” and, together with the Warrant Exchange Warrant Shares, the “</w:t>
      </w:r>
      <w:r>
        <w:rPr>
          <w:rFonts w:ascii="Times New Roman" w:cs="Times New Roman" w:eastAsia="Times New Roman" w:hAnsi="Times New Roman"/>
          <w:sz w:val="16"/>
          <w:szCs w:val="16"/>
          <w:u w:val="single" w:color="auto"/>
          <w:color w:val="auto"/>
        </w:rPr>
        <w:t>Warrant Shares</w:t>
      </w:r>
      <w:r>
        <w:rPr>
          <w:rFonts w:ascii="Times New Roman" w:cs="Times New Roman" w:eastAsia="Times New Roman" w:hAnsi="Times New Roman"/>
          <w:sz w:val="16"/>
          <w:szCs w:val="16"/>
          <w:color w:val="auto"/>
        </w:rPr>
        <w:t>”) or if shareholder approval for full exercise of the Note Exchange Warrant is not received, in which case the Note Exchange Warrant will also be exercisable on a cashless exercise basis at the Lender’s election. Until the Company completes a qualified equity financing of at least $15.0 million, the Note Exchange Warrant’s exercise price will be reduced to the extent Agrify issues securities for a lower purchase price. The Note Exchange Warrant will also prohibit Agrify, until following the completion of such qualified equity financing, from issuing warrants with more favorable or preferential terms and/or provisions.</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Warrant Exchange Warrant and the Note Exchange Warrant will each provide that in no event will the number of shares of Common Stock issued upon exercise of such warrant result in the Lender’s beneficial ownership exceeding 4.99% of the Company’s shares of common stock outstanding at the time of exercise (which percentage may be decreased or increased by the Lender, but to no greater than 9.99%, and provided that any increase above 4.99% will not be effective until the sixty-first (61st) day after notice of such request by the Lender to increase its beneficial ownership limit has been delivered to the Company). Additionally, the Warrant Exchange Warrant and the Note Exchange Warrant may not be exercised for more than an aggregate of 5,308,578 shares of common stock unless and until shareholder approval is obtained, which the Company has agreed to use reasonable best efforts to obtain such shareholder approval at the next meeting of stockholders of the Company, but in no event later than June 30, 2023.</w:t>
      </w:r>
    </w:p>
    <w:p>
      <w:pPr>
        <w:spacing w:after="0" w:line="16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The Exchange Agreement requires the Company to file a resale registration statement with respect to the Warrant Shares as soon as practicable and in any event within 45 days following the closing under the Exchange Agreement. The Exchange Agreement also contains customary representations and warranties of the Company and the Lender.</w:t>
      </w:r>
    </w:p>
    <w:p>
      <w:pPr>
        <w:spacing w:after="0" w:line="3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foregoing summaries of the Exchange Agreement, the Exchange Note, the Warrant Exchange Warrant and the Note Exchange Warrant do not purport to be complete and are qualified in their entirety by reference to the copies of the Exchange Agreement, the Exchange Note, the Warrant Exchange Warrant and the Note Exchange Warrant that are filed herewith as Exhibits 10.1, 4.1, 4.2 and 4.3, respectively.</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representations, warranties and covenants contained in the Exchange Agreement were made only for purposes of such agreement and as of specific dates, were solely for the benefit of the parties to the Exchange Agreement, and may be subject to limitations agreed upon by the contracting parties. Accordingly, the Exchange Agreement is incorporated herein by reference only to provide investors with information regarding the terms of the Exchange Agreement, and not to provide investors with any other factual information regarding the Company or its business, and should be read in conjunction with the disclosures in the Company’s periodic reports and other filings with Securities and Exchange Commission.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2.03. Creation of a Direct Financial Obligation.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in Item 1.01 of this Current Report on Form 8-K regarding the Note is incorporated herein by reference into this Item 2.03.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3.02. Unregistered Sales of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in Item 1.01 of this Current Report on Form 8-K regarding the Exchange is incorporated herein by reference into this Item 3.02.</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Exchange Note, the Warrant Exchange Warrant, the Note Exchange Warrant and the Warrant Shares (collectively, the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will be offered and sold to the Lender in a transaction exempt from registration under the Securities Act in reliance on Section 4(a)(2) thereof and Rule 506(b) of Regulation D thereunder. The Lender represented that it was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Neither this Current Report on Form 8-K nor the exhibits attached hereto is an offer to sell or the solicitation of an offer to buy shares of Common Stock, notes, warrants or any other securities of the Company.</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 w:name="page4"/>
    <w:bookmarkEnd w:id="3"/>
    <w:p>
      <w:pPr>
        <w:ind w:left="1"/>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14" w:lineRule="exact"/>
        <w:rPr>
          <w:sz w:val="20"/>
          <w:szCs w:val="20"/>
          <w:color w:val="auto"/>
        </w:rPr>
      </w:pPr>
    </w:p>
    <w:p>
      <w:pPr>
        <w:ind w:left="1"/>
        <w:spacing w:after="0" w:line="296" w:lineRule="auto"/>
        <w:rPr>
          <w:sz w:val="20"/>
          <w:szCs w:val="20"/>
          <w:color w:val="auto"/>
        </w:rPr>
      </w:pPr>
      <w:r>
        <w:rPr>
          <w:rFonts w:ascii="Times New Roman" w:cs="Times New Roman" w:eastAsia="Times New Roman" w:hAnsi="Times New Roman"/>
          <w:sz w:val="16"/>
          <w:szCs w:val="16"/>
          <w:color w:val="auto"/>
        </w:rPr>
        <w:t>On August 19, 2022, the Company issued a press release announcing its entry into the Exchange Agreement. A copy of the press release is attached as Exhibit 99.1 to this Current Report on Form 8-K and is incorporated herein by reference.</w:t>
      </w:r>
    </w:p>
    <w:p>
      <w:pPr>
        <w:spacing w:after="0" w:line="13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(d) Exhibits.</w:t>
      </w:r>
    </w:p>
    <w:p>
      <w:pPr>
        <w:spacing w:after="0" w:line="21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The Company hereby files or furnishes, as applicable, the following exhibits:</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2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7"/>
        </w:trPr>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r>
      <w:tr>
        <w:trPr>
          <w:trHeight w:val="177"/>
        </w:trPr>
        <w:tc>
          <w:tcPr>
            <w:tcW w:w="1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4.1</w:t>
            </w:r>
          </w:p>
        </w:tc>
        <w:tc>
          <w:tcPr>
            <w:tcW w:w="10220" w:type="dxa"/>
            <w:vAlign w:val="bottom"/>
            <w:gridSpan w:val="7"/>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0000EE"/>
              </w:rPr>
              <w:t>Form of Senior Secured Note</w:t>
            </w:r>
          </w:p>
        </w:tc>
      </w:tr>
      <w:tr>
        <w:trPr>
          <w:trHeight w:val="197"/>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r>
      <w:tr>
        <w:trPr>
          <w:trHeight w:val="177"/>
        </w:trPr>
        <w:tc>
          <w:tcPr>
            <w:tcW w:w="1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4.2</w:t>
            </w:r>
          </w:p>
        </w:tc>
        <w:tc>
          <w:tcPr>
            <w:tcW w:w="10220" w:type="dxa"/>
            <w:vAlign w:val="bottom"/>
            <w:gridSpan w:val="7"/>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0000EE"/>
              </w:rPr>
              <w:t>Form of Warrant Exchange Warrant</w:t>
            </w:r>
          </w:p>
        </w:tc>
      </w:tr>
      <w:tr>
        <w:trPr>
          <w:trHeight w:val="197"/>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r>
      <w:tr>
        <w:trPr>
          <w:trHeight w:val="177"/>
        </w:trPr>
        <w:tc>
          <w:tcPr>
            <w:tcW w:w="1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4.3</w:t>
            </w:r>
          </w:p>
        </w:tc>
        <w:tc>
          <w:tcPr>
            <w:tcW w:w="10220" w:type="dxa"/>
            <w:vAlign w:val="bottom"/>
            <w:gridSpan w:val="7"/>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0000EE"/>
              </w:rPr>
              <w:t>Form of Note Exchange Warrant</w:t>
            </w:r>
          </w:p>
        </w:tc>
      </w:tr>
      <w:tr>
        <w:trPr>
          <w:trHeight w:val="197"/>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r>
      <w:tr>
        <w:trPr>
          <w:trHeight w:val="177"/>
        </w:trPr>
        <w:tc>
          <w:tcPr>
            <w:tcW w:w="1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10.1*</w:t>
            </w:r>
          </w:p>
        </w:tc>
        <w:tc>
          <w:tcPr>
            <w:tcW w:w="10220" w:type="dxa"/>
            <w:vAlign w:val="bottom"/>
            <w:gridSpan w:val="7"/>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0000EE"/>
              </w:rPr>
              <w:t>Exchange Agreement, dated as of August 18, 2022, by and among Agrify Corporation and the investor listed therein</w:t>
            </w:r>
          </w:p>
        </w:tc>
      </w:tr>
      <w:tr>
        <w:trPr>
          <w:trHeight w:val="197"/>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720" w:type="dxa"/>
            <w:vAlign w:val="bottom"/>
            <w:tcBorders>
              <w:top w:val="single" w:sz="8" w:color="0000EE"/>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r>
      <w:tr>
        <w:trPr>
          <w:trHeight w:val="177"/>
        </w:trPr>
        <w:tc>
          <w:tcPr>
            <w:tcW w:w="10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99.1**</w:t>
            </w:r>
          </w:p>
        </w:tc>
        <w:tc>
          <w:tcPr>
            <w:tcW w:w="10220" w:type="dxa"/>
            <w:vAlign w:val="bottom"/>
            <w:gridSpan w:val="7"/>
            <w:shd w:val="clear" w:color="auto" w:fill="CCEEFF"/>
          </w:tcPr>
          <w:p>
            <w:pPr>
              <w:ind w:left="120"/>
              <w:spacing w:after="0" w:line="160" w:lineRule="exact"/>
              <w:rPr>
                <w:sz w:val="20"/>
                <w:szCs w:val="20"/>
                <w:color w:val="auto"/>
              </w:rPr>
            </w:pPr>
            <w:r>
              <w:rPr>
                <w:rFonts w:ascii="Times New Roman" w:cs="Times New Roman" w:eastAsia="Times New Roman" w:hAnsi="Times New Roman"/>
                <w:sz w:val="16"/>
                <w:szCs w:val="16"/>
                <w:color w:val="0000EE"/>
              </w:rPr>
              <w:t>Press Release of Agrify Corporation dated August 19, 2022</w:t>
            </w:r>
          </w:p>
        </w:tc>
      </w:tr>
      <w:tr>
        <w:trPr>
          <w:trHeight w:val="197"/>
        </w:trPr>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460" w:type="dxa"/>
            <w:vAlign w:val="bottom"/>
            <w:tcBorders>
              <w:top w:val="single" w:sz="8" w:color="CCEEFF"/>
            </w:tcBorders>
          </w:tcPr>
          <w:p>
            <w:pPr>
              <w:spacing w:after="0"/>
              <w:rPr>
                <w:sz w:val="17"/>
                <w:szCs w:val="17"/>
                <w:color w:val="auto"/>
              </w:rPr>
            </w:pPr>
          </w:p>
        </w:tc>
      </w:tr>
      <w:tr>
        <w:trPr>
          <w:trHeight w:val="19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0220" w:type="dxa"/>
            <w:vAlign w:val="bottom"/>
            <w:gridSpan w:val="7"/>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81" w:lineRule="exact"/>
        <w:rPr>
          <w:sz w:val="20"/>
          <w:szCs w:val="20"/>
          <w:color w:val="auto"/>
        </w:rPr>
      </w:pPr>
    </w:p>
    <w:p>
      <w:pPr>
        <w:ind w:left="301" w:hanging="301"/>
        <w:spacing w:after="0" w:line="296" w:lineRule="auto"/>
        <w:tabs>
          <w:tab w:leader="none" w:pos="3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138" w:lineRule="exact"/>
        <w:rPr>
          <w:sz w:val="20"/>
          <w:szCs w:val="20"/>
          <w:color w:val="auto"/>
        </w:rPr>
      </w:pPr>
    </w:p>
    <w:p>
      <w:pPr>
        <w:ind w:left="1"/>
        <w:spacing w:after="0"/>
        <w:tabs>
          <w:tab w:leader="none" w:pos="281" w:val="left"/>
        </w:tabs>
        <w:rPr>
          <w:sz w:val="20"/>
          <w:szCs w:val="20"/>
          <w:color w:val="auto"/>
        </w:rPr>
      </w:pPr>
      <w:r>
        <w:rPr>
          <w:rFonts w:ascii="Times New Roman" w:cs="Times New Roman" w:eastAsia="Times New Roman" w:hAnsi="Times New Roman"/>
          <w:sz w:val="16"/>
          <w:szCs w:val="16"/>
          <w:color w:val="auto"/>
        </w:rPr>
        <w:t>**</w:t>
        <w:tab/>
        <w:t>Furnished but not filed.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4" w:lineRule="exact"/>
        <w:rPr>
          <w:sz w:val="20"/>
          <w:szCs w:val="20"/>
          <w:color w:val="auto"/>
        </w:rPr>
      </w:pPr>
    </w:p>
    <w:p>
      <w:pPr>
        <w:ind w:firstLine="591"/>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4"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6"/>
          <w:szCs w:val="16"/>
          <w:color w:val="auto"/>
        </w:rPr>
        <w:t>Date: August 19, 2022</w:t>
      </w:r>
      <w:r>
        <w:rPr>
          <w:sz w:val="20"/>
          <w:szCs w:val="20"/>
          <w:color w:val="auto"/>
        </w:rPr>
        <w:tab/>
      </w:r>
      <w:r>
        <w:rPr>
          <w:rFonts w:ascii="Times New Roman" w:cs="Times New Roman" w:eastAsia="Times New Roman" w:hAnsi="Times New Roman"/>
          <w:sz w:val="16"/>
          <w:szCs w:val="16"/>
          <w:color w:val="auto"/>
        </w:rPr>
        <w:t>By:</w:t>
        <w:tab/>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19050</wp:posOffset>
            </wp:positionV>
            <wp:extent cx="256667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6670" cy="15875"/>
                    </a:xfrm>
                    <a:prstGeom prst="rect">
                      <a:avLst/>
                    </a:prstGeom>
                    <a:noFill/>
                  </pic:spPr>
                </pic:pic>
              </a:graphicData>
            </a:graphic>
          </wp:anchor>
        </w:drawing>
      </w:r>
    </w:p>
    <w:p>
      <w:pPr>
        <w:spacing w:after="0" w:line="1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Timothy R. Oakes</w:t>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Senior Secured Note due 2025</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ONE (1) YEAR AFTER MARCH 23, 2022,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14438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Senior Secured Note due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Certificate No. B-1</w:t>
      </w:r>
    </w:p>
    <w:p>
      <w:pPr>
        <w:spacing w:after="0" w:line="206" w:lineRule="exact"/>
        <w:rPr>
          <w:sz w:val="20"/>
          <w:szCs w:val="20"/>
          <w:color w:val="auto"/>
        </w:rPr>
      </w:pPr>
    </w:p>
    <w:p>
      <w:pPr>
        <w:jc w:val="both"/>
        <w:ind w:firstLine="591"/>
        <w:spacing w:after="0" w:line="272" w:lineRule="auto"/>
        <w:rPr>
          <w:sz w:val="20"/>
          <w:szCs w:val="20"/>
          <w:color w:val="auto"/>
        </w:rPr>
      </w:pPr>
      <w:r>
        <w:rPr>
          <w:rFonts w:ascii="Times New Roman" w:cs="Times New Roman" w:eastAsia="Times New Roman" w:hAnsi="Times New Roman"/>
          <w:sz w:val="16"/>
          <w:szCs w:val="16"/>
          <w:color w:val="auto"/>
        </w:rPr>
        <w:t>Agrify Corporation,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for value received, promises to pay to High Trail Special Situations LLC (the “</w:t>
      </w:r>
      <w:r>
        <w:rPr>
          <w:rFonts w:ascii="Times New Roman" w:cs="Times New Roman" w:eastAsia="Times New Roman" w:hAnsi="Times New Roman"/>
          <w:sz w:val="16"/>
          <w:szCs w:val="16"/>
          <w:b w:val="1"/>
          <w:bCs w:val="1"/>
          <w:color w:val="auto"/>
        </w:rPr>
        <w:t>Initial Holder</w:t>
      </w:r>
      <w:r>
        <w:rPr>
          <w:rFonts w:ascii="Times New Roman" w:cs="Times New Roman" w:eastAsia="Times New Roman" w:hAnsi="Times New Roman"/>
          <w:sz w:val="16"/>
          <w:szCs w:val="16"/>
          <w:color w:val="auto"/>
        </w:rPr>
        <w:t>”), or its registered assigns, the principal sum of thirty five million dollars ($35,000,000) (such principal sum, the “</w:t>
      </w:r>
      <w:r>
        <w:rPr>
          <w:rFonts w:ascii="Times New Roman" w:cs="Times New Roman" w:eastAsia="Times New Roman" w:hAnsi="Times New Roman"/>
          <w:sz w:val="16"/>
          <w:szCs w:val="16"/>
          <w:b w:val="1"/>
          <w:bCs w:val="1"/>
          <w:color w:val="auto"/>
        </w:rPr>
        <w:t>Principal Amount</w:t>
      </w:r>
      <w:r>
        <w:rPr>
          <w:rFonts w:ascii="Times New Roman" w:cs="Times New Roman" w:eastAsia="Times New Roman" w:hAnsi="Times New Roman"/>
          <w:sz w:val="16"/>
          <w:szCs w:val="16"/>
          <w:color w:val="auto"/>
        </w:rPr>
        <w:t>”) on August __, 2025, and to pay any outstanding interest thereon, as provided in this Note, in each case as provided in and subject to the other provisions of this Note, including the earlier redemption or repurchase of this Note.</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Additional provisions of this Note are set forth on the other side of this Note.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The Remainder of This Page Intentionally Left Blank; Signature Page Follows</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Agrify Corporation has caused this instrument to be duly executed as of the date set forth below.</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1"/>
          <w:szCs w:val="11"/>
          <w:color w:val="auto"/>
        </w:rPr>
        <w:t>grify</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1"/>
          <w:szCs w:val="11"/>
          <w:color w:val="auto"/>
        </w:rPr>
        <w:t>orporation</w:t>
      </w:r>
    </w:p>
    <w:p>
      <w:pPr>
        <w:spacing w:after="0" w:line="210"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19050</wp:posOffset>
            </wp:positionV>
            <wp:extent cx="24961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6185" cy="1587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-3810</wp:posOffset>
            </wp:positionV>
            <wp:extent cx="91249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2495" cy="7620"/>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Name:</w:t>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Title:</w:t>
      </w:r>
    </w:p>
    <w:p>
      <w:pPr>
        <w:spacing w:after="0" w:line="19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(Signature Page to Senior Secured Note due 2025, Certificate No. B-1)</w:t>
      </w: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39"/>
          </w:cols>
          <w:pgMar w:left="320" w:top="834"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1"/>
          <w:szCs w:val="11"/>
          <w:b w:val="1"/>
          <w:bCs w:val="1"/>
          <w:color w:val="auto"/>
        </w:rPr>
        <w:t>grify</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Senior Secured Note due 2025</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This Note (this “</w:t>
      </w: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and, collectively with any Note issued in exchange therefor or in substitution thereof, the “</w:t>
      </w:r>
      <w:r>
        <w:rPr>
          <w:rFonts w:ascii="Times New Roman" w:cs="Times New Roman" w:eastAsia="Times New Roman" w:hAnsi="Times New Roman"/>
          <w:sz w:val="16"/>
          <w:szCs w:val="16"/>
          <w:b w:val="1"/>
          <w:bCs w:val="1"/>
          <w:color w:val="auto"/>
        </w:rPr>
        <w:t>Notes</w:t>
      </w:r>
      <w:r>
        <w:rPr>
          <w:rFonts w:ascii="Times New Roman" w:cs="Times New Roman" w:eastAsia="Times New Roman" w:hAnsi="Times New Roman"/>
          <w:sz w:val="16"/>
          <w:szCs w:val="16"/>
          <w:color w:val="auto"/>
        </w:rPr>
        <w:t>”) is issued by Agrify Corporation,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designated as its “Senior Secured Notes due 2025.”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 D</w:t>
      </w:r>
      <w:r>
        <w:rPr>
          <w:rFonts w:ascii="Times New Roman" w:cs="Times New Roman" w:eastAsia="Times New Roman" w:hAnsi="Times New Roman"/>
          <w:sz w:val="11"/>
          <w:szCs w:val="11"/>
          <w:b w:val="1"/>
          <w:bCs w:val="1"/>
          <w:color w:val="auto"/>
        </w:rPr>
        <w:t>efinitions</w:t>
      </w:r>
      <w:r>
        <w:rPr>
          <w:rFonts w:ascii="Times New Roman" w:cs="Times New Roman" w:eastAsia="Times New Roman" w:hAnsi="Times New Roman"/>
          <w:sz w:val="16"/>
          <w:szCs w:val="16"/>
          <w:b w:val="1"/>
          <w:bCs w:val="1"/>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has the meaning set forth in Rule 144 under the Securities Act.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ATM Issuance</w:t>
      </w:r>
      <w:r>
        <w:rPr>
          <w:rFonts w:ascii="Times New Roman" w:cs="Times New Roman" w:eastAsia="Times New Roman" w:hAnsi="Times New Roman"/>
          <w:sz w:val="16"/>
          <w:szCs w:val="16"/>
          <w:color w:val="auto"/>
        </w:rPr>
        <w:t>” means an Equity Issuance made pursuant to an ATM Program.</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ATM Program</w:t>
      </w:r>
      <w:r>
        <w:rPr>
          <w:rFonts w:ascii="Times New Roman" w:cs="Times New Roman" w:eastAsia="Times New Roman" w:hAnsi="Times New Roman"/>
          <w:sz w:val="16"/>
          <w:szCs w:val="16"/>
          <w:color w:val="auto"/>
        </w:rPr>
        <w:t>” means an “at-the-market” offering within the meaning of Rule 415(a)(4) of the Securities Act.</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Authorized Denomination</w:t>
      </w:r>
      <w:r>
        <w:rPr>
          <w:rFonts w:ascii="Times New Roman" w:cs="Times New Roman" w:eastAsia="Times New Roman" w:hAnsi="Times New Roman"/>
          <w:sz w:val="16"/>
          <w:szCs w:val="16"/>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Bankruptcy Law</w:t>
      </w:r>
      <w:r>
        <w:rPr>
          <w:rFonts w:ascii="Times New Roman" w:cs="Times New Roman" w:eastAsia="Times New Roman" w:hAnsi="Times New Roman"/>
          <w:sz w:val="16"/>
          <w:szCs w:val="16"/>
          <w:color w:val="auto"/>
        </w:rPr>
        <w:t>” means Title 11, United States Code, or any similar U.S. federal or state or non-U.S. law for the relief of debtors.</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 or a committee of such board duly authorized to act on behalf of such board.</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Combination Event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10</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156" w:lineRule="exact"/>
        <w:rPr>
          <w:sz w:val="20"/>
          <w:szCs w:val="20"/>
          <w:color w:val="auto"/>
        </w:rPr>
      </w:pPr>
    </w:p>
    <w:p>
      <w:pPr>
        <w:jc w:val="both"/>
        <w:ind w:firstLine="591"/>
        <w:spacing w:after="0" w:line="29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Lease</w:t>
      </w:r>
      <w:r>
        <w:rPr>
          <w:rFonts w:ascii="Times New Roman" w:cs="Times New Roman" w:eastAsia="Times New Roman" w:hAnsi="Times New Roman"/>
          <w:sz w:val="16"/>
          <w:szCs w:val="16"/>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341"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Lease Obligation</w:t>
      </w:r>
      <w:r>
        <w:rPr>
          <w:rFonts w:ascii="Times New Roman" w:cs="Times New Roman" w:eastAsia="Times New Roman" w:hAnsi="Times New Roman"/>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9" w:name="page10"/>
    <w:bookmarkEnd w:id="9"/>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Capital Stock</w:t>
      </w:r>
      <w:r>
        <w:rPr>
          <w:rFonts w:ascii="Times New Roman" w:cs="Times New Roman" w:eastAsia="Times New Roman" w:hAnsi="Times New Roman"/>
          <w:sz w:val="16"/>
          <w:szCs w:val="16"/>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means all cash and liquid funds.</w:t>
      </w:r>
    </w:p>
    <w:p>
      <w:pPr>
        <w:spacing w:after="0" w:line="210" w:lineRule="exact"/>
        <w:rPr>
          <w:sz w:val="20"/>
          <w:szCs w:val="20"/>
          <w:color w:val="auto"/>
        </w:rPr>
      </w:pPr>
    </w:p>
    <w:p>
      <w:pPr>
        <w:jc w:val="both"/>
        <w:ind w:firstLine="591"/>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Equivalents</w:t>
      </w:r>
      <w:r>
        <w:rPr>
          <w:rFonts w:ascii="Times New Roman" w:cs="Times New Roman" w:eastAsia="Times New Roman" w:hAnsi="Times New Roman"/>
          <w:sz w:val="16"/>
          <w:szCs w:val="16"/>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of America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of America or any State,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 (A) and (B) above, (ii) has net assets of not less than $5,000,000,000, and (iii) has the highest rating obtainable from either Standard &amp; Poor’s Corporation or Moody’s Investors Service.</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Spend Availability</w:t>
      </w:r>
      <w:r>
        <w:rPr>
          <w:rFonts w:ascii="Times New Roman" w:cs="Times New Roman" w:eastAsia="Times New Roman" w:hAnsi="Times New Roman"/>
          <w:sz w:val="16"/>
          <w:szCs w:val="16"/>
          <w:color w:val="auto"/>
        </w:rPr>
        <w:t>” means the Cash and Cash Equivalents held by the Company.</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Amount</w:t>
      </w:r>
      <w:r>
        <w:rPr>
          <w:rFonts w:ascii="Times New Roman" w:cs="Times New Roman" w:eastAsia="Times New Roman" w:hAnsi="Times New Roman"/>
          <w:sz w:val="16"/>
          <w:szCs w:val="16"/>
          <w:color w:val="auto"/>
        </w:rPr>
        <w:t>” means, with respect to any Equity Issuance, twenty percent (20%) of the net proceeds from such Equity Issuance.</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Certification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4(E)(ii)</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4(E)(iv)</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Sweep Payment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4(E)(i)</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w:t>
      </w:r>
      <w:r>
        <w:rPr>
          <w:rFonts w:ascii="Times New Roman" w:cs="Times New Roman" w:eastAsia="Times New Roman" w:hAnsi="Times New Roman"/>
          <w:sz w:val="16"/>
          <w:szCs w:val="16"/>
          <w:color w:val="auto"/>
        </w:rPr>
        <w:t>” has the meaning set forth in the Security Agreements.</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Collateral Agent</w:t>
      </w:r>
      <w:r>
        <w:rPr>
          <w:rFonts w:ascii="Times New Roman" w:cs="Times New Roman" w:eastAsia="Times New Roman" w:hAnsi="Times New Roman"/>
          <w:sz w:val="16"/>
          <w:szCs w:val="16"/>
          <w:color w:val="auto"/>
        </w:rPr>
        <w:t>” means High Trail Special Situations LLC in its capacity as collateral agent for the Holder and each Other Holder, together with any successor thereto in such capacity.</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U.S. Securities and Exchange Commission.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the common stock, par value $0.001 per share, of the Company.</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Redemption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0" w:name="page11"/>
    <w:bookmarkEnd w:id="10"/>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Redemption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Redemption Price</w:t>
      </w:r>
      <w:r>
        <w:rPr>
          <w:rFonts w:ascii="Times New Roman" w:cs="Times New Roman" w:eastAsia="Times New Roman" w:hAnsi="Times New Roman"/>
          <w:sz w:val="16"/>
          <w:szCs w:val="16"/>
          <w:color w:val="auto"/>
        </w:rPr>
        <w:t>” means a cash amount equal to one hundred and two point five percent (102.5%) of the Principal Amount then outstanding, plus accrued and unpaid interest.</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Compliance Certification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9(K)(v)</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Contingent Obligation</w:t>
      </w:r>
      <w:r>
        <w:rPr>
          <w:rFonts w:ascii="Times New Roman" w:cs="Times New Roman" w:eastAsia="Times New Roman" w:hAnsi="Times New Roman"/>
          <w:sz w:val="16"/>
          <w:szCs w:val="16"/>
          <w:color w:val="auto"/>
        </w:rPr>
        <w:t>” means, as applied to any Person, any direct or indirect liability, contingent or otherwise, of that Person with respect to (A) 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361"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Copyright License</w:t>
      </w:r>
      <w:r>
        <w:rPr>
          <w:rFonts w:ascii="Times New Roman" w:cs="Times New Roman" w:eastAsia="Times New Roman" w:hAnsi="Times New Roman"/>
          <w:sz w:val="16"/>
          <w:szCs w:val="16"/>
          <w:color w:val="auto"/>
        </w:rPr>
        <w:t>” means any written agreement granting any right to use any Copyright or Copyright registration, now owned or hereafter acquired by the Company or in which the Company now holds or hereafter acquires any interest.</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Copyrights</w:t>
      </w:r>
      <w:r>
        <w:rPr>
          <w:rFonts w:ascii="Times New Roman" w:cs="Times New Roman" w:eastAsia="Times New Roman" w:hAnsi="Times New Roman"/>
          <w:sz w:val="16"/>
          <w:szCs w:val="16"/>
          <w:color w:val="auto"/>
        </w:rPr>
        <w:t>” means all copyrights, whether registered or unregistered, held pursuant to the laws of the United States, any State thereof, or of any other country.</w:t>
      </w:r>
    </w:p>
    <w:p>
      <w:pPr>
        <w:spacing w:after="0" w:line="210" w:lineRule="exact"/>
        <w:rPr>
          <w:sz w:val="20"/>
          <w:szCs w:val="20"/>
          <w:color w:val="auto"/>
        </w:rPr>
      </w:pPr>
    </w:p>
    <w:p>
      <w:pPr>
        <w:jc w:val="both"/>
        <w:ind w:firstLine="591"/>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w:t>
      </w:r>
      <w:r>
        <w:rPr>
          <w:rFonts w:ascii="Times New Roman" w:cs="Times New Roman" w:eastAsia="Times New Roman" w:hAnsi="Times New Roman"/>
          <w:sz w:val="16"/>
          <w:szCs w:val="16"/>
          <w:color w:val="auto"/>
        </w:rPr>
        <w:t>” means any event that is (or, after notice, passage of time or both, would be) an Event of Default.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Default Interest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4(B)(ii)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1" w:name="page12"/>
    <w:bookmarkEnd w:id="11"/>
    <w:p>
      <w:pPr>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Disqualified Stock</w:t>
      </w:r>
      <w:r>
        <w:rPr>
          <w:rFonts w:ascii="Times New Roman" w:cs="Times New Roman" w:eastAsia="Times New Roman" w:hAnsi="Times New Roman"/>
          <w:sz w:val="16"/>
          <w:szCs w:val="16"/>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32" w:lineRule="exact"/>
        <w:rPr>
          <w:sz w:val="20"/>
          <w:szCs w:val="20"/>
          <w:color w:val="auto"/>
        </w:rPr>
      </w:pPr>
    </w:p>
    <w:p>
      <w:pPr>
        <w:ind w:left="1460" w:hanging="278"/>
        <w:spacing w:after="0"/>
        <w:tabs>
          <w:tab w:leader="none" w:pos="1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matures or is mandatorily redeemable pursuant to a sinking fund obligation or otherwise;</w:t>
      </w:r>
    </w:p>
    <w:p>
      <w:pPr>
        <w:spacing w:after="0" w:line="210" w:lineRule="exact"/>
        <w:rPr>
          <w:rFonts w:ascii="Times New Roman" w:cs="Times New Roman" w:eastAsia="Times New Roman" w:hAnsi="Times New Roman"/>
          <w:sz w:val="16"/>
          <w:szCs w:val="16"/>
          <w:color w:val="auto"/>
        </w:rPr>
      </w:pPr>
    </w:p>
    <w:p>
      <w:pPr>
        <w:jc w:val="both"/>
        <w:ind w:firstLine="1182"/>
        <w:spacing w:after="0" w:line="277" w:lineRule="auto"/>
        <w:tabs>
          <w:tab w:leader="none" w:pos="145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151" w:lineRule="exact"/>
        <w:rPr>
          <w:rFonts w:ascii="Times New Roman" w:cs="Times New Roman" w:eastAsia="Times New Roman" w:hAnsi="Times New Roman"/>
          <w:sz w:val="16"/>
          <w:szCs w:val="16"/>
          <w:color w:val="auto"/>
        </w:rPr>
      </w:pPr>
    </w:p>
    <w:p>
      <w:pPr>
        <w:ind w:left="1440" w:hanging="258"/>
        <w:spacing w:after="0"/>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redeemable at the option of the holder thereof, in whole or in part,</w:t>
      </w:r>
    </w:p>
    <w:p>
      <w:pPr>
        <w:spacing w:after="0" w:line="210" w:lineRule="exact"/>
        <w:rPr>
          <w:rFonts w:ascii="Times New Roman" w:cs="Times New Roman" w:eastAsia="Times New Roman" w:hAnsi="Times New Roman"/>
          <w:sz w:val="16"/>
          <w:szCs w:val="16"/>
          <w:color w:val="auto"/>
        </w:rPr>
      </w:pPr>
    </w:p>
    <w:p>
      <w:pPr>
        <w:ind w:left="1460" w:hanging="278"/>
        <w:spacing w:after="0"/>
        <w:tabs>
          <w:tab w:leader="none" w:pos="14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of clauses (A), (B) and (C), at any point prior to the one hundred eighty-first (181st) day after the Maturity Date.</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means The Depository Trust Company.</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Exchange</w:t>
      </w:r>
      <w:r>
        <w:rPr>
          <w:rFonts w:ascii="Times New Roman" w:cs="Times New Roman" w:eastAsia="Times New Roman" w:hAnsi="Times New Roman"/>
          <w:sz w:val="16"/>
          <w:szCs w:val="16"/>
          <w:color w:val="auto"/>
        </w:rPr>
        <w:t>” means any of The New York Stock Exchange, The NYSE American LLC, The Nasdaq Capital Market, The Nasdaq Global Market or The Nasdaq Global Select Market (or any of their respective successors).</w:t>
      </w:r>
    </w:p>
    <w:p>
      <w:pPr>
        <w:spacing w:after="0" w:line="128"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Equipment</w:t>
      </w:r>
      <w:r>
        <w:rPr>
          <w:rFonts w:ascii="Times New Roman" w:cs="Times New Roman" w:eastAsia="Times New Roman" w:hAnsi="Times New Roman"/>
          <w:sz w:val="16"/>
          <w:szCs w:val="16"/>
          <w:color w:val="auto"/>
        </w:rPr>
        <w:t>” means all “</w:t>
      </w:r>
      <w:r>
        <w:rPr>
          <w:rFonts w:ascii="Times New Roman" w:cs="Times New Roman" w:eastAsia="Times New Roman" w:hAnsi="Times New Roman"/>
          <w:sz w:val="16"/>
          <w:szCs w:val="16"/>
          <w:b w:val="1"/>
          <w:bCs w:val="1"/>
          <w:color w:val="auto"/>
        </w:rPr>
        <w:t>equipment</w:t>
      </w:r>
      <w:r>
        <w:rPr>
          <w:rFonts w:ascii="Times New Roman" w:cs="Times New Roman" w:eastAsia="Times New Roman" w:hAnsi="Times New Roman"/>
          <w:sz w:val="16"/>
          <w:szCs w:val="16"/>
          <w:color w:val="auto"/>
        </w:rPr>
        <w:t>” as defined in the UCC with such additions to such term as may hereafter be made, and includes without limitation all machinery, fixtures, goods, vehicles (including motor vehicles and trailers), and any interest in any of the foregoing.</w:t>
      </w:r>
    </w:p>
    <w:p>
      <w:pPr>
        <w:spacing w:after="0" w:line="128" w:lineRule="exact"/>
        <w:rPr>
          <w:sz w:val="20"/>
          <w:szCs w:val="20"/>
          <w:color w:val="auto"/>
        </w:rPr>
      </w:pPr>
    </w:p>
    <w:p>
      <w:pPr>
        <w:jc w:val="both"/>
        <w:ind w:firstLine="591"/>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shall mean,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52" w:lineRule="exact"/>
        <w:rPr>
          <w:sz w:val="20"/>
          <w:szCs w:val="20"/>
          <w:color w:val="auto"/>
        </w:rPr>
      </w:pPr>
    </w:p>
    <w:p>
      <w:pPr>
        <w:jc w:val="both"/>
        <w:ind w:firstLine="591"/>
        <w:spacing w:after="0" w:line="26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Issuance</w:t>
      </w:r>
      <w:r>
        <w:rPr>
          <w:rFonts w:ascii="Times New Roman" w:cs="Times New Roman" w:eastAsia="Times New Roman" w:hAnsi="Times New Roman"/>
          <w:sz w:val="16"/>
          <w:szCs w:val="16"/>
          <w:color w:val="auto"/>
        </w:rPr>
        <w:t>” shall mean (a) any issuance or sale by the Company or any of its Subsidiaries of any Equity Interests (including any Equity Interests issued upon exercise or conversion of any Equity Rights) or any Equity Rights, or (b) the receipt by the Company or any of its Subsidiaries of any capital contribution (whether or not evidenced by any Equity Interest issued by the recipient of such contribution), in each case for bona fide capital-raising purposes and other than (i) Equity Interests issuable upon the exercise of Equity Rights issued pursuant to an Approved Stock Plan (as defined in the Securities Exchange Agreement) or upon the lapse of forfeiture restrictions on awards made pursuant to an Approved Stock Plan (including Equity Interests withheld by the Company for the purpose of paying on behalf of the holder thereof the exercise price of stock options or for paying taxes due as a result of such exercise or lapse of forfeiture restrictions), and (ii) Common Stock issuable upon the exercise of stock options or upon the lapse of forfeiture restrictions on awards made pursuant to, any stock option exchange program of the Company that is approved by the Board of Directors or the compensation committee thereof or the Company’s stockholders, whether now in effect or hereafter implemented.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2" w:name="page13"/>
    <w:bookmarkEnd w:id="12"/>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Rights</w:t>
      </w:r>
      <w:r>
        <w:rPr>
          <w:rFonts w:ascii="Times New Roman" w:cs="Times New Roman" w:eastAsia="Times New Roman" w:hAnsi="Times New Roman"/>
          <w:sz w:val="16"/>
          <w:szCs w:val="16"/>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as amended, and the regulations promulgated thereunder.</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11(A)</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Event of Default Acceleration Amount</w:t>
      </w:r>
      <w:r>
        <w:rPr>
          <w:rFonts w:ascii="Times New Roman" w:cs="Times New Roman" w:eastAsia="Times New Roman" w:hAnsi="Times New Roman"/>
          <w:sz w:val="16"/>
          <w:szCs w:val="16"/>
          <w:color w:val="auto"/>
        </w:rPr>
        <w:t xml:space="preserve">” means, with respect to the delivery of a notice pursuant to </w:t>
      </w:r>
      <w:r>
        <w:rPr>
          <w:rFonts w:ascii="Times New Roman" w:cs="Times New Roman" w:eastAsia="Times New Roman" w:hAnsi="Times New Roman"/>
          <w:sz w:val="16"/>
          <w:szCs w:val="16"/>
          <w:b w:val="1"/>
          <w:bCs w:val="1"/>
          <w:color w:val="auto"/>
        </w:rPr>
        <w:t>Section 11(B)(ii)</w:t>
      </w:r>
      <w:r>
        <w:rPr>
          <w:rFonts w:ascii="Times New Roman" w:cs="Times New Roman" w:eastAsia="Times New Roman" w:hAnsi="Times New Roman"/>
          <w:sz w:val="16"/>
          <w:szCs w:val="16"/>
          <w:color w:val="auto"/>
        </w:rPr>
        <w:t xml:space="preserve"> declaring this Note to be due and payable immediately on account of an Event of Default, a cash amount equal to one hundred and fifteen percent (115%) of the then outstanding Principal Amount of this Note (or such lesser principal amount accelerated pursuant to such notice) plus accrued and unpaid interest on this Note.</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U.S. Securities Exchange Act of 1934, as amended.</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Fiscal Quarter</w:t>
      </w:r>
      <w:r>
        <w:rPr>
          <w:rFonts w:ascii="Times New Roman" w:cs="Times New Roman" w:eastAsia="Times New Roman" w:hAnsi="Times New Roman"/>
          <w:sz w:val="16"/>
          <w:szCs w:val="16"/>
          <w:color w:val="auto"/>
        </w:rPr>
        <w:t>” means each three month period ending March 31, June 30, September 30, and December 31.</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w:t>
      </w:r>
      <w:r>
        <w:rPr>
          <w:rFonts w:ascii="Times New Roman" w:cs="Times New Roman" w:eastAsia="Times New Roman" w:hAnsi="Times New Roman"/>
          <w:sz w:val="16"/>
          <w:szCs w:val="16"/>
          <w:color w:val="auto"/>
        </w:rPr>
        <w:t>” means any of the following events:</w:t>
      </w:r>
    </w:p>
    <w:p>
      <w:pPr>
        <w:spacing w:after="0" w:line="214" w:lineRule="exact"/>
        <w:rPr>
          <w:sz w:val="20"/>
          <w:szCs w:val="20"/>
          <w:color w:val="auto"/>
        </w:rPr>
      </w:pPr>
    </w:p>
    <w:p>
      <w:pPr>
        <w:jc w:val="both"/>
        <w:ind w:firstLine="1182"/>
        <w:spacing w:after="0" w:line="270" w:lineRule="auto"/>
        <w:tabs>
          <w:tab w:leader="none" w:pos="145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or “group” (within the meaning of Section 13(d)(3) of the Exchange Act), other than the Company or its Wholly Owned Subsidiaries, or the employee benefit plans of the Company or its Wholly Owned Subsidiaries, files any report with the Commission indicating that such person or group has become the direct or indirect “beneficial owner” (as defined below) of shares of the Company’s common equity representing more than fifty percent (50%) of the voting power of all of the Company’s then-outstanding common equity; or</w:t>
      </w:r>
    </w:p>
    <w:p>
      <w:pPr>
        <w:spacing w:after="0" w:line="157" w:lineRule="exact"/>
        <w:rPr>
          <w:rFonts w:ascii="Times New Roman" w:cs="Times New Roman" w:eastAsia="Times New Roman" w:hAnsi="Times New Roman"/>
          <w:sz w:val="16"/>
          <w:szCs w:val="16"/>
          <w:color w:val="auto"/>
        </w:rPr>
      </w:pPr>
    </w:p>
    <w:p>
      <w:pPr>
        <w:jc w:val="both"/>
        <w:ind w:firstLine="1182"/>
        <w:spacing w:after="0" w:line="262" w:lineRule="auto"/>
        <w:tabs>
          <w:tab w:leader="none" w:pos="14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consummation of (i) any sale, lease or other transfer, in one transaction or a series of transactions, of all or substantially all of the assets of the Company and its Subsidiaries, taken as a whole, to any Person (other than solely to one or more of the Company’s Wholly Owned Subsidiaries);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(other than a subdivision or combination, or solely a change in par value, of the Common Stock);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 w:cs="Times New Roman" w:eastAsia="Times New Roman" w:hAnsi="Times New Roman"/>
          <w:sz w:val="16"/>
          <w:szCs w:val="16"/>
          <w:b w:val="1"/>
          <w:bCs w:val="1"/>
          <w:color w:val="auto"/>
        </w:rPr>
        <w:t>clause (B)</w:t>
      </w:r>
      <w:r>
        <w:rPr>
          <w:rFonts w:ascii="Times New Roman" w:cs="Times New Roman" w:eastAsia="Times New Roman" w:hAnsi="Times New Roman"/>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3" w:name="page14"/>
    <w:bookmarkEnd w:id="13"/>
    <w:p>
      <w:pPr>
        <w:jc w:val="both"/>
        <w:spacing w:after="0" w:line="279" w:lineRule="auto"/>
        <w:rPr>
          <w:sz w:val="20"/>
          <w:szCs w:val="20"/>
          <w:color w:val="auto"/>
        </w:rPr>
      </w:pPr>
      <w:r>
        <w:rPr>
          <w:rFonts w:ascii="Times New Roman" w:cs="Times New Roman" w:eastAsia="Times New Roman" w:hAnsi="Times New Roman"/>
          <w:sz w:val="16"/>
          <w:szCs w:val="16"/>
          <w:color w:val="auto"/>
        </w:rPr>
        <w:t xml:space="preserve">For the purposes of this definition, (x) any transaction or event described in both </w:t>
      </w:r>
      <w:r>
        <w:rPr>
          <w:rFonts w:ascii="Times New Roman" w:cs="Times New Roman" w:eastAsia="Times New Roman" w:hAnsi="Times New Roman"/>
          <w:sz w:val="16"/>
          <w:szCs w:val="16"/>
          <w:b w:val="1"/>
          <w:bCs w:val="1"/>
          <w:color w:val="auto"/>
        </w:rPr>
        <w:t>clause (A)</w:t>
      </w:r>
      <w:r>
        <w:rPr>
          <w:rFonts w:ascii="Times New Roman" w:cs="Times New Roman" w:eastAsia="Times New Roman" w:hAnsi="Times New Roman"/>
          <w:sz w:val="16"/>
          <w:szCs w:val="16"/>
          <w:color w:val="auto"/>
        </w:rPr>
        <w:t xml:space="preserve"> and in </w:t>
      </w:r>
      <w:r>
        <w:rPr>
          <w:rFonts w:ascii="Times New Roman" w:cs="Times New Roman" w:eastAsia="Times New Roman" w:hAnsi="Times New Roman"/>
          <w:sz w:val="16"/>
          <w:szCs w:val="16"/>
          <w:b w:val="1"/>
          <w:bCs w:val="1"/>
          <w:color w:val="auto"/>
        </w:rPr>
        <w:t>clause (B)(i)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6"/>
          <w:szCs w:val="16"/>
          <w:color w:val="auto"/>
        </w:rPr>
        <w:t xml:space="preserve"> above (without regard to the proviso in </w:t>
      </w:r>
      <w:r>
        <w:rPr>
          <w:rFonts w:ascii="Times New Roman" w:cs="Times New Roman" w:eastAsia="Times New Roman" w:hAnsi="Times New Roman"/>
          <w:sz w:val="16"/>
          <w:szCs w:val="16"/>
          <w:b w:val="1"/>
          <w:bCs w:val="1"/>
          <w:color w:val="auto"/>
        </w:rPr>
        <w:t>clause (B)</w:t>
      </w:r>
      <w:r>
        <w:rPr>
          <w:rFonts w:ascii="Times New Roman" w:cs="Times New Roman" w:eastAsia="Times New Roman" w:hAnsi="Times New Roman"/>
          <w:sz w:val="16"/>
          <w:szCs w:val="16"/>
          <w:color w:val="auto"/>
        </w:rPr>
        <w:t xml:space="preserve">) will be deemed to occur solely pursuant to </w:t>
      </w:r>
      <w:r>
        <w:rPr>
          <w:rFonts w:ascii="Times New Roman" w:cs="Times New Roman" w:eastAsia="Times New Roman" w:hAnsi="Times New Roman"/>
          <w:sz w:val="16"/>
          <w:szCs w:val="16"/>
          <w:b w:val="1"/>
          <w:bCs w:val="1"/>
          <w:color w:val="auto"/>
        </w:rPr>
        <w:t>clause (B)</w:t>
      </w:r>
      <w:r>
        <w:rPr>
          <w:rFonts w:ascii="Times New Roman" w:cs="Times New Roman" w:eastAsia="Times New Roman" w:hAnsi="Times New Roman"/>
          <w:sz w:val="16"/>
          <w:szCs w:val="16"/>
          <w:color w:val="auto"/>
        </w:rPr>
        <w:t xml:space="preserve"> above (subject to such proviso); and (y) whether a Person is a “</w:t>
      </w:r>
      <w:r>
        <w:rPr>
          <w:rFonts w:ascii="Times New Roman" w:cs="Times New Roman" w:eastAsia="Times New Roman" w:hAnsi="Times New Roman"/>
          <w:sz w:val="16"/>
          <w:szCs w:val="16"/>
          <w:b w:val="1"/>
          <w:bCs w:val="1"/>
          <w:color w:val="auto"/>
        </w:rPr>
        <w:t>beneficial owner</w:t>
      </w:r>
      <w:r>
        <w:rPr>
          <w:rFonts w:ascii="Times New Roman" w:cs="Times New Roman" w:eastAsia="Times New Roman" w:hAnsi="Times New Roman"/>
          <w:sz w:val="16"/>
          <w:szCs w:val="16"/>
          <w:color w:val="auto"/>
        </w:rPr>
        <w:t>” and whether shares are “</w:t>
      </w:r>
      <w:r>
        <w:rPr>
          <w:rFonts w:ascii="Times New Roman" w:cs="Times New Roman" w:eastAsia="Times New Roman" w:hAnsi="Times New Roman"/>
          <w:sz w:val="16"/>
          <w:szCs w:val="16"/>
          <w:b w:val="1"/>
          <w:bCs w:val="1"/>
          <w:color w:val="auto"/>
        </w:rPr>
        <w:t>beneficially owned</w:t>
      </w:r>
      <w:r>
        <w:rPr>
          <w:rFonts w:ascii="Times New Roman" w:cs="Times New Roman" w:eastAsia="Times New Roman" w:hAnsi="Times New Roman"/>
          <w:sz w:val="16"/>
          <w:szCs w:val="16"/>
          <w:color w:val="auto"/>
        </w:rPr>
        <w:t>” will be determined in accordance with Rule 13d-3 under the Exchange Act.</w:t>
      </w:r>
    </w:p>
    <w:p>
      <w:pPr>
        <w:spacing w:after="0" w:line="147"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Base Repurchase Price</w:t>
      </w:r>
      <w:r>
        <w:rPr>
          <w:rFonts w:ascii="Times New Roman" w:cs="Times New Roman" w:eastAsia="Times New Roman" w:hAnsi="Times New Roman"/>
          <w:sz w:val="16"/>
          <w:szCs w:val="16"/>
          <w:color w:val="auto"/>
        </w:rPr>
        <w:t>” means, with respect to this Note (or any portion of this Note to be repurchased) upon a Repurchase Upon Fundamental Change, a cash amount equal to one hundred two point five percent (102.5%) of the then-outstanding Principal Amount of such Note (or portion thereof) to be so repurchased.</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Date</w:t>
      </w:r>
      <w:r>
        <w:rPr>
          <w:rFonts w:ascii="Times New Roman" w:cs="Times New Roman" w:eastAsia="Times New Roman" w:hAnsi="Times New Roman"/>
          <w:sz w:val="16"/>
          <w:szCs w:val="16"/>
          <w:color w:val="auto"/>
        </w:rPr>
        <w:t xml:space="preserve">” means the date as of which this Note must be repurchased for cash in connection with a Fundamental Change, as provided in </w:t>
      </w:r>
      <w:r>
        <w:rPr>
          <w:rFonts w:ascii="Times New Roman" w:cs="Times New Roman" w:eastAsia="Times New Roman" w:hAnsi="Times New Roman"/>
          <w:sz w:val="16"/>
          <w:szCs w:val="16"/>
          <w:b w:val="1"/>
          <w:bCs w:val="1"/>
          <w:color w:val="auto"/>
        </w:rPr>
        <w:t>Section 6(B)</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Change Repurchase Price</w:t>
      </w:r>
      <w:r>
        <w:rPr>
          <w:rFonts w:ascii="Times New Roman" w:cs="Times New Roman" w:eastAsia="Times New Roman" w:hAnsi="Times New Roman"/>
          <w:sz w:val="16"/>
          <w:szCs w:val="16"/>
          <w:color w:val="auto"/>
        </w:rPr>
        <w:t xml:space="preserve">” means the cash price payable by the Company to repurchase this Note (or any portion of this Note) upon its Repurchase Upon Fundamental Change, calculated pursuant to </w:t>
      </w:r>
      <w:r>
        <w:rPr>
          <w:rFonts w:ascii="Times New Roman" w:cs="Times New Roman" w:eastAsia="Times New Roman" w:hAnsi="Times New Roman"/>
          <w:sz w:val="16"/>
          <w:szCs w:val="16"/>
          <w:b w:val="1"/>
          <w:bCs w:val="1"/>
          <w:color w:val="auto"/>
        </w:rPr>
        <w:t>Section 6(D)</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means generally accepted accounting principles in the United States of America, as in effect from time to time; provided the definitions set forth in this Note and any financial calculations required by thereby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means the person in whose name this Note is registered on the books of the Company, which initially is the Initial Holder.</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including</w:t>
      </w:r>
      <w:r>
        <w:rPr>
          <w:rFonts w:ascii="Times New Roman" w:cs="Times New Roman" w:eastAsia="Times New Roman" w:hAnsi="Times New Roman"/>
          <w:sz w:val="16"/>
          <w:szCs w:val="16"/>
          <w:color w:val="auto"/>
        </w:rPr>
        <w:t>” means “including without limitation,” unless the context provides otherwise.</w:t>
      </w:r>
    </w:p>
    <w:p>
      <w:pPr>
        <w:spacing w:after="0" w:line="210"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Independent Investigator</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9(S)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Holder</w:t>
      </w:r>
      <w:r>
        <w:rPr>
          <w:rFonts w:ascii="Times New Roman" w:cs="Times New Roman" w:eastAsia="Times New Roman" w:hAnsi="Times New Roman"/>
          <w:sz w:val="16"/>
          <w:szCs w:val="16"/>
          <w:color w:val="auto"/>
        </w:rPr>
        <w:t>” has the meaning set forth in the cover page of this Note.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4" w:name="page15"/>
    <w:bookmarkEnd w:id="14"/>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 means all of the Company’s Copyrights; Trademarks; Patents; Licenses; trade secrets and inventions; mask works; the Company’s applications therefor and reissues, extensions, or renewals thereof; and the Company’s goodwill associated with any of the foregoing, together with the Company’s rights to sue for past, present and future infringement of Intellectual Property and the goodwill associated therewith.</w:t>
      </w:r>
    </w:p>
    <w:p>
      <w:pPr>
        <w:spacing w:after="0" w:line="147"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Interest Payment Date</w:t>
      </w:r>
      <w:r>
        <w:rPr>
          <w:rFonts w:ascii="Times New Roman" w:cs="Times New Roman" w:eastAsia="Times New Roman" w:hAnsi="Times New Roman"/>
          <w:sz w:val="16"/>
          <w:szCs w:val="16"/>
          <w:color w:val="auto"/>
        </w:rPr>
        <w:t>” means (A) the first calendar day of each month, beginning on September 1, 2022; and (B) if not otherwise included in clause (A), the Maturity Date.</w:t>
      </w:r>
    </w:p>
    <w:p>
      <w:pPr>
        <w:spacing w:after="0" w:line="128"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Investment</w:t>
      </w:r>
      <w:r>
        <w:rPr>
          <w:rFonts w:ascii="Times New Roman" w:cs="Times New Roman" w:eastAsia="Times New Roman" w:hAnsi="Times New Roman"/>
          <w:sz w:val="16"/>
          <w:szCs w:val="16"/>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Issue Date</w:t>
      </w:r>
      <w:r>
        <w:rPr>
          <w:rFonts w:ascii="Times New Roman" w:cs="Times New Roman" w:eastAsia="Times New Roman" w:hAnsi="Times New Roman"/>
          <w:sz w:val="16"/>
          <w:szCs w:val="16"/>
          <w:color w:val="auto"/>
        </w:rPr>
        <w:t>” means August __, 2022.</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w:t>
      </w:r>
      <w:r>
        <w:rPr>
          <w:rFonts w:ascii="Times New Roman" w:cs="Times New Roman" w:eastAsia="Times New Roman" w:hAnsi="Times New Roman"/>
          <w:sz w:val="16"/>
          <w:szCs w:val="16"/>
          <w:color w:val="auto"/>
        </w:rPr>
        <w:t>” means any Copyright License, Patent License, Trademark License or other license of rights or interests.</w:t>
      </w:r>
    </w:p>
    <w:p>
      <w:pPr>
        <w:spacing w:after="0" w:line="210" w:lineRule="exact"/>
        <w:rPr>
          <w:sz w:val="20"/>
          <w:szCs w:val="20"/>
          <w:color w:val="auto"/>
        </w:rPr>
      </w:pPr>
    </w:p>
    <w:p>
      <w:pPr>
        <w:jc w:val="both"/>
        <w:ind w:firstLine="591"/>
        <w:spacing w:after="0" w:line="27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Lien</w:t>
      </w:r>
      <w:r>
        <w:rPr>
          <w:rFonts w:ascii="Times New Roman" w:cs="Times New Roman" w:eastAsia="Times New Roman" w:hAnsi="Times New Roman"/>
          <w:sz w:val="16"/>
          <w:szCs w:val="16"/>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355" w:lineRule="exact"/>
        <w:rPr>
          <w:sz w:val="20"/>
          <w:szCs w:val="20"/>
          <w:color w:val="auto"/>
        </w:rPr>
      </w:pPr>
    </w:p>
    <w:p>
      <w:pPr>
        <w:jc w:val="both"/>
        <w:ind w:firstLine="591"/>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Market Disruption Event</w:t>
      </w:r>
      <w:r>
        <w:rPr>
          <w:rFonts w:ascii="Times New Roman" w:cs="Times New Roman" w:eastAsia="Times New Roman" w:hAnsi="Times New Roman"/>
          <w:sz w:val="16"/>
          <w:szCs w:val="16"/>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Maturity Date</w:t>
      </w:r>
      <w:r>
        <w:rPr>
          <w:rFonts w:ascii="Times New Roman" w:cs="Times New Roman" w:eastAsia="Times New Roman" w:hAnsi="Times New Roman"/>
          <w:sz w:val="16"/>
          <w:szCs w:val="16"/>
          <w:color w:val="auto"/>
        </w:rPr>
        <w:t>” means August __, 2025.</w:t>
      </w:r>
    </w:p>
    <w:p>
      <w:pPr>
        <w:spacing w:after="0" w:line="210" w:lineRule="exact"/>
        <w:rPr>
          <w:sz w:val="20"/>
          <w:szCs w:val="20"/>
          <w:color w:val="auto"/>
        </w:rPr>
      </w:pPr>
    </w:p>
    <w:p>
      <w:pPr>
        <w:jc w:val="both"/>
        <w:ind w:firstLine="591"/>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Proceeds</w:t>
      </w:r>
      <w:r>
        <w:rPr>
          <w:rFonts w:ascii="Times New Roman" w:cs="Times New Roman" w:eastAsia="Times New Roman" w:hAnsi="Times New Roman"/>
          <w:sz w:val="16"/>
          <w:szCs w:val="16"/>
          <w:color w:val="auto"/>
        </w:rPr>
        <w:t>” means the gross proceeds received by the Company in connection with any capital raising transaction, including without limitation any issuance of debt, equity convertible debt, or other equity-linked securities or a combination thereof, less any discounts or fees provided to the related underwriter, agent or placement agent in connection therewith less any out-of-pocket expenses and fees incurred in connection therewith; provided, however, that for purposes of this Note, Net Proceeds shall in no event be less than 90% of the gross proceeds received by the Company.</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b w:val="1"/>
          <w:bCs w:val="1"/>
          <w:color w:val="auto"/>
        </w:rPr>
        <w:t>or</w:t>
      </w:r>
      <w:r>
        <w:rPr>
          <w:rFonts w:ascii="Times New Roman" w:cs="Times New Roman" w:eastAsia="Times New Roman" w:hAnsi="Times New Roman"/>
          <w:sz w:val="16"/>
          <w:szCs w:val="16"/>
          <w:color w:val="auto"/>
        </w:rPr>
        <w:t>” is not exclusive, unless the context expressly provides otherwise.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5" w:name="page16"/>
    <w:bookmarkEnd w:id="15"/>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Amount</w:t>
      </w:r>
      <w:r>
        <w:rPr>
          <w:rFonts w:ascii="Times New Roman" w:cs="Times New Roman" w:eastAsia="Times New Roman" w:hAnsi="Times New Roman"/>
          <w:sz w:val="16"/>
          <w:szCs w:val="16"/>
          <w:color w:val="auto"/>
        </w:rPr>
        <w:t>” means the Principal Amount specified in the Optional Holder Redemption Notice, plus accrued and unpaid interest as of the Optional Holder Redemption Date.</w:t>
      </w:r>
    </w:p>
    <w:p>
      <w:pPr>
        <w:spacing w:after="0" w:line="1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Date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Optional Holder Redemption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Holder</w:t>
      </w:r>
      <w:r>
        <w:rPr>
          <w:rFonts w:ascii="Times New Roman" w:cs="Times New Roman" w:eastAsia="Times New Roman" w:hAnsi="Times New Roman"/>
          <w:sz w:val="16"/>
          <w:szCs w:val="16"/>
          <w:color w:val="auto"/>
        </w:rPr>
        <w:t>” means any person in whose name any Other Note is registered on the books of the Company.</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Notes</w:t>
      </w:r>
      <w:r>
        <w:rPr>
          <w:rFonts w:ascii="Times New Roman" w:cs="Times New Roman" w:eastAsia="Times New Roman" w:hAnsi="Times New Roman"/>
          <w:sz w:val="16"/>
          <w:szCs w:val="16"/>
          <w:color w:val="auto"/>
        </w:rPr>
        <w:t>” means any Notes that are of the same class of this Note and that are represented by one or more certificates other than the certificate representing this Note.</w:t>
      </w:r>
    </w:p>
    <w:p>
      <w:pPr>
        <w:spacing w:after="0" w:line="128"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 License</w:t>
      </w:r>
      <w:r>
        <w:rPr>
          <w:rFonts w:ascii="Times New Roman" w:cs="Times New Roman" w:eastAsia="Times New Roman" w:hAnsi="Times New Roman"/>
          <w:sz w:val="16"/>
          <w:szCs w:val="16"/>
          <w:color w:val="auto"/>
        </w:rPr>
        <w:t>” means any written agreement granting any right with respect to any invention covered by a Patent that is in existence or a Patent application that is pending, in which agreement the Company now holds or hereafter acquires any interest.</w:t>
      </w:r>
    </w:p>
    <w:p>
      <w:pPr>
        <w:spacing w:after="0" w:line="128"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means all letters patent of, or rights corresponding thereto, in the United States or in any other country, all registrations and recordings thereof, and all applications for letters patent of, or rights corresponding thereto, in the United States or any other country.</w:t>
      </w:r>
    </w:p>
    <w:p>
      <w:pPr>
        <w:spacing w:after="0" w:line="128" w:lineRule="exact"/>
        <w:rPr>
          <w:sz w:val="20"/>
          <w:szCs w:val="20"/>
          <w:color w:val="auto"/>
        </w:rPr>
      </w:pPr>
    </w:p>
    <w:p>
      <w:pPr>
        <w:jc w:val="both"/>
        <w:ind w:firstLine="59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Acquisition</w:t>
      </w:r>
      <w:r>
        <w:rPr>
          <w:rFonts w:ascii="Times New Roman" w:cs="Times New Roman" w:eastAsia="Times New Roman" w:hAnsi="Times New Roman"/>
          <w:sz w:val="16"/>
          <w:szCs w:val="16"/>
          <w:color w:val="auto"/>
        </w:rPr>
        <w:t>” means any transaction or series of related transactions consummated by the Company or one of its Subsidiaries with the prior written consent of the Holder for the purpose of or resulting, directly or indirectly, in (a) the acquisition of all or substantially all of the assets of a Person, or of any business or division of a Person, (b) the acquisition of in excess of fifty percent (50%) of the capital stock or equity interests of any Person or otherwise causing any Person to become a Subsidiary of the Company, or (c) a merger or consolidation or any other combination with another Person; provided, so long as no Default or Event of Default shall then exist or would exist after giving effect to any of the foregoing; provided further, that the purchase price or consideration in respect of all of the foregoing in the aggregate (for all such aforementioned purchases, acquisitions, mergers, consolidations or Investments) at any time shall not exceed an amount equal to the aggregate purchase price of the Purchased Securities outstanding at such time.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6" w:name="page17"/>
    <w:bookmarkEnd w:id="16"/>
    <w:p>
      <w:pPr>
        <w:jc w:val="both"/>
        <w:ind w:firstLine="59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Indebtedness</w:t>
      </w:r>
      <w:r>
        <w:rPr>
          <w:rFonts w:ascii="Times New Roman" w:cs="Times New Roman" w:eastAsia="Times New Roman" w:hAnsi="Times New Roman"/>
          <w:sz w:val="16"/>
          <w:szCs w:val="16"/>
          <w:color w:val="auto"/>
        </w:rPr>
        <w:t>” means (A) Indebtedness evidenced by the Exchange Notes (as defined in the Securities Exchange Agreement) and Indebtedness evidenced by the Notes (as defined in the Securities Purchase Agreement); (B) Indebtedness actually disclosed pursuant to the Securities Exchange Agreement as of the date of the Securities Exchange Agreement; (C) nonrecourse Indebtedness outstanding at any time secured by a Lien described in clause (G) of the defined term “Permitted Liens,” provided such Indebtedness does not exceed the cost of the Equipment or real property interests and related expenses financed with such Indebtedness or in the form of purchase money Indebtedness (whether in the form of a loan or a lease) used solely to acquire Equipment or real property interests used in the ordinary course of business and secured only by such Equipment and real property interests and sale and insurance proceeds in respect thereof, and provided further that the total amount of Permitted Indebtedness permitted pursuant to this clause (C) may not exceed five million dollars ($5,000,000) in the aggregate; (D) nonrecourse Indebtedness outstanding at any time secured by a Lien described in clause (H) of the defined term “Permitted Liens,” provided such Indebtedness does not exceed the cost of the software or other intellectual property and related expenses financed with such Indebtedness or in the form of purchase money Indebtedness (whether in the form of a loan or a lease) used solely to acquire software or other intellectual property used in the ordinary course of business and secured only by such software or other intellectual property and sale and insurance proceeds in respect thereof, provided further that the total amount of Permitted Indebtedness permitted pursuant to this clause (D) may not exceed five hundred thousand dollars ($500,000) in the aggregate; (E) Indebtedness to trade creditors incurred in the ordinary course of business; (F) Subordinated Indebtedness of the Company that has received the prior written approval of the Holder; (G) reimbursement obligations in connection with letters of credit or similar instruments that are secured by Cash or Cash Equivalents and issued on behalf of the Company or a Subsidiary thereof in an aggregate amount not to exceed five hundred thousand dollars ($500,000) at any time outstanding; (H) unsecured Indebtedness of the Company that has received the prior written approval of the Holder, (I) Contingent Obligations that are guarantees of Indebtedness described in clauses (A) through (H) and (J); and (J) earn-outs incurred in connection with any Permitted Acquisition that are subordinated in full to the Notes to the satisfaction of the Holder and do not exceed (a) ten million dollars ($10,000,000) in the aggregate due in any twelve-month period and (b) twenty million dollars ($20,000,000); provided that in no event shall Permitted Indebtedness under (x) clauses (B)-(J) of this definition exceed in the aggregate an amount equal to ten million dollars ($10,000,000) or (y) clauses (F) or (H) (1) have a final maturity date, amortization payment, sinking fund, put right, mandatory redemption or other repurchase obligation at the option of the lender or holder of such indebtedness, or be prepayable at the option of the Company, in any case earlier than one hundred eighty-one (181) days following the Maturity Date or (2) have any covenants that are more restrictive on the Company in any material respect than the covenants set forth in this Note.</w:t>
      </w:r>
    </w:p>
    <w:p>
      <w:pPr>
        <w:spacing w:after="0" w:line="365" w:lineRule="exact"/>
        <w:rPr>
          <w:sz w:val="20"/>
          <w:szCs w:val="20"/>
          <w:color w:val="auto"/>
        </w:rPr>
      </w:pPr>
    </w:p>
    <w:p>
      <w:pPr>
        <w:jc w:val="both"/>
        <w:ind w:firstLine="591"/>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Intellectual Property Licenses</w:t>
      </w:r>
      <w:r>
        <w:rPr>
          <w:rFonts w:ascii="Times New Roman" w:cs="Times New Roman" w:eastAsia="Times New Roman" w:hAnsi="Times New Roman"/>
          <w:sz w:val="16"/>
          <w:szCs w:val="16"/>
          <w:color w:val="auto"/>
        </w:rPr>
        <w:t>” means Intellectual Property (A) licenses in existence at March 23, 2022, including those listed on the Schedules to the Security Agreements, and (B) non-perpetual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7" w:name="page18"/>
    <w:bookmarkEnd w:id="17"/>
    <w:p>
      <w:pPr>
        <w:jc w:val="both"/>
        <w:ind w:left="1" w:firstLine="591"/>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Investment</w:t>
      </w:r>
      <w:r>
        <w:rPr>
          <w:rFonts w:ascii="Times New Roman" w:cs="Times New Roman" w:eastAsia="Times New Roman" w:hAnsi="Times New Roman"/>
          <w:sz w:val="16"/>
          <w:szCs w:val="16"/>
          <w:color w:val="auto"/>
        </w:rPr>
        <w:t>” means: (A) Investments actually disclosed pursuant to the Securities Exchange Agreement, as in effect as of the Issue Date; (B) (i)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a rating of at least A-2 or P-2 from either Standard &amp; Poor’s Corporation or Moody’s Investors Service, (iii) certificates of deposit issued by any bank headquartered in the United States with assets of at least $5,000,000,000 maturing no more than one year from the date of investment therein, and (iv) money market accounts; (C) Investments accepted in connection with Permitted Transfers; (D) Investments (including debt obligations) received in connection with the bankruptcy or reorganization of customers or suppliers and in settlement of delinquent obligations of, and other disputes with, customers or suppliers arising in the ordinary course of the Company’s business; (E) Investments consisting of notes receivable of, or prepaid royalties and other credit extensions, to customers and suppliers in the ordinary course of business and consistent with past practice, provided that this clause (E) shall not apply to Investments of the Company in any Subsidiary thereof; (F) Investments consisting of (i) loans not involving the net transfer on a substantially contemporaneous basis of cash proceeds to employees, officers or directors relating to the purchase of capital stock of the Company pursuant to employee stock purchase plans or other similar agreements approved by the Company’s Board of Directors and (ii) travel advances and employee relocation loans and other employee loans and advances in the ordinary course of business, provided that the aggregate of all such loans outstanding may not exceed one hundred thousand ($100,000) at any time; (G) Investments in Wholly Owned Subsidiaries; (H) Permitted Intellectual Property Licenses; (I) Permitted Acquisitions; (J) loans, advances or other capital contributions to Company customers pursuant to a TTK Contract with such customer; (K) Investments in a TTK SPV; and (L) Investments in real property; provided that, for any Investment set forth in clause (G), (J) and (K) other than a Permitted Turnkey Investment, such Investment shall not qualify as a Permitted Investment unless the Company receives the prior written consent to such Investment from the Holder.</w:t>
      </w:r>
    </w:p>
    <w:p>
      <w:pPr>
        <w:spacing w:after="0" w:line="163" w:lineRule="exact"/>
        <w:rPr>
          <w:sz w:val="20"/>
          <w:szCs w:val="20"/>
          <w:color w:val="auto"/>
        </w:rPr>
      </w:pPr>
    </w:p>
    <w:p>
      <w:pPr>
        <w:jc w:val="both"/>
        <w:ind w:left="1" w:firstLine="591"/>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Liens</w:t>
      </w:r>
      <w:r>
        <w:rPr>
          <w:rFonts w:ascii="Times New Roman" w:cs="Times New Roman" w:eastAsia="Times New Roman" w:hAnsi="Times New Roman"/>
          <w:sz w:val="16"/>
          <w:szCs w:val="16"/>
          <w:color w:val="auto"/>
        </w:rPr>
        <w:t>” means any and all of the following: (A) Liens in favor of Holder or the Collateral Agent; (B) Liens deemed to be disclosed pursuant to the Securities Exchange Agreement, as in effect as of the Issue Date; (C) Liens for taxes, fees, assessments or other governmental charges or levies, either not delinquent or being contested in good faith by appropriate proceedings; provided, that the Company maintains adequate reserves therefor in accordance with GAAP; (D) Liens securing claims or demands of materialmen, artisans, mechanics, carriers, warehousemen, landlords and other like Persons arising in the ordinary course of business; provided, that the payment thereof is not yet required; (E) Liens arising from judgments, decrees or attachments in circumstances which do not constitute a Default or an Event of Default hereunder; (F)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(G) Liens on Equipment (but, for the avoidance of doubt, not software or other intellectual property) or real property interests constituting purchase money Liens or Liens securing construction financing for real property interests and Liens in connection with Capital Leases securing Indebtedness permitted in clause (C) of “Permitted Indebtedness”;</w:t>
      </w:r>
    </w:p>
    <w:p>
      <w:pPr>
        <w:spacing w:after="0" w:line="6" w:lineRule="exact"/>
        <w:rPr>
          <w:sz w:val="20"/>
          <w:szCs w:val="20"/>
          <w:color w:val="auto"/>
        </w:rPr>
      </w:pPr>
    </w:p>
    <w:p>
      <w:pPr>
        <w:jc w:val="both"/>
        <w:ind w:left="1" w:hanging="1"/>
        <w:spacing w:after="0" w:line="258" w:lineRule="auto"/>
        <w:tabs>
          <w:tab w:leader="none" w:pos="27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Liens on software or other intellectual property (but, for the avoidance of doubt, not Equipment or real property interests related thereto) constituting purchase money Liens and Liens in connection with Capital Leases securing Indebtedness permitted in clause (D) of “Permitted Indebtedness”; (I) leasehold interests in leases or subleases and licenses granted in the ordinary course of the Company’s business and not interfering in any material respect with the business of the licensor; (J) Liens in favor of customs and revenue authorities arising as a matter of law to secure payment of custom duties that are promptly paid on or before the date they become due; (K) Liens on insurance proceeds securing the payment of financed insurance premiums that are promptly paid on or before the date they become due (provided that such Liens extend only to such insurance proceeds and not to any other property or assets); (L) statutory and common law rights of set-off and other similar rights as to deposits of cash and securities in favor of banks, other depository institutions and brokerage firms; (M) easements, zoning restrictions, rights-of-way and similar encumbrances on real property imposed by law or arising in the ordinary course of business so long as they do not materially impair the value or marketability of the related property; (N) Liens on Cash or Cash Equivalents securing obligations permitted under clause (E) and (G) of the definition of Permitted Indebtedness; (O) Liens securing Subordinated Indebtedness, and (P) Liens incurred in connection with the extension, renewal or refinancing of the Indebtedness secured by Liens of the type described in clauses (C) through (O) above (other than any Indebtedness repaid with the proceeds of this Note);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18" w:name="page19"/>
    <w:bookmarkEnd w:id="18"/>
    <w:p>
      <w:pPr>
        <w:jc w:val="both"/>
        <w:ind w:left="1" w:firstLine="591"/>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Transfers</w:t>
      </w:r>
      <w:r>
        <w:rPr>
          <w:rFonts w:ascii="Times New Roman" w:cs="Times New Roman" w:eastAsia="Times New Roman" w:hAnsi="Times New Roman"/>
          <w:sz w:val="16"/>
          <w:szCs w:val="16"/>
          <w:color w:val="auto"/>
        </w:rPr>
        <w:t>” means (A) dispositions of inventory sold, and Permitted Intellectual Property Licenses entered into, in each case, in the ordinary course of business, (B) dispositions of worn-out, obsolete or surplus property at fair market value in the ordinary course of business; (C) dispositions of accounts or payment intangibles (each as defined in the UCC) resulting from the compromise or settlement thereof in the ordinary course of business for less than the full amount thereof; (D) transfers consisting of Permitted Investments in Wholly Owned Subsidiaries under clause (G) of Permitted Investments; (E) transfers between Grantors (as defined in the Security Agreement); and (F) other transfers of assets to any Person other than to a joint venture and which have a fair market value of not more than fifty thousand dollars ($50,000) in the aggregate in any twelve (12) month period.</w:t>
      </w:r>
    </w:p>
    <w:p>
      <w:pPr>
        <w:spacing w:after="0" w:line="157"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Turnkey Investment</w:t>
      </w:r>
      <w:r>
        <w:rPr>
          <w:rFonts w:ascii="Times New Roman" w:cs="Times New Roman" w:eastAsia="Times New Roman" w:hAnsi="Times New Roman"/>
          <w:sz w:val="16"/>
          <w:szCs w:val="16"/>
          <w:color w:val="auto"/>
        </w:rPr>
        <w:t>” shall mean any Investments in Gold Leaf Florida LLC not to exceed in the aggregate ten million dollars ($10,000,000) or Bud</w:t>
      </w:r>
    </w:p>
    <w:p>
      <w:pPr>
        <w:spacing w:after="0" w:line="34" w:lineRule="exact"/>
        <w:rPr>
          <w:sz w:val="20"/>
          <w:szCs w:val="20"/>
          <w:color w:val="auto"/>
        </w:rPr>
      </w:pPr>
    </w:p>
    <w:p>
      <w:pPr>
        <w:ind w:left="1" w:hanging="1"/>
        <w:spacing w:after="0" w:line="274" w:lineRule="auto"/>
        <w:tabs>
          <w:tab w:leader="none" w:pos="18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Mary’s Cultivation, Inc., provided that the aggregate amount of Investments qualifying as “Permitted Turnkey Investments” may not exceed in the aggregate twelve million dollars ($12,000,000).</w:t>
      </w:r>
    </w:p>
    <w:p>
      <w:pPr>
        <w:spacing w:after="0" w:line="150"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28" w:lineRule="exact"/>
        <w:rPr>
          <w:sz w:val="20"/>
          <w:szCs w:val="20"/>
          <w:color w:val="auto"/>
        </w:rPr>
      </w:pPr>
    </w:p>
    <w:p>
      <w:pPr>
        <w:jc w:val="both"/>
        <w:ind w:left="1"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 Amount</w:t>
      </w:r>
      <w:r>
        <w:rPr>
          <w:rFonts w:ascii="Times New Roman" w:cs="Times New Roman" w:eastAsia="Times New Roman" w:hAnsi="Times New Roman"/>
          <w:sz w:val="16"/>
          <w:szCs w:val="16"/>
          <w:color w:val="auto"/>
        </w:rPr>
        <w:t xml:space="preserve">” has the meaning set forth in the cover page of this Note;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Principal Amount of this Note will be subject to reduction (A) pursuant to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8</w:t>
      </w:r>
      <w:r>
        <w:rPr>
          <w:rFonts w:ascii="Times New Roman" w:cs="Times New Roman" w:eastAsia="Times New Roman" w:hAnsi="Times New Roman"/>
          <w:sz w:val="16"/>
          <w:szCs w:val="16"/>
          <w:color w:val="auto"/>
        </w:rPr>
        <w:t xml:space="preserve"> and (B) by an amount equal to the sum of all Cash Sweep Payments made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xml:space="preserve"> prior to the date of determination of the Principal Amount of the Note then outstanding.</w:t>
      </w:r>
    </w:p>
    <w:p>
      <w:pPr>
        <w:spacing w:after="0" w:line="147"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Qualified Equity Financing</w:t>
      </w:r>
      <w:r>
        <w:rPr>
          <w:rFonts w:ascii="Times New Roman" w:cs="Times New Roman" w:eastAsia="Times New Roman" w:hAnsi="Times New Roman"/>
          <w:sz w:val="16"/>
          <w:szCs w:val="16"/>
          <w:color w:val="auto"/>
        </w:rPr>
        <w:t>” shall mean an Equity Issuance registered under the Securities Act, the aggregate gross proceeds of which equal or exceed fifteen million dollars ($15,000,000).</w:t>
      </w:r>
    </w:p>
    <w:p>
      <w:pPr>
        <w:spacing w:after="0" w:line="12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Repurchase Upon Fundamental Change</w:t>
      </w:r>
      <w:r>
        <w:rPr>
          <w:rFonts w:ascii="Times New Roman" w:cs="Times New Roman" w:eastAsia="Times New Roman" w:hAnsi="Times New Roman"/>
          <w:sz w:val="16"/>
          <w:szCs w:val="16"/>
          <w:color w:val="auto"/>
        </w:rPr>
        <w:t xml:space="preserve">” means the repurchase of any Note by the Company pursuant to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promulgated under the Securities Act.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19" w:name="page20"/>
    <w:bookmarkEnd w:id="19"/>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U.S. Securities Act of 1933, as amended.</w:t>
      </w:r>
    </w:p>
    <w:p>
      <w:pPr>
        <w:spacing w:after="0" w:line="210"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Exchange Agreement</w:t>
      </w:r>
      <w:r>
        <w:rPr>
          <w:rFonts w:ascii="Times New Roman" w:cs="Times New Roman" w:eastAsia="Times New Roman" w:hAnsi="Times New Roman"/>
          <w:sz w:val="16"/>
          <w:szCs w:val="16"/>
          <w:color w:val="auto"/>
        </w:rPr>
        <w:t>” means that certain Securities Exchange Agreement, dated as of August 18, 2022, by and among the Company and each of the investors listed on the Schedule of Holders attached thereto.</w:t>
      </w:r>
    </w:p>
    <w:p>
      <w:pPr>
        <w:spacing w:after="0" w:line="128"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Purchase Agreement</w:t>
      </w:r>
      <w:r>
        <w:rPr>
          <w:rFonts w:ascii="Times New Roman" w:cs="Times New Roman" w:eastAsia="Times New Roman" w:hAnsi="Times New Roman"/>
          <w:sz w:val="16"/>
          <w:szCs w:val="16"/>
          <w:color w:val="auto"/>
        </w:rPr>
        <w:t>” means that certain Securities Purchase Agreement, dated as of March 14, 2022, by and among the Company and each of the investors listed on the Schedule of Buyers attached thereto.</w:t>
      </w:r>
    </w:p>
    <w:p>
      <w:pPr>
        <w:spacing w:after="0" w:line="128"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Agreements</w:t>
      </w:r>
      <w:r>
        <w:rPr>
          <w:rFonts w:ascii="Times New Roman" w:cs="Times New Roman" w:eastAsia="Times New Roman" w:hAnsi="Times New Roman"/>
          <w:sz w:val="16"/>
          <w:szCs w:val="16"/>
          <w:color w:val="auto"/>
        </w:rPr>
        <w:t>” means those certain Security Agreements, dated March 23, 2022, between the Company and the Collateral Agent, as amended, supplemented or otherwise modified from time to time.</w:t>
      </w:r>
    </w:p>
    <w:p>
      <w:pPr>
        <w:spacing w:after="0" w:line="12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Security Document</w:t>
      </w:r>
      <w:r>
        <w:rPr>
          <w:rFonts w:ascii="Times New Roman" w:cs="Times New Roman" w:eastAsia="Times New Roman" w:hAnsi="Times New Roman"/>
          <w:sz w:val="16"/>
          <w:szCs w:val="16"/>
          <w:color w:val="auto"/>
        </w:rPr>
        <w:t>” has the meaning set forth in the Security Agreements.</w:t>
      </w:r>
    </w:p>
    <w:p>
      <w:pPr>
        <w:spacing w:after="0" w:line="210"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Significant Subsidiary</w:t>
      </w:r>
      <w:r>
        <w:rPr>
          <w:rFonts w:ascii="Times New Roman" w:cs="Times New Roman" w:eastAsia="Times New Roman" w:hAnsi="Times New Roman"/>
          <w:sz w:val="16"/>
          <w:szCs w:val="16"/>
          <w:color w:val="auto"/>
        </w:rPr>
        <w:t>” means, with respect to any Person, any Subsidiary of such Person that constitutes a “significant subsidiary” (as defined in Rule 1-02(w) of Regulation S-X under the Exchange Act) of such Person.</w:t>
      </w:r>
    </w:p>
    <w:p>
      <w:pPr>
        <w:spacing w:after="0" w:line="128"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Interest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4(B)(i)</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Stated Interest Rate</w:t>
      </w:r>
      <w:r>
        <w:rPr>
          <w:rFonts w:ascii="Times New Roman" w:cs="Times New Roman" w:eastAsia="Times New Roman" w:hAnsi="Times New Roman"/>
          <w:sz w:val="16"/>
          <w:szCs w:val="16"/>
          <w:color w:val="auto"/>
        </w:rPr>
        <w:t>” means, as of any date, a rate per annum equal to nine percent (9.0%).</w:t>
      </w:r>
    </w:p>
    <w:p>
      <w:pPr>
        <w:spacing w:after="0" w:line="210" w:lineRule="exact"/>
        <w:rPr>
          <w:sz w:val="20"/>
          <w:szCs w:val="20"/>
          <w:color w:val="auto"/>
        </w:rPr>
      </w:pPr>
    </w:p>
    <w:p>
      <w:pPr>
        <w:jc w:val="both"/>
        <w:ind w:left="1" w:firstLine="591"/>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Subordinated Indebtedness</w:t>
      </w:r>
      <w:r>
        <w:rPr>
          <w:rFonts w:ascii="Times New Roman" w:cs="Times New Roman" w:eastAsia="Times New Roman" w:hAnsi="Times New Roman"/>
          <w:sz w:val="16"/>
          <w:szCs w:val="16"/>
          <w:color w:val="auto"/>
        </w:rPr>
        <w:t>” means Indebtedness subordinated to the Notes that is (a) in amounts and on terms and conditions satisfactory to the Holder in its sole discretion or (b) nonrecourse Indebtedness incurred in connection with the consummation of a TTK Contract that is secured only by assets of the respective TTK SPV, provided that, for the avoidance of doubt, no Indebtedness permitted under this clause (b) shall be guaranteed by the Company or qualify as a liability of the Company.</w:t>
      </w:r>
    </w:p>
    <w:p>
      <w:pPr>
        <w:spacing w:after="0" w:line="351" w:lineRule="exact"/>
        <w:rPr>
          <w:sz w:val="20"/>
          <w:szCs w:val="20"/>
          <w:color w:val="auto"/>
        </w:rPr>
      </w:pPr>
    </w:p>
    <w:p>
      <w:pPr>
        <w:jc w:val="both"/>
        <w:ind w:left="1" w:firstLine="591"/>
        <w:spacing w:after="0" w:line="26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w:t>
      </w:r>
    </w:p>
    <w:p>
      <w:pPr>
        <w:jc w:val="both"/>
        <w:ind w:left="1" w:hanging="1"/>
        <w:spacing w:after="0" w:line="261" w:lineRule="auto"/>
        <w:tabs>
          <w:tab w:leader="none" w:pos="27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Corporation</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b w:val="1"/>
          <w:bCs w:val="1"/>
          <w:color w:val="auto"/>
        </w:rPr>
        <w:t>Section 10(A)</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 License</w:t>
      </w:r>
      <w:r>
        <w:rPr>
          <w:rFonts w:ascii="Times New Roman" w:cs="Times New Roman" w:eastAsia="Times New Roman" w:hAnsi="Times New Roman"/>
          <w:sz w:val="16"/>
          <w:szCs w:val="16"/>
          <w:color w:val="auto"/>
        </w:rPr>
        <w:t>” means any written agreement granting any right to use any Trademark or Trademark registration, now owned or hereafter acquired by the Company or in which the Company now holds or hereafter acquires any interest.</w:t>
      </w:r>
    </w:p>
    <w:p>
      <w:pPr>
        <w:spacing w:after="0" w:line="128"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Trademarks</w:t>
      </w:r>
      <w:r>
        <w:rPr>
          <w:rFonts w:ascii="Times New Roman" w:cs="Times New Roman" w:eastAsia="Times New Roman" w:hAnsi="Times New Roman"/>
          <w:sz w:val="16"/>
          <w:szCs w:val="16"/>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any State thereof or any other country or any political subdivision thereof.</w:t>
      </w:r>
    </w:p>
    <w:p>
      <w:pPr>
        <w:spacing w:after="0" w:line="147" w:lineRule="exact"/>
        <w:rPr>
          <w:sz w:val="20"/>
          <w:szCs w:val="20"/>
          <w:color w:val="auto"/>
        </w:rPr>
      </w:pPr>
    </w:p>
    <w:p>
      <w:pPr>
        <w:jc w:val="both"/>
        <w:ind w:firstLine="591"/>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3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has the meaning set forth in the Securities Exchange Agreement.</w:t>
      </w:r>
    </w:p>
    <w:p>
      <w:pPr>
        <w:spacing w:after="0" w:line="210"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TTK Contracts</w:t>
      </w:r>
      <w:r>
        <w:rPr>
          <w:rFonts w:ascii="Times New Roman" w:cs="Times New Roman" w:eastAsia="Times New Roman" w:hAnsi="Times New Roman"/>
          <w:sz w:val="16"/>
          <w:szCs w:val="16"/>
          <w:color w:val="auto"/>
        </w:rPr>
        <w:t>”means Total Turn-Key Solution contracts entered into between the Company and customers thereof to implement a TTK Transaction, which include, without limitation, financing, construction, vertical farming unit leasing, extraction or processing equipment leasing, software, brand and/or marketing consulting and production-based fee contracts.</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TTK SPV</w:t>
      </w:r>
      <w:r>
        <w:rPr>
          <w:rFonts w:ascii="Times New Roman" w:cs="Times New Roman" w:eastAsia="Times New Roman" w:hAnsi="Times New Roman"/>
          <w:sz w:val="16"/>
          <w:szCs w:val="16"/>
          <w:color w:val="auto"/>
        </w:rPr>
        <w:t>” means a special purpose vehicle established to implement a TTK Transaction with a customer of the Company.</w:t>
      </w:r>
    </w:p>
    <w:p>
      <w:pPr>
        <w:spacing w:after="0" w:line="210"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TTK Transaction</w:t>
      </w:r>
      <w:r>
        <w:rPr>
          <w:rFonts w:ascii="Times New Roman" w:cs="Times New Roman" w:eastAsia="Times New Roman" w:hAnsi="Times New Roman"/>
          <w:sz w:val="16"/>
          <w:szCs w:val="16"/>
          <w:color w:val="auto"/>
        </w:rPr>
        <w:t>” means a long-term partnership between the Company and a customer of the Company designed to provide such customer with access to vertical farming units, extraction or processing equipment, construction and/or equipment funding, facility design and construction services, cultivation equipment and software, standard operating procedures, training, data and insights, and ongoing maintenance, support, and equipment upgrades.</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UCC</w:t>
      </w:r>
      <w:r>
        <w:rPr>
          <w:rFonts w:ascii="Times New Roman" w:cs="Times New Roman" w:eastAsia="Times New Roman" w:hAnsi="Times New Roman"/>
          <w:sz w:val="16"/>
          <w:szCs w:val="16"/>
          <w:color w:val="auto"/>
        </w:rPr>
        <w:t>” means the Uniform Commercial Code as the same is, from time to time, in effect in the State of New York.</w:t>
      </w:r>
    </w:p>
    <w:p>
      <w:pPr>
        <w:spacing w:after="0" w:line="210" w:lineRule="exact"/>
        <w:rPr>
          <w:sz w:val="20"/>
          <w:szCs w:val="20"/>
          <w:color w:val="auto"/>
        </w:rPr>
      </w:pPr>
    </w:p>
    <w:p>
      <w:pPr>
        <w:jc w:val="both"/>
        <w:ind w:firstLine="591"/>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Market Disruption Event</w:t>
      </w:r>
      <w:r>
        <w:rPr>
          <w:rFonts w:ascii="Times New Roman" w:cs="Times New Roman" w:eastAsia="Times New Roman" w:hAnsi="Times New Roman"/>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1" w:name="page22"/>
    <w:bookmarkEnd w:id="21"/>
    <w:p>
      <w:pPr>
        <w:jc w:val="both"/>
        <w:ind w:firstLine="591"/>
        <w:spacing w:after="0" w:line="27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Trading Day</w:t>
      </w:r>
      <w:r>
        <w:rPr>
          <w:rFonts w:ascii="Times New Roman" w:cs="Times New Roman" w:eastAsia="Times New Roman" w:hAnsi="Times New Roman"/>
          <w:sz w:val="16"/>
          <w:szCs w:val="16"/>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52" w:lineRule="exact"/>
        <w:rPr>
          <w:sz w:val="20"/>
          <w:szCs w:val="20"/>
          <w:color w:val="auto"/>
        </w:rPr>
      </w:pPr>
    </w:p>
    <w:p>
      <w:pPr>
        <w:jc w:val="both"/>
        <w:ind w:firstLine="591"/>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Wholly Owned Subsidiary</w:t>
      </w:r>
      <w:r>
        <w:rPr>
          <w:rFonts w:ascii="Times New Roman" w:cs="Times New Roman" w:eastAsia="Times New Roman" w:hAnsi="Times New Roman"/>
          <w:sz w:val="16"/>
          <w:szCs w:val="16"/>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 P</w:t>
      </w:r>
      <w:r>
        <w:rPr>
          <w:rFonts w:ascii="Times New Roman" w:cs="Times New Roman" w:eastAsia="Times New Roman" w:hAnsi="Times New Roman"/>
          <w:sz w:val="11"/>
          <w:szCs w:val="11"/>
          <w:b w:val="1"/>
          <w:bCs w:val="1"/>
          <w:color w:val="auto"/>
        </w:rPr>
        <w:t>ersons</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eemed</w:t>
      </w:r>
      <w:r>
        <w:rPr>
          <w:rFonts w:ascii="Times New Roman" w:cs="Times New Roman" w:eastAsia="Times New Roman" w:hAnsi="Times New Roman"/>
          <w:sz w:val="16"/>
          <w:szCs w:val="16"/>
          <w:b w:val="1"/>
          <w:bCs w:val="1"/>
          <w:color w:val="auto"/>
        </w:rPr>
        <w:t xml:space="preserve"> O</w:t>
      </w:r>
      <w:r>
        <w:rPr>
          <w:rFonts w:ascii="Times New Roman" w:cs="Times New Roman" w:eastAsia="Times New Roman" w:hAnsi="Times New Roman"/>
          <w:sz w:val="11"/>
          <w:szCs w:val="11"/>
          <w:b w:val="1"/>
          <w:bCs w:val="1"/>
          <w:color w:val="auto"/>
        </w:rPr>
        <w:t>wners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Holder of this Note will be treated as the owner of this Note for all purposes.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3. R</w:t>
      </w:r>
      <w:r>
        <w:rPr>
          <w:rFonts w:ascii="Times New Roman" w:cs="Times New Roman" w:eastAsia="Times New Roman" w:hAnsi="Times New Roman"/>
          <w:sz w:val="11"/>
          <w:szCs w:val="11"/>
          <w:b w:val="1"/>
          <w:bCs w:val="1"/>
          <w:color w:val="auto"/>
        </w:rPr>
        <w:t>egistered</w:t>
      </w:r>
      <w:r>
        <w:rPr>
          <w:rFonts w:ascii="Times New Roman" w:cs="Times New Roman" w:eastAsia="Times New Roman" w:hAnsi="Times New Roman"/>
          <w:sz w:val="16"/>
          <w:szCs w:val="16"/>
          <w:b w:val="1"/>
          <w:bCs w:val="1"/>
          <w:color w:val="auto"/>
        </w:rPr>
        <w:t xml:space="preserve"> F</w:t>
      </w:r>
      <w:r>
        <w:rPr>
          <w:rFonts w:ascii="Times New Roman" w:cs="Times New Roman" w:eastAsia="Times New Roman" w:hAnsi="Times New Roman"/>
          <w:sz w:val="11"/>
          <w:szCs w:val="11"/>
          <w:b w:val="1"/>
          <w:bCs w:val="1"/>
          <w:color w:val="auto"/>
        </w:rPr>
        <w:t>orm</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This Note, and any Note issued in exchange therefor or in substitution thereof, will be in registered form, without coupons.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4. I</w:t>
      </w:r>
      <w:r>
        <w:rPr>
          <w:rFonts w:ascii="Times New Roman" w:cs="Times New Roman" w:eastAsia="Times New Roman" w:hAnsi="Times New Roman"/>
          <w:sz w:val="11"/>
          <w:szCs w:val="11"/>
          <w:b w:val="1"/>
          <w:bCs w:val="1"/>
          <w:color w:val="auto"/>
        </w:rPr>
        <w:t>nterest</w:t>
      </w:r>
      <w:r>
        <w:rPr>
          <w:rFonts w:ascii="Times New Roman" w:cs="Times New Roman" w:eastAsia="Times New Roman" w:hAnsi="Times New Roman"/>
          <w:sz w:val="16"/>
          <w:szCs w:val="16"/>
          <w:b w:val="1"/>
          <w:bCs w:val="1"/>
          <w:color w:val="auto"/>
        </w:rPr>
        <w:t>; M</w:t>
      </w:r>
      <w:r>
        <w:rPr>
          <w:rFonts w:ascii="Times New Roman" w:cs="Times New Roman" w:eastAsia="Times New Roman" w:hAnsi="Times New Roman"/>
          <w:sz w:val="11"/>
          <w:szCs w:val="11"/>
          <w:b w:val="1"/>
          <w:bCs w:val="1"/>
          <w:color w:val="auto"/>
        </w:rPr>
        <w:t>aturity</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ate</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6"/>
          <w:szCs w:val="16"/>
          <w:b w:val="1"/>
          <w:bCs w:val="1"/>
          <w:color w:val="auto"/>
        </w:rPr>
        <w:t>; P</w:t>
      </w:r>
      <w:r>
        <w:rPr>
          <w:rFonts w:ascii="Times New Roman" w:cs="Times New Roman" w:eastAsia="Times New Roman" w:hAnsi="Times New Roman"/>
          <w:sz w:val="11"/>
          <w:szCs w:val="11"/>
          <w:b w:val="1"/>
          <w:bCs w:val="1"/>
          <w:color w:val="auto"/>
        </w:rPr>
        <w:t>repayment</w:t>
      </w:r>
      <w:r>
        <w:rPr>
          <w:rFonts w:ascii="Times New Roman" w:cs="Times New Roman" w:eastAsia="Times New Roman" w:hAnsi="Times New Roman"/>
          <w:sz w:val="16"/>
          <w:szCs w:val="16"/>
          <w:b w:val="1"/>
          <w:bCs w:val="1"/>
          <w:color w:val="auto"/>
        </w:rPr>
        <w:t>.</w:t>
      </w:r>
    </w:p>
    <w:p>
      <w:pPr>
        <w:spacing w:after="0" w:line="212" w:lineRule="exact"/>
        <w:rPr>
          <w:sz w:val="20"/>
          <w:szCs w:val="20"/>
          <w:color w:val="auto"/>
        </w:rPr>
      </w:pPr>
    </w:p>
    <w:p>
      <w:pPr>
        <w:ind w:left="860" w:hanging="270"/>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Reserved</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ind w:left="860" w:hanging="270"/>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w:t>
      </w:r>
    </w:p>
    <w:p>
      <w:pPr>
        <w:spacing w:after="0" w:line="208" w:lineRule="exact"/>
        <w:rPr>
          <w:rFonts w:ascii="Times New Roman" w:cs="Times New Roman" w:eastAsia="Times New Roman" w:hAnsi="Times New Roman"/>
          <w:sz w:val="16"/>
          <w:szCs w:val="16"/>
          <w:color w:val="auto"/>
        </w:rPr>
      </w:pPr>
    </w:p>
    <w:p>
      <w:pPr>
        <w:jc w:val="both"/>
        <w:ind w:firstLine="1182"/>
        <w:spacing w:after="0" w:line="264" w:lineRule="auto"/>
        <w:tabs>
          <w:tab w:leader="none" w:pos="138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Note will accrue interest (the “</w:t>
      </w:r>
      <w:r>
        <w:rPr>
          <w:rFonts w:ascii="Times New Roman" w:cs="Times New Roman" w:eastAsia="Times New Roman" w:hAnsi="Times New Roman"/>
          <w:sz w:val="16"/>
          <w:szCs w:val="16"/>
          <w:b w:val="1"/>
          <w:bCs w:val="1"/>
          <w:color w:val="auto"/>
        </w:rPr>
        <w:t>Stated Interest</w:t>
      </w:r>
      <w:r>
        <w:rPr>
          <w:rFonts w:ascii="Times New Roman" w:cs="Times New Roman" w:eastAsia="Times New Roman" w:hAnsi="Times New Roman"/>
          <w:sz w:val="16"/>
          <w:szCs w:val="16"/>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in cash on each Interest Payment Date in accordance with </w:t>
      </w:r>
      <w:r>
        <w:rPr>
          <w:rFonts w:ascii="Times New Roman" w:cs="Times New Roman" w:eastAsia="Times New Roman" w:hAnsi="Times New Roman"/>
          <w:sz w:val="16"/>
          <w:szCs w:val="16"/>
          <w:b w:val="1"/>
          <w:bCs w:val="1"/>
          <w:color w:val="auto"/>
        </w:rPr>
        <w:t>Section 5(A)</w:t>
      </w:r>
      <w:r>
        <w:rPr>
          <w:rFonts w:ascii="Times New Roman" w:cs="Times New Roman" w:eastAsia="Times New Roman" w:hAnsi="Times New Roman"/>
          <w:sz w:val="16"/>
          <w:szCs w:val="16"/>
          <w:color w:val="auto"/>
        </w:rPr>
        <w:t xml:space="preserve">; (iv) be paid to Holder in cash concurrently with any Cash Sweep Payment with respect to the Principal Amount portion of any such Cash Sweep Payment being paid; (v) with respect to the amount of interest then accrued on the portion of the Principal Amount being redeemed on an Optional Holder Redemption Date, be paid to the Holder in arrears as of such Optional Holder Redemption Date in accordance with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and (vi) be computed on the basis of a 360-day year comprised of twelve 30-day months.</w:t>
      </w:r>
    </w:p>
    <w:p>
      <w:pPr>
        <w:spacing w:after="0" w:line="160" w:lineRule="exact"/>
        <w:rPr>
          <w:rFonts w:ascii="Times New Roman" w:cs="Times New Roman" w:eastAsia="Times New Roman" w:hAnsi="Times New Roman"/>
          <w:sz w:val="16"/>
          <w:szCs w:val="16"/>
          <w:color w:val="auto"/>
        </w:rPr>
      </w:pPr>
    </w:p>
    <w:p>
      <w:pPr>
        <w:jc w:val="both"/>
        <w:ind w:firstLine="1182"/>
        <w:spacing w:after="0" w:line="268" w:lineRule="auto"/>
        <w:tabs>
          <w:tab w:leader="none" w:pos="143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Default or an Event of Default occurs, then in each case, to the extent lawful, interest (“</w:t>
      </w:r>
      <w:r>
        <w:rPr>
          <w:rFonts w:ascii="Times New Roman" w:cs="Times New Roman" w:eastAsia="Times New Roman" w:hAnsi="Times New Roman"/>
          <w:sz w:val="16"/>
          <w:szCs w:val="16"/>
          <w:b w:val="1"/>
          <w:bCs w:val="1"/>
          <w:color w:val="auto"/>
        </w:rPr>
        <w:t>Default Interest</w:t>
      </w:r>
      <w:r>
        <w:rPr>
          <w:rFonts w:ascii="Times New Roman" w:cs="Times New Roman" w:eastAsia="Times New Roman" w:hAnsi="Times New Roman"/>
          <w:sz w:val="16"/>
          <w:szCs w:val="16"/>
          <w:color w:val="auto"/>
        </w:rPr>
        <w:t>”) will accrue (rather than at the Stated Interest Rate, if applicable) on the Principal Amount outstanding as of the date of such Default or Event of Default at a rate per annum equal to fifteen percent (15.0%),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2" w:name="page23"/>
    <w:bookmarkEnd w:id="22"/>
    <w:p>
      <w:pPr>
        <w:ind w:firstLine="590"/>
        <w:spacing w:after="0" w:line="299" w:lineRule="auto"/>
        <w:tabs>
          <w:tab w:leader="none" w:pos="8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Maturity Date Payment</w:t>
      </w:r>
      <w:r>
        <w:rPr>
          <w:rFonts w:ascii="Times New Roman" w:cs="Times New Roman" w:eastAsia="Times New Roman" w:hAnsi="Times New Roman"/>
          <w:sz w:val="16"/>
          <w:szCs w:val="16"/>
          <w:color w:val="auto"/>
        </w:rPr>
        <w:t>. On the Maturity Date, the Company will pay the Holder an amount in cash equal to the then-outstanding Principal Amount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 plus any accrued and unpaid interest on this Note.</w:t>
      </w:r>
    </w:p>
    <w:p>
      <w:pPr>
        <w:spacing w:after="0" w:line="131" w:lineRule="exact"/>
        <w:rPr>
          <w:rFonts w:ascii="Times New Roman" w:cs="Times New Roman" w:eastAsia="Times New Roman" w:hAnsi="Times New Roman"/>
          <w:sz w:val="16"/>
          <w:szCs w:val="16"/>
          <w:color w:val="auto"/>
        </w:rPr>
      </w:pPr>
    </w:p>
    <w:p>
      <w:pPr>
        <w:ind w:left="860" w:hanging="270"/>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Prepayment</w:t>
      </w:r>
      <w:r>
        <w:rPr>
          <w:rFonts w:ascii="Times New Roman" w:cs="Times New Roman" w:eastAsia="Times New Roman" w:hAnsi="Times New Roman"/>
          <w:sz w:val="16"/>
          <w:szCs w:val="16"/>
          <w:color w:val="auto"/>
        </w:rPr>
        <w:t>. The Company may not prepay the Note without the written consent of the Holder other than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ind w:left="840" w:hanging="250"/>
        <w:spacing w:after="0"/>
        <w:tabs>
          <w:tab w:leader="none" w:pos="8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Cash Sweep Payments</w:t>
      </w:r>
      <w:r>
        <w:rPr>
          <w:rFonts w:ascii="Times New Roman" w:cs="Times New Roman" w:eastAsia="Times New Roman" w:hAnsi="Times New Roman"/>
          <w:sz w:val="16"/>
          <w:szCs w:val="16"/>
          <w:color w:val="auto"/>
        </w:rPr>
        <w:t>.</w:t>
      </w:r>
    </w:p>
    <w:p>
      <w:pPr>
        <w:spacing w:after="0" w:line="208" w:lineRule="exact"/>
        <w:rPr>
          <w:rFonts w:ascii="Times New Roman" w:cs="Times New Roman" w:eastAsia="Times New Roman" w:hAnsi="Times New Roman"/>
          <w:sz w:val="16"/>
          <w:szCs w:val="16"/>
          <w:color w:val="auto"/>
        </w:rPr>
      </w:pPr>
    </w:p>
    <w:p>
      <w:pPr>
        <w:ind w:left="1380" w:hanging="198"/>
        <w:spacing w:after="0"/>
        <w:tabs>
          <w:tab w:leader="none" w:pos="13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Note, any payment made to the Holder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xml:space="preserve"> shall be referred to as a </w:t>
      </w:r>
      <w:r>
        <w:rPr>
          <w:rFonts w:ascii="Times New Roman" w:cs="Times New Roman" w:eastAsia="Times New Roman" w:hAnsi="Times New Roman"/>
          <w:sz w:val="16"/>
          <w:szCs w:val="16"/>
          <w:b w:val="1"/>
          <w:bCs w:val="1"/>
          <w:color w:val="auto"/>
        </w:rPr>
        <w:t>“Cash Sweep Payment”</w:t>
      </w:r>
      <w:r>
        <w:rPr>
          <w:rFonts w:ascii="Times New Roman" w:cs="Times New Roman" w:eastAsia="Times New Roman" w:hAnsi="Times New Roman"/>
          <w:sz w:val="16"/>
          <w:szCs w:val="16"/>
          <w:color w:val="auto"/>
        </w:rPr>
        <w:t>.</w:t>
      </w:r>
    </w:p>
    <w:p>
      <w:pPr>
        <w:spacing w:after="0" w:line="214" w:lineRule="exact"/>
        <w:rPr>
          <w:rFonts w:ascii="Times New Roman" w:cs="Times New Roman" w:eastAsia="Times New Roman" w:hAnsi="Times New Roman"/>
          <w:sz w:val="16"/>
          <w:szCs w:val="16"/>
          <w:color w:val="auto"/>
        </w:rPr>
      </w:pPr>
    </w:p>
    <w:p>
      <w:pPr>
        <w:jc w:val="both"/>
        <w:ind w:firstLine="1182"/>
        <w:spacing w:after="0" w:line="263" w:lineRule="auto"/>
        <w:tabs>
          <w:tab w:leader="none" w:pos="14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Concurrently with the completion of any Equity Issuance other than an ATM Issuance, the Company shall certify to Holder in writing (i) the net proceeds of the applicable Equity Issuance, (ii) the calculation of the Cash Sweep Amount with respect to such Equity Issuance (including a certification that such Cash Sweep Amount was calculated in accordance with the terms hereof) and (iii) whether the Company believes that the extent of such Equity Issuances and Cash Sweep Amount constitutes material non-public information regarding the Company (such certification a “</w:t>
      </w:r>
      <w:r>
        <w:rPr>
          <w:rFonts w:ascii="Times New Roman" w:cs="Times New Roman" w:eastAsia="Times New Roman" w:hAnsi="Times New Roman"/>
          <w:sz w:val="16"/>
          <w:szCs w:val="16"/>
          <w:b w:val="1"/>
          <w:bCs w:val="1"/>
          <w:color w:val="auto"/>
        </w:rPr>
        <w:t>Cash Sweep Certification</w:t>
      </w:r>
      <w:r>
        <w:rPr>
          <w:rFonts w:ascii="Times New Roman" w:cs="Times New Roman" w:eastAsia="Times New Roman" w:hAnsi="Times New Roman"/>
          <w:sz w:val="16"/>
          <w:szCs w:val="16"/>
          <w:color w:val="auto"/>
        </w:rPr>
        <w:t>”); provided, however, that, unless consented to by the Holder in writing, in the event that the extent of such Equity Issuances and Cash Sweep Amount is such that the information required in such certification would constitute material non-public information regarding the Company, then the Company shall also publicly disclose such material non-public information on a Current Report on Form 8-K or otherwise, on or prior to 9:00 am, New York City time on the Business Day immediately following the delivery of such Cash Sweep Certification.</w:t>
      </w:r>
    </w:p>
    <w:p>
      <w:pPr>
        <w:spacing w:after="0" w:line="166" w:lineRule="exact"/>
        <w:rPr>
          <w:rFonts w:ascii="Times New Roman" w:cs="Times New Roman" w:eastAsia="Times New Roman" w:hAnsi="Times New Roman"/>
          <w:sz w:val="16"/>
          <w:szCs w:val="16"/>
          <w:color w:val="auto"/>
        </w:rPr>
      </w:pPr>
    </w:p>
    <w:p>
      <w:pPr>
        <w:jc w:val="both"/>
        <w:ind w:firstLine="1182"/>
        <w:spacing w:after="0" w:line="262" w:lineRule="auto"/>
        <w:tabs>
          <w:tab w:leader="none" w:pos="1493"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 Equity Issuance that is an ATM Issuance, on the first Business Day of each calendar month, the Company shall deliver a certification to Holder in writing certifying (i) the net proceeds of the applicable Equity Issuances consummated in the immediately preceding calendar month, (ii) the calculation of the Cash Sweep Amount with respect to such Equity Issuances (including a certification that such Cash Sweep Amount was calculated in accordance with the terms hereof), and (iii) whether the Company believes that the extent of such Equity Issuances and Cash Sweep Amount constitutes material non-public information regarding the Company (such certification also being a Cash Sweep Certification); provided, however, that, unless consented to by the Holder in writing, in the event that the extent of such Equity Issuances and Cash Sweep Amount is such that the information required in such certification would constitute material non-public information regarding the Company, then the Company shall also publicly disclose such material non-public information on a Current Report on Form 8-K or otherwise, on or prior to 9:00 am, New York City time on the Business Day immediately following the delivery of such Cash Sweep Certification.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3" w:name="page24"/>
    <w:bookmarkEnd w:id="23"/>
    <w:p>
      <w:pPr>
        <w:jc w:val="both"/>
        <w:ind w:firstLine="1182"/>
        <w:spacing w:after="0" w:line="279" w:lineRule="auto"/>
        <w:tabs>
          <w:tab w:leader="none" w:pos="146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shall have the right to require the Company, exercisable by delivery of written notice to the Company of exercise of such right (a “</w:t>
      </w: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Sweep Notice</w:t>
      </w:r>
      <w:r>
        <w:rPr>
          <w:rFonts w:ascii="Times New Roman" w:cs="Times New Roman" w:eastAsia="Times New Roman" w:hAnsi="Times New Roman"/>
          <w:sz w:val="16"/>
          <w:szCs w:val="16"/>
          <w:color w:val="auto"/>
        </w:rPr>
        <w:t>”), to pay to the Holder in cash within two (2) Business Days following the delivery of such Cash Sweep Notice, all or a portion of the Cash Sweep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related to such Equity Issuance.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5. M</w:t>
      </w:r>
      <w:r>
        <w:rPr>
          <w:rFonts w:ascii="Times New Roman" w:cs="Times New Roman" w:eastAsia="Times New Roman" w:hAnsi="Times New Roman"/>
          <w:sz w:val="11"/>
          <w:szCs w:val="11"/>
          <w:b w:val="1"/>
          <w:bCs w:val="1"/>
          <w:color w:val="auto"/>
        </w:rPr>
        <w:t>ethod of</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6"/>
          <w:szCs w:val="16"/>
          <w:b w:val="1"/>
          <w:bCs w:val="1"/>
          <w:color w:val="auto"/>
        </w:rPr>
        <w:t>; W</w:t>
      </w:r>
      <w:r>
        <w:rPr>
          <w:rFonts w:ascii="Times New Roman" w:cs="Times New Roman" w:eastAsia="Times New Roman" w:hAnsi="Times New Roman"/>
          <w:sz w:val="11"/>
          <w:szCs w:val="11"/>
          <w:b w:val="1"/>
          <w:bCs w:val="1"/>
          <w:color w:val="auto"/>
        </w:rPr>
        <w:t>hen</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1"/>
          <w:szCs w:val="11"/>
          <w:b w:val="1"/>
          <w:bCs w:val="1"/>
          <w:color w:val="auto"/>
        </w:rPr>
        <w:t>ayment</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ate is</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 a</w:t>
      </w:r>
      <w:r>
        <w:rPr>
          <w:rFonts w:ascii="Times New Roman" w:cs="Times New Roman" w:eastAsia="Times New Roman" w:hAnsi="Times New Roman"/>
          <w:sz w:val="16"/>
          <w:szCs w:val="16"/>
          <w:b w:val="1"/>
          <w:bCs w:val="1"/>
          <w:color w:val="auto"/>
        </w:rPr>
        <w:t xml:space="preserve"> B</w:t>
      </w:r>
      <w:r>
        <w:rPr>
          <w:rFonts w:ascii="Times New Roman" w:cs="Times New Roman" w:eastAsia="Times New Roman" w:hAnsi="Times New Roman"/>
          <w:sz w:val="11"/>
          <w:szCs w:val="11"/>
          <w:b w:val="1"/>
          <w:bCs w:val="1"/>
          <w:color w:val="auto"/>
        </w:rPr>
        <w:t>usiness</w:t>
      </w:r>
      <w:r>
        <w:rPr>
          <w:rFonts w:ascii="Times New Roman" w:cs="Times New Roman" w:eastAsia="Times New Roman" w:hAnsi="Times New Roman"/>
          <w:sz w:val="16"/>
          <w:szCs w:val="16"/>
          <w:b w:val="1"/>
          <w:bCs w:val="1"/>
          <w:color w:val="auto"/>
        </w:rPr>
        <w:t xml:space="preserve"> D</w:t>
      </w:r>
      <w:r>
        <w:rPr>
          <w:rFonts w:ascii="Times New Roman" w:cs="Times New Roman" w:eastAsia="Times New Roman" w:hAnsi="Times New Roman"/>
          <w:sz w:val="11"/>
          <w:szCs w:val="11"/>
          <w:b w:val="1"/>
          <w:bCs w:val="1"/>
          <w:color w:val="auto"/>
        </w:rPr>
        <w:t>ay</w:t>
      </w:r>
      <w:r>
        <w:rPr>
          <w:rFonts w:ascii="Times New Roman" w:cs="Times New Roman" w:eastAsia="Times New Roman" w:hAnsi="Times New Roman"/>
          <w:sz w:val="16"/>
          <w:szCs w:val="16"/>
          <w:b w:val="1"/>
          <w:bCs w:val="1"/>
          <w:color w:val="auto"/>
        </w:rPr>
        <w:t>.</w:t>
      </w:r>
    </w:p>
    <w:p>
      <w:pPr>
        <w:spacing w:after="0" w:line="212" w:lineRule="exact"/>
        <w:rPr>
          <w:sz w:val="20"/>
          <w:szCs w:val="20"/>
          <w:color w:val="auto"/>
        </w:rPr>
      </w:pPr>
    </w:p>
    <w:p>
      <w:pPr>
        <w:jc w:val="both"/>
        <w:ind w:firstLine="590"/>
        <w:spacing w:after="0" w:line="278" w:lineRule="auto"/>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Method of Payment</w:t>
      </w:r>
      <w:r>
        <w:rPr>
          <w:rFonts w:ascii="Times New Roman" w:cs="Times New Roman" w:eastAsia="Times New Roman" w:hAnsi="Times New Roman"/>
          <w:sz w:val="16"/>
          <w:szCs w:val="16"/>
          <w:color w:val="auto"/>
        </w:rPr>
        <w:t>. The Company will pay all cash amounts due under this Note by wire transfer of immediately available funds to an account of the Holder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is provided to the Company on the date hereof, which account may be changed for any cash amount due under this Note by written notice provided by the Holder to the Company at least three (3) Business Days before the date such amount is due.</w:t>
      </w:r>
    </w:p>
    <w:p>
      <w:pPr>
        <w:spacing w:after="0" w:line="149" w:lineRule="exact"/>
        <w:rPr>
          <w:rFonts w:ascii="Times New Roman" w:cs="Times New Roman" w:eastAsia="Times New Roman" w:hAnsi="Times New Roman"/>
          <w:sz w:val="16"/>
          <w:szCs w:val="16"/>
          <w:color w:val="auto"/>
        </w:rPr>
      </w:pPr>
    </w:p>
    <w:p>
      <w:pPr>
        <w:jc w:val="both"/>
        <w:ind w:firstLine="590"/>
        <w:spacing w:after="0" w:line="278" w:lineRule="auto"/>
        <w:tabs>
          <w:tab w:leader="none" w:pos="8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Delay of Payment when Payment Date is Not a Business Day</w:t>
      </w:r>
      <w:r>
        <w:rPr>
          <w:rFonts w:ascii="Times New Roman" w:cs="Times New Roman" w:eastAsia="Times New Roman" w:hAnsi="Times New Roman"/>
          <w:sz w:val="16"/>
          <w:szCs w:val="16"/>
          <w:color w:val="auto"/>
        </w:rPr>
        <w:t>. If the due date for a payment on this Note as provided in this Note is not a Business Day, then,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notwithstanding anything to the contrary in this Note, such payment may be made on the immediately following Business Day and no interest will accrue on such payment as a result of the related delay.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6. R</w:t>
      </w:r>
      <w:r>
        <w:rPr>
          <w:rFonts w:ascii="Times New Roman" w:cs="Times New Roman" w:eastAsia="Times New Roman" w:hAnsi="Times New Roman"/>
          <w:sz w:val="11"/>
          <w:szCs w:val="11"/>
          <w:b w:val="1"/>
          <w:bCs w:val="1"/>
          <w:color w:val="auto"/>
        </w:rPr>
        <w:t>equired</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1"/>
          <w:szCs w:val="11"/>
          <w:b w:val="1"/>
          <w:bCs w:val="1"/>
          <w:color w:val="auto"/>
        </w:rPr>
        <w:t>epurchase of</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ote upon a</w:t>
      </w:r>
      <w:r>
        <w:rPr>
          <w:rFonts w:ascii="Times New Roman" w:cs="Times New Roman" w:eastAsia="Times New Roman" w:hAnsi="Times New Roman"/>
          <w:sz w:val="16"/>
          <w:szCs w:val="16"/>
          <w:b w:val="1"/>
          <w:bCs w:val="1"/>
          <w:color w:val="auto"/>
        </w:rPr>
        <w:t xml:space="preserve"> F</w:t>
      </w:r>
      <w:r>
        <w:rPr>
          <w:rFonts w:ascii="Times New Roman" w:cs="Times New Roman" w:eastAsia="Times New Roman" w:hAnsi="Times New Roman"/>
          <w:sz w:val="11"/>
          <w:szCs w:val="11"/>
          <w:b w:val="1"/>
          <w:bCs w:val="1"/>
          <w:color w:val="auto"/>
        </w:rPr>
        <w:t>undamental</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hange</w:t>
      </w:r>
      <w:r>
        <w:rPr>
          <w:rFonts w:ascii="Times New Roman" w:cs="Times New Roman" w:eastAsia="Times New Roman" w:hAnsi="Times New Roman"/>
          <w:sz w:val="16"/>
          <w:szCs w:val="16"/>
          <w:b w:val="1"/>
          <w:bCs w:val="1"/>
          <w:color w:val="auto"/>
        </w:rPr>
        <w:t>.</w:t>
      </w:r>
    </w:p>
    <w:p>
      <w:pPr>
        <w:spacing w:after="0" w:line="210" w:lineRule="exact"/>
        <w:rPr>
          <w:sz w:val="20"/>
          <w:szCs w:val="20"/>
          <w:color w:val="auto"/>
        </w:rPr>
      </w:pPr>
    </w:p>
    <w:p>
      <w:pPr>
        <w:jc w:val="both"/>
        <w:ind w:firstLine="590"/>
        <w:spacing w:after="0" w:line="279" w:lineRule="auto"/>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Repurchase Upon Fundamental Change</w:t>
      </w:r>
      <w:r>
        <w:rPr>
          <w:rFonts w:ascii="Times New Roman" w:cs="Times New Roman" w:eastAsia="Times New Roman" w:hAnsi="Times New Roman"/>
          <w:sz w:val="16"/>
          <w:szCs w:val="16"/>
          <w:color w:val="auto"/>
        </w:rPr>
        <w:t>. Subject to the other terms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6</w:t>
      </w:r>
      <w:r>
        <w:rPr>
          <w:rFonts w:ascii="Times New Roman" w:cs="Times New Roman" w:eastAsia="Times New Roman" w:hAnsi="Times New Roman"/>
          <w:sz w:val="16"/>
          <w:szCs w:val="16"/>
          <w:color w:val="auto"/>
        </w:rPr>
        <w:t>, if a Fundamental Change occurs, then the Holder will have the right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require the Company to repurchase this Note (or any portion of this Note in an Authorized Denomination) on the Fundamental Change Repurchase Date for such Fundamental Change for a cash purchase price equal to the Fundamental Change Repurchase Price.</w:t>
      </w:r>
    </w:p>
    <w:p>
      <w:pPr>
        <w:spacing w:after="0" w:line="149" w:lineRule="exact"/>
        <w:rPr>
          <w:rFonts w:ascii="Times New Roman" w:cs="Times New Roman" w:eastAsia="Times New Roman" w:hAnsi="Times New Roman"/>
          <w:sz w:val="16"/>
          <w:szCs w:val="16"/>
          <w:color w:val="auto"/>
        </w:rPr>
      </w:pPr>
    </w:p>
    <w:p>
      <w:pPr>
        <w:jc w:val="both"/>
        <w:ind w:firstLine="590"/>
        <w:spacing w:after="0" w:line="278" w:lineRule="auto"/>
        <w:tabs>
          <w:tab w:leader="none" w:pos="86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Fundamental Change Repurchase Date</w:t>
      </w:r>
      <w:r>
        <w:rPr>
          <w:rFonts w:ascii="Times New Roman" w:cs="Times New Roman" w:eastAsia="Times New Roman" w:hAnsi="Times New Roman"/>
          <w:sz w:val="16"/>
          <w:szCs w:val="16"/>
          <w:color w:val="auto"/>
        </w:rPr>
        <w:t>. The Fundamental Change Repurchase Date for any Fundamental Change will be a Business Day of the 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choosing that is no more than twenty (20) Business Days after the later of (x) the date the Company delivers to the Holder the related Fundamental Change Notice pursuant to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 and (y) the effective date of such Fundamental Change.</w:t>
      </w:r>
    </w:p>
    <w:p>
      <w:pPr>
        <w:spacing w:after="0" w:line="149" w:lineRule="exact"/>
        <w:rPr>
          <w:rFonts w:ascii="Times New Roman" w:cs="Times New Roman" w:eastAsia="Times New Roman" w:hAnsi="Times New Roman"/>
          <w:sz w:val="16"/>
          <w:szCs w:val="16"/>
          <w:color w:val="auto"/>
        </w:rPr>
      </w:pPr>
    </w:p>
    <w:p>
      <w:pPr>
        <w:jc w:val="both"/>
        <w:ind w:firstLine="590"/>
        <w:spacing w:after="0" w:line="269" w:lineRule="auto"/>
        <w:tabs>
          <w:tab w:leader="none" w:pos="8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Fundamental Change Notice</w:t>
      </w:r>
      <w:r>
        <w:rPr>
          <w:rFonts w:ascii="Times New Roman" w:cs="Times New Roman" w:eastAsia="Times New Roman" w:hAnsi="Times New Roman"/>
          <w:sz w:val="16"/>
          <w:szCs w:val="16"/>
          <w:color w:val="auto"/>
        </w:rPr>
        <w:t>. No later than the eighth (8th) Business Day before the occurrence of any Fundamental Change, the Company will send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 a written notice (the “</w:t>
      </w:r>
      <w:r>
        <w:rPr>
          <w:rFonts w:ascii="Times New Roman" w:cs="Times New Roman" w:eastAsia="Times New Roman" w:hAnsi="Times New Roman"/>
          <w:sz w:val="16"/>
          <w:szCs w:val="16"/>
          <w:b w:val="1"/>
          <w:bCs w:val="1"/>
          <w:color w:val="auto"/>
        </w:rPr>
        <w:t>Fundamental Change Notice</w:t>
      </w:r>
      <w:r>
        <w:rPr>
          <w:rFonts w:ascii="Times New Roman" w:cs="Times New Roman" w:eastAsia="Times New Roman" w:hAnsi="Times New Roman"/>
          <w:sz w:val="16"/>
          <w:szCs w:val="16"/>
          <w:color w:val="auto"/>
        </w:rPr>
        <w:t>”) thereof (provided, however, in no event shall such notice be required prior to the actual public notice of such</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6"/>
          <w:szCs w:val="16"/>
          <w:color w:val="auto"/>
        </w:rPr>
        <w:t>Fundamental Change), stating the expected date such Fundamental Change will occur. No later than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Business Day after the date of delivery of the Fundamental Change Notice, the Holder shall notify the Company in writing whether it will require the Company to repurchase this Note and specify the Fundamental Change Repurchase Date.</w:t>
      </w:r>
    </w:p>
    <w:p>
      <w:pPr>
        <w:spacing w:after="0" w:line="179" w:lineRule="exact"/>
        <w:rPr>
          <w:sz w:val="20"/>
          <w:szCs w:val="20"/>
          <w:color w:val="auto"/>
        </w:rPr>
      </w:pPr>
    </w:p>
    <w:p>
      <w:pPr>
        <w:jc w:val="both"/>
        <w:ind w:firstLine="590"/>
        <w:spacing w:after="0" w:line="267" w:lineRule="auto"/>
        <w:tabs>
          <w:tab w:leader="none" w:pos="87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Fundamental Change Repurchase Price</w:t>
      </w:r>
      <w:r>
        <w:rPr>
          <w:rFonts w:ascii="Times New Roman" w:cs="Times New Roman" w:eastAsia="Times New Roman" w:hAnsi="Times New Roman"/>
          <w:sz w:val="16"/>
          <w:szCs w:val="16"/>
          <w:color w:val="auto"/>
        </w:rPr>
        <w:t>. The Fundamental Change Repurchase Price for this Note (or any portion of this Note to be repurchased) upon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Repurchase Upon Fundamental Change following a Fundamental Change is an amount in cash equal to the Fundamental Change Base Repurchase Price for such Fundamental Change plus any accrued and unpaid interest on this Note (or such portion of this Note) to, but excluding, the Fundamental Change Repurchase Date for such Fundamental Change. For the avoidance of doubt, no other prepayment premium, fee or penalty (including, the prepayment fee set forth in the definition of “Company Redemption Price”) shall be due or payable in connection with a Repurchase Upon Fundamental Change.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4" w:name="page25"/>
    <w:bookmarkEnd w:id="24"/>
    <w:p>
      <w:pPr>
        <w:ind w:firstLine="590"/>
        <w:spacing w:after="0" w:line="299" w:lineRule="auto"/>
        <w:tabs>
          <w:tab w:leader="none" w:pos="84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Effect of Repurchase</w:t>
      </w:r>
      <w:r>
        <w:rPr>
          <w:rFonts w:ascii="Times New Roman" w:cs="Times New Roman" w:eastAsia="Times New Roman" w:hAnsi="Times New Roman"/>
          <w:sz w:val="16"/>
          <w:szCs w:val="16"/>
          <w:color w:val="auto"/>
        </w:rPr>
        <w:t>. If this Note (or any portion of this Note) is to be repurchased upon a Repurchase Upon Fundamental Change, then, from and after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date the related Fundamental Change Repurchase Price is paid in full, this Note (or such portion) will cease to be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7. [R</w:t>
      </w:r>
      <w:r>
        <w:rPr>
          <w:rFonts w:ascii="Times New Roman" w:cs="Times New Roman" w:eastAsia="Times New Roman" w:hAnsi="Times New Roman"/>
          <w:sz w:val="11"/>
          <w:szCs w:val="11"/>
          <w:b w:val="1"/>
          <w:bCs w:val="1"/>
          <w:color w:val="auto"/>
        </w:rPr>
        <w:t>eserved</w:t>
      </w:r>
      <w:r>
        <w:rPr>
          <w:rFonts w:ascii="Times New Roman" w:cs="Times New Roman" w:eastAsia="Times New Roman" w:hAnsi="Times New Roman"/>
          <w:sz w:val="16"/>
          <w:szCs w:val="16"/>
          <w:b w:val="1"/>
          <w:bCs w:val="1"/>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8. R</w:t>
      </w:r>
      <w:r>
        <w:rPr>
          <w:rFonts w:ascii="Times New Roman" w:cs="Times New Roman" w:eastAsia="Times New Roman" w:hAnsi="Times New Roman"/>
          <w:sz w:val="11"/>
          <w:szCs w:val="11"/>
          <w:b w:val="1"/>
          <w:bCs w:val="1"/>
          <w:color w:val="auto"/>
        </w:rPr>
        <w:t>edemption of this</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6"/>
          <w:szCs w:val="16"/>
          <w:b w:val="1"/>
          <w:bCs w:val="1"/>
          <w:color w:val="auto"/>
        </w:rPr>
        <w:t>.</w:t>
      </w:r>
    </w:p>
    <w:p>
      <w:pPr>
        <w:spacing w:after="0" w:line="210" w:lineRule="exact"/>
        <w:rPr>
          <w:sz w:val="20"/>
          <w:szCs w:val="20"/>
          <w:color w:val="auto"/>
        </w:rPr>
      </w:pPr>
    </w:p>
    <w:p>
      <w:pPr>
        <w:jc w:val="both"/>
        <w:ind w:firstLine="590"/>
        <w:spacing w:after="0" w:line="262" w:lineRule="auto"/>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Company Redemption Election</w:t>
      </w:r>
      <w:r>
        <w:rPr>
          <w:rFonts w:ascii="Times New Roman" w:cs="Times New Roman" w:eastAsia="Times New Roman" w:hAnsi="Times New Roman"/>
          <w:sz w:val="16"/>
          <w:szCs w:val="16"/>
          <w:color w:val="auto"/>
        </w:rPr>
        <w:t>. Provided that an Optional Holder Redemption Notice has not been delivered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redeem all (or a portion thereof not less than five million dollars ($5,000,000)) of the then outstanding Principal Amount on any date by paying on the Company Redemption Date (as defined below) a cash redemption price equal to the Company Redemption Price; provided, that the Company must provide irrevocable written notice thereof (a “</w:t>
      </w:r>
      <w:r>
        <w:rPr>
          <w:rFonts w:ascii="Times New Roman" w:cs="Times New Roman" w:eastAsia="Times New Roman" w:hAnsi="Times New Roman"/>
          <w:sz w:val="16"/>
          <w:szCs w:val="16"/>
          <w:b w:val="1"/>
          <w:bCs w:val="1"/>
          <w:color w:val="auto"/>
        </w:rPr>
        <w:t>Company Redemption Notice</w:t>
      </w:r>
      <w:r>
        <w:rPr>
          <w:rFonts w:ascii="Times New Roman" w:cs="Times New Roman" w:eastAsia="Times New Roman" w:hAnsi="Times New Roman"/>
          <w:sz w:val="16"/>
          <w:szCs w:val="16"/>
          <w:color w:val="auto"/>
        </w:rPr>
        <w:t>”) certifying that no Default has occurred or is continuing as of the date of such notice and that no Event of Default has occurred as of the date of such notice that has not been waived and setting forth the date upon which such redemption shall occur (the “</w:t>
      </w:r>
      <w:r>
        <w:rPr>
          <w:rFonts w:ascii="Times New Roman" w:cs="Times New Roman" w:eastAsia="Times New Roman" w:hAnsi="Times New Roman"/>
          <w:sz w:val="16"/>
          <w:szCs w:val="16"/>
          <w:b w:val="1"/>
          <w:bCs w:val="1"/>
          <w:color w:val="auto"/>
        </w:rPr>
        <w:t>Company Redemption Date</w:t>
      </w:r>
      <w:r>
        <w:rPr>
          <w:rFonts w:ascii="Times New Roman" w:cs="Times New Roman" w:eastAsia="Times New Roman" w:hAnsi="Times New Roman"/>
          <w:sz w:val="16"/>
          <w:szCs w:val="16"/>
          <w:color w:val="auto"/>
        </w:rPr>
        <w:t xml:space="preserve">”) at least ten (10) days prior to the Company Redemption Date and the Company must have, on or prior to 9:00 am, New York City time, on such notice delivery date, publicly disclosed any material, non-public information regarding the Company (including the fact that the Company is redeeming the Note) on a Form 8-K or otherwise; provided, however, that this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 xml:space="preserve"> will cease to have any force and effect if a Default has occurred and is continuing or an Event of Default has occurred and has not been waived by the Required Holders. If this Note is to be redeemed in full pursuant to this </w:t>
      </w:r>
      <w:r>
        <w:rPr>
          <w:rFonts w:ascii="Times New Roman" w:cs="Times New Roman" w:eastAsia="Times New Roman" w:hAnsi="Times New Roman"/>
          <w:sz w:val="16"/>
          <w:szCs w:val="16"/>
          <w:b w:val="1"/>
          <w:bCs w:val="1"/>
          <w:color w:val="auto"/>
        </w:rPr>
        <w:t>Section 8(A)</w:t>
      </w:r>
      <w:r>
        <w:rPr>
          <w:rFonts w:ascii="Times New Roman" w:cs="Times New Roman" w:eastAsia="Times New Roman" w:hAnsi="Times New Roman"/>
          <w:sz w:val="16"/>
          <w:szCs w:val="16"/>
          <w:color w:val="auto"/>
        </w:rPr>
        <w:t>, then, from and after the date the related Company Redemption Price is paid in full, this Note will cease to be outstanding.</w:t>
      </w:r>
    </w:p>
    <w:p>
      <w:pPr>
        <w:spacing w:after="0" w:line="162" w:lineRule="exact"/>
        <w:rPr>
          <w:rFonts w:ascii="Times New Roman" w:cs="Times New Roman" w:eastAsia="Times New Roman" w:hAnsi="Times New Roman"/>
          <w:sz w:val="16"/>
          <w:szCs w:val="16"/>
          <w:color w:val="auto"/>
        </w:rPr>
      </w:pPr>
    </w:p>
    <w:p>
      <w:pPr>
        <w:jc w:val="both"/>
        <w:ind w:firstLine="590"/>
        <w:spacing w:after="0" w:line="264" w:lineRule="auto"/>
        <w:tabs>
          <w:tab w:leader="none" w:pos="8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Holder Redemption Election</w:t>
      </w:r>
      <w:r>
        <w:rPr>
          <w:rFonts w:ascii="Times New Roman" w:cs="Times New Roman" w:eastAsia="Times New Roman" w:hAnsi="Times New Roman"/>
          <w:sz w:val="16"/>
          <w:szCs w:val="16"/>
          <w:color w:val="auto"/>
        </w:rPr>
        <w:t>. The Holder may elect to require the Company to redeem all or any portion of this Note at par in an amount equal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Optional Holder Redemption Amount on or before August __, 2023 and August __, 2024 by delivering to the Company a written notice of any such election, including the Principal Amount to be redeemed (an “</w:t>
      </w:r>
      <w:r>
        <w:rPr>
          <w:rFonts w:ascii="Times New Roman" w:cs="Times New Roman" w:eastAsia="Times New Roman" w:hAnsi="Times New Roman"/>
          <w:sz w:val="16"/>
          <w:szCs w:val="16"/>
          <w:b w:val="1"/>
          <w:bCs w:val="1"/>
          <w:color w:val="auto"/>
        </w:rPr>
        <w:t>Optional Holder Redemption Notice</w:t>
      </w:r>
      <w:r>
        <w:rPr>
          <w:rFonts w:ascii="Times New Roman" w:cs="Times New Roman" w:eastAsia="Times New Roman" w:hAnsi="Times New Roman"/>
          <w:sz w:val="16"/>
          <w:szCs w:val="16"/>
          <w:color w:val="auto"/>
        </w:rPr>
        <w:t>”), on or before August __, 2023 and August __, 2024, as applicable. Following the delivery of any Optional Holder Redemption Notice, the Company shall pay the Holder the Optional Holder Redemption Amount by wire transfer of immediately available funds on or before August __, 2023 and August __, 2024, as applicable (the date on which the Optional Holder Redemption Amount is received by the Holder is referred to herein as the “</w:t>
      </w:r>
      <w:r>
        <w:rPr>
          <w:rFonts w:ascii="Times New Roman" w:cs="Times New Roman" w:eastAsia="Times New Roman" w:hAnsi="Times New Roman"/>
          <w:sz w:val="16"/>
          <w:szCs w:val="16"/>
          <w:b w:val="1"/>
          <w:bCs w:val="1"/>
          <w:color w:val="auto"/>
        </w:rPr>
        <w:t>Optional Holder Redemption Date</w:t>
      </w:r>
      <w:r>
        <w:rPr>
          <w:rFonts w:ascii="Times New Roman" w:cs="Times New Roman" w:eastAsia="Times New Roman" w:hAnsi="Times New Roman"/>
          <w:sz w:val="16"/>
          <w:szCs w:val="16"/>
          <w:color w:val="auto"/>
        </w:rPr>
        <w:t xml:space="preserve">”). If this Note is to be redeemed in full pursuant to this </w:t>
      </w:r>
      <w:r>
        <w:rPr>
          <w:rFonts w:ascii="Times New Roman" w:cs="Times New Roman" w:eastAsia="Times New Roman" w:hAnsi="Times New Roman"/>
          <w:sz w:val="16"/>
          <w:szCs w:val="16"/>
          <w:b w:val="1"/>
          <w:bCs w:val="1"/>
          <w:color w:val="auto"/>
        </w:rPr>
        <w:t>Section 8(B)</w:t>
      </w:r>
      <w:r>
        <w:rPr>
          <w:rFonts w:ascii="Times New Roman" w:cs="Times New Roman" w:eastAsia="Times New Roman" w:hAnsi="Times New Roman"/>
          <w:sz w:val="16"/>
          <w:szCs w:val="16"/>
          <w:color w:val="auto"/>
        </w:rPr>
        <w:t>, then, from and after the Optional Holder Redemption Date, this Note will cease to be outstanding.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9. A</w:t>
      </w:r>
      <w:r>
        <w:rPr>
          <w:rFonts w:ascii="Times New Roman" w:cs="Times New Roman" w:eastAsia="Times New Roman" w:hAnsi="Times New Roman"/>
          <w:sz w:val="11"/>
          <w:szCs w:val="11"/>
          <w:b w:val="1"/>
          <w:bCs w:val="1"/>
          <w:color w:val="auto"/>
        </w:rPr>
        <w:t>ffirmative and</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egative</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1"/>
          <w:szCs w:val="11"/>
          <w:b w:val="1"/>
          <w:bCs w:val="1"/>
          <w:color w:val="auto"/>
        </w:rPr>
        <w:t>ovenants</w:t>
      </w:r>
      <w:r>
        <w:rPr>
          <w:rFonts w:ascii="Times New Roman" w:cs="Times New Roman" w:eastAsia="Times New Roman" w:hAnsi="Times New Roman"/>
          <w:sz w:val="16"/>
          <w:szCs w:val="16"/>
          <w:b w:val="1"/>
          <w:bCs w:val="1"/>
          <w:color w:val="auto"/>
        </w:rPr>
        <w:t>.</w:t>
      </w:r>
    </w:p>
    <w:p>
      <w:pPr>
        <w:spacing w:after="0" w:line="212" w:lineRule="exact"/>
        <w:rPr>
          <w:sz w:val="20"/>
          <w:szCs w:val="20"/>
          <w:color w:val="auto"/>
        </w:rPr>
      </w:pPr>
    </w:p>
    <w:p>
      <w:pPr>
        <w:jc w:val="both"/>
        <w:ind w:firstLine="590"/>
        <w:spacing w:after="0" w:line="269" w:lineRule="auto"/>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Stay, Extension and Usury Laws</w:t>
      </w:r>
      <w:r>
        <w:rPr>
          <w:rFonts w:ascii="Times New Roman" w:cs="Times New Roman" w:eastAsia="Times New Roman" w:hAnsi="Times New Roman"/>
          <w:sz w:val="16"/>
          <w:szCs w:val="16"/>
          <w:color w:val="auto"/>
        </w:rPr>
        <w:t>. To the extent that it may lawfully do so, the Company (A) agrees that it will not at any time insist upon, plead, or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5" w:name="page26"/>
    <w:bookmarkEnd w:id="25"/>
    <w:p>
      <w:pPr>
        <w:ind w:left="860" w:hanging="270"/>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Corporate Existence. </w:t>
      </w:r>
      <w:r>
        <w:rPr>
          <w:rFonts w:ascii="Times New Roman" w:cs="Times New Roman" w:eastAsia="Times New Roman" w:hAnsi="Times New Roman"/>
          <w:sz w:val="16"/>
          <w:szCs w:val="16"/>
          <w:color w:val="auto"/>
        </w:rPr>
        <w:t>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10</w:t>
      </w:r>
      <w:r>
        <w:rPr>
          <w:rFonts w:ascii="Times New Roman" w:cs="Times New Roman" w:eastAsia="Times New Roman" w:hAnsi="Times New Roman"/>
          <w:sz w:val="16"/>
          <w:szCs w:val="16"/>
          <w:color w:val="auto"/>
        </w:rPr>
        <w:t>, the Company will cause to preserve and keep in full force and effect:</w:t>
      </w:r>
    </w:p>
    <w:p>
      <w:pPr>
        <w:spacing w:after="0" w:line="214" w:lineRule="exact"/>
        <w:rPr>
          <w:rFonts w:ascii="Times New Roman" w:cs="Times New Roman" w:eastAsia="Times New Roman" w:hAnsi="Times New Roman"/>
          <w:sz w:val="16"/>
          <w:szCs w:val="16"/>
          <w:color w:val="auto"/>
        </w:rPr>
      </w:pPr>
    </w:p>
    <w:p>
      <w:pPr>
        <w:ind w:firstLine="1182"/>
        <w:spacing w:after="0" w:line="296" w:lineRule="auto"/>
        <w:tabs>
          <w:tab w:leader="none" w:pos="140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corporate existence and the corporate existence of its Subsidiaries in accordance with the organizational documents of the Company or its Subsidiaries, as applicable; and</w:t>
      </w:r>
    </w:p>
    <w:p>
      <w:pPr>
        <w:spacing w:after="0" w:line="137" w:lineRule="exact"/>
        <w:rPr>
          <w:rFonts w:ascii="Times New Roman" w:cs="Times New Roman" w:eastAsia="Times New Roman" w:hAnsi="Times New Roman"/>
          <w:sz w:val="16"/>
          <w:szCs w:val="16"/>
          <w:color w:val="auto"/>
        </w:rPr>
      </w:pPr>
    </w:p>
    <w:p>
      <w:pPr>
        <w:ind w:left="1420" w:hanging="238"/>
        <w:spacing w:after="0"/>
        <w:tabs>
          <w:tab w:leader="none" w:pos="142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rights (charter and statutory), licenses and franchises of the Company and its Subsidiaries;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the Company need not preserve or keep in full force and effect any such rights (charter and statutory), license or franchise or existence of any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Subsidiaries if the Board of Directors determines in good faith that (x) the preservation thereof is no longer desirable in the conduct of the business of the Company and its Subsidiaries, taken as a whole; and (y) the loss thereof is not, individually or in the aggregate, materially adverse to the Holder.</w:t>
      </w:r>
    </w:p>
    <w:p>
      <w:pPr>
        <w:spacing w:after="0" w:line="149" w:lineRule="exact"/>
        <w:rPr>
          <w:sz w:val="20"/>
          <w:szCs w:val="20"/>
          <w:color w:val="auto"/>
        </w:rPr>
      </w:pPr>
    </w:p>
    <w:p>
      <w:pPr>
        <w:ind w:firstLine="590"/>
        <w:spacing w:after="0" w:line="299" w:lineRule="auto"/>
        <w:tabs>
          <w:tab w:leader="none" w:pos="85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Ranking</w:t>
      </w:r>
      <w:r>
        <w:rPr>
          <w:rFonts w:ascii="Times New Roman" w:cs="Times New Roman" w:eastAsia="Times New Roman" w:hAnsi="Times New Roman"/>
          <w:sz w:val="16"/>
          <w:szCs w:val="16"/>
          <w:color w:val="auto"/>
        </w:rPr>
        <w:t>. All payments due under this Note (i) shall rank pari passu with all Other Notes and (ii) shall rank senior to all other indebtedness of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 than the indebtedness described in clauses (i)) and any Subordinated Indebtedness.</w:t>
      </w:r>
    </w:p>
    <w:p>
      <w:pPr>
        <w:spacing w:after="0" w:line="133" w:lineRule="exact"/>
        <w:rPr>
          <w:rFonts w:ascii="Times New Roman" w:cs="Times New Roman" w:eastAsia="Times New Roman" w:hAnsi="Times New Roman"/>
          <w:sz w:val="16"/>
          <w:szCs w:val="16"/>
          <w:color w:val="auto"/>
        </w:rPr>
      </w:pPr>
    </w:p>
    <w:p>
      <w:pPr>
        <w:jc w:val="both"/>
        <w:ind w:firstLine="590"/>
        <w:spacing w:after="0" w:line="262" w:lineRule="auto"/>
        <w:tabs>
          <w:tab w:leader="none" w:pos="87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Indebtedness; Amendments to Indebtedness</w:t>
      </w:r>
      <w:r>
        <w:rPr>
          <w:rFonts w:ascii="Times New Roman" w:cs="Times New Roman" w:eastAsia="Times New Roman" w:hAnsi="Times New Roman"/>
          <w:sz w:val="16"/>
          <w:szCs w:val="16"/>
          <w:color w:val="auto"/>
        </w:rPr>
        <w:t>. The Company shall not and shall not permit any Subsidiary to: (a) create, incur, assume, guarantee or be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 liable with respect to any Indebtedness, other than Permitted Indebtedness; (b) prepay any Indebtedness except for (i) by the conversion of Indebtedness into equity securities (other than Disqualified Stock) and the payment of cash in lieu of fractional shares in connection with such conversion, and (ii) a refinancing of the entire amount of such Indebtedness which does not impose materially more burdensome terms upon the Company or its Subsidiaries than exist in such Indebtedness prior to such refinancing, but with a maturity date which is later than one hundred eighty-one (181) days following the Maturity Date; or (c) amend or modify any documents or notes evidencing any Indebtedness in any manner which shortens the maturity date or any amortization, redemption or interest payment date thereof or otherwise imposes materially more burdensome terms upon the Company or its Subsidiaries than exist in such Indebtedness prior to such amendment or modification without the prior written consent of Holder. The Company shall not and shall not permit any Subsidiary to incur any Indebtedness that would cause a breach or Default under the Notes or prohibit or restrict the performance of any of the Company’s or its Subsidiaries’ obligations under the Notes, including without limitation, the payment of interest and principal thereon.</w:t>
      </w:r>
    </w:p>
    <w:p>
      <w:pPr>
        <w:spacing w:after="0" w:line="361" w:lineRule="exact"/>
        <w:rPr>
          <w:rFonts w:ascii="Times New Roman" w:cs="Times New Roman" w:eastAsia="Times New Roman" w:hAnsi="Times New Roman"/>
          <w:sz w:val="16"/>
          <w:szCs w:val="16"/>
          <w:color w:val="auto"/>
        </w:rPr>
      </w:pPr>
    </w:p>
    <w:p>
      <w:pPr>
        <w:ind w:firstLine="590"/>
        <w:spacing w:after="0" w:line="299" w:lineRule="auto"/>
        <w:tabs>
          <w:tab w:leader="none" w:pos="84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Liens</w:t>
      </w:r>
      <w:r>
        <w:rPr>
          <w:rFonts w:ascii="Times New Roman" w:cs="Times New Roman" w:eastAsia="Times New Roman" w:hAnsi="Times New Roman"/>
          <w:sz w:val="16"/>
          <w:szCs w:val="16"/>
          <w:color w:val="auto"/>
        </w:rPr>
        <w:t>. The Company will not, and will not permit any of its Subsidiaries to, directly or indirectly, create, incur, assume or permit to exist any Lien of any kind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any asset now owned or hereafter acquired, except Permitted Liens.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6" w:name="page27"/>
    <w:bookmarkEnd w:id="26"/>
    <w:p>
      <w:pPr>
        <w:jc w:val="both"/>
        <w:ind w:firstLine="590"/>
        <w:spacing w:after="0" w:line="267" w:lineRule="auto"/>
        <w:tabs>
          <w:tab w:leader="none" w:pos="87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Investments</w:t>
      </w:r>
      <w:r>
        <w:rPr>
          <w:rFonts w:ascii="Times New Roman" w:cs="Times New Roman" w:eastAsia="Times New Roman" w:hAnsi="Times New Roman"/>
          <w:sz w:val="16"/>
          <w:szCs w:val="16"/>
          <w:color w:val="auto"/>
        </w:rPr>
        <w:t>. The Company shall not directly or indirectly acquire or own, or make any Investment in or to any Person, or permit any of its Subsidiaries so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do, other than Permitted Investments;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Company may not make any Investment (including a Permitted Investment) or permit any of its Subsidiaries to make any Investment (including a Permitted Investment) if (i) any Event of Default has occurred hereunder or (ii)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6"/>
          <w:szCs w:val="16"/>
          <w:b w:val="1"/>
          <w:bCs w:val="1"/>
          <w:color w:val="auto"/>
        </w:rPr>
        <w:t>Section 11(A)(ii)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11(A)(iii)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11(A)(ix)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11(A)(xiv)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11(A)(xv)</w:t>
      </w:r>
      <w:r>
        <w:rPr>
          <w:rFonts w:ascii="Times New Roman" w:cs="Times New Roman" w:eastAsia="Times New Roman" w:hAnsi="Times New Roman"/>
          <w:sz w:val="16"/>
          <w:szCs w:val="16"/>
          <w:color w:val="auto"/>
        </w:rPr>
        <w:t>.</w:t>
      </w:r>
    </w:p>
    <w:p>
      <w:pPr>
        <w:spacing w:after="0" w:line="159" w:lineRule="exact"/>
        <w:rPr>
          <w:rFonts w:ascii="Times New Roman" w:cs="Times New Roman" w:eastAsia="Times New Roman" w:hAnsi="Times New Roman"/>
          <w:sz w:val="16"/>
          <w:szCs w:val="16"/>
          <w:color w:val="auto"/>
        </w:rPr>
      </w:pPr>
    </w:p>
    <w:p>
      <w:pPr>
        <w:jc w:val="both"/>
        <w:ind w:firstLine="590"/>
        <w:spacing w:after="0" w:line="260" w:lineRule="auto"/>
        <w:tabs>
          <w:tab w:leader="none" w:pos="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Distributions. </w:t>
      </w:r>
      <w:r>
        <w:rPr>
          <w:rFonts w:ascii="Times New Roman" w:cs="Times New Roman" w:eastAsia="Times New Roman" w:hAnsi="Times New Roman"/>
          <w:sz w:val="16"/>
          <w:szCs w:val="16"/>
          <w:color w:val="auto"/>
        </w:rPr>
        <w:t>The Company shall not, and shall not allow any Subsidiary to, (a) repurchase or redeem any class of stock or other Equity Interest other than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(except as permitted under clause (F) of the definition of Permitted Investment), or guarantee the payment of any such loans granted by a third party in excess of fifty thousand dollars ($50,000) in the aggregate or (d) waive, release or forgive any Indebtedness owed by any employees, officers or directors in excess of fifty thousand dollars ($50,000) in the aggregate. Within one (1) Business Day following the date on which the Company files an Annual Report on Form 10-K or Quarterly Report on Form 10-Q with the Commission, the Company will provide the Holder with a written notice setting forth the aggregate amount of dividends or distributions made by the Company or any Subsidiary pursuant to this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for the period covered by such Annual Report on Form 10-K or Quarterly Report on Form 10-Q,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Required Holders or (B)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6"/>
          <w:szCs w:val="16"/>
          <w:b w:val="1"/>
          <w:bCs w:val="1"/>
          <w:color w:val="auto"/>
        </w:rPr>
        <w:t>Section 11(A)(ii)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11(A)(iii)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11(A)(ix)</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11(A)(xiv)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b w:val="1"/>
          <w:bCs w:val="1"/>
          <w:color w:val="auto"/>
        </w:rPr>
        <w:t xml:space="preserve"> Section 11(A)(xv)</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590"/>
        <w:spacing w:after="0" w:line="278" w:lineRule="auto"/>
        <w:tabs>
          <w:tab w:leader="none" w:pos="90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Transfers</w:t>
      </w:r>
      <w:r>
        <w:rPr>
          <w:rFonts w:ascii="Times New Roman" w:cs="Times New Roman" w:eastAsia="Times New Roman" w:hAnsi="Times New Roman"/>
          <w:sz w:val="16"/>
          <w:szCs w:val="16"/>
          <w:color w:val="auto"/>
        </w:rPr>
        <w:t>. The Company shall not, and shall not allow any Subsidiary to, voluntarily or involuntarily transfer, sell, lease, license, lend or in any other manner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convey any equitable, beneficial or legal interest in any material portion of the assets of the Company and its Subsidiaries (taken as a whole), except for Permitted Transfers and Permitted Investments.</w:t>
      </w:r>
    </w:p>
    <w:p>
      <w:pPr>
        <w:spacing w:after="0" w:line="149" w:lineRule="exact"/>
        <w:rPr>
          <w:rFonts w:ascii="Times New Roman" w:cs="Times New Roman" w:eastAsia="Times New Roman" w:hAnsi="Times New Roman"/>
          <w:sz w:val="16"/>
          <w:szCs w:val="16"/>
          <w:color w:val="auto"/>
        </w:rPr>
      </w:pPr>
    </w:p>
    <w:p>
      <w:pPr>
        <w:jc w:val="both"/>
        <w:ind w:firstLine="590"/>
        <w:spacing w:after="0" w:line="267" w:lineRule="auto"/>
        <w:tabs>
          <w:tab w:leader="none" w:pos="79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w:t>
      </w:r>
      <w:r>
        <w:rPr>
          <w:rFonts w:ascii="Times New Roman" w:cs="Times New Roman" w:eastAsia="Times New Roman" w:hAnsi="Times New Roman"/>
          <w:sz w:val="16"/>
          <w:szCs w:val="16"/>
          <w:color w:val="auto"/>
        </w:rPr>
        <w:t>. The Company and its Subsidiaries shall pay when due all material taxes, fees or other similar governmental charges (together with any related interest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penalties) now or hereafter imposed or assessed against the Company and its Subsidiaries or their respective assets or upon their ownership, possession, use, operation or disposition thereof or upon their rents, receipts or earnings arising therefrom. The Company and its Subsidiaries shall file on or before the due date therefor all material personal property tax returns. Notwithstanding the foregoing, the Company and its Subsidiaries may contest, in good faith and by appropriate proceedings, taxes for which they maintain adequate reserves therefor in accordance with GAAP.</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7" w:name="page28"/>
    <w:bookmarkEnd w:id="27"/>
    <w:p>
      <w:pPr>
        <w:jc w:val="both"/>
        <w:ind w:firstLine="590"/>
        <w:spacing w:after="0" w:line="278" w:lineRule="auto"/>
        <w:tabs>
          <w:tab w:leader="none" w:pos="80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Minimum Liquidity</w:t>
      </w:r>
      <w:r>
        <w:rPr>
          <w:rFonts w:ascii="Times New Roman" w:cs="Times New Roman" w:eastAsia="Times New Roman" w:hAnsi="Times New Roman"/>
          <w:sz w:val="16"/>
          <w:szCs w:val="16"/>
          <w:color w:val="auto"/>
        </w:rPr>
        <w:t>. The Company and its Subsidiaries shall have at all times liquidity calculated as unrestricted, unencumbered Cash and Cash Equivalents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one or more deposit accounts located in the United States and subject to a Control Agreement (as defined in the Security Agreements) entered into in favor of the Collateral Agent in a minimum amount equal to ten million dollars ($10,000,000).</w:t>
      </w:r>
    </w:p>
    <w:p>
      <w:pPr>
        <w:spacing w:after="0" w:line="149" w:lineRule="exact"/>
        <w:rPr>
          <w:rFonts w:ascii="Times New Roman" w:cs="Times New Roman" w:eastAsia="Times New Roman" w:hAnsi="Times New Roman"/>
          <w:sz w:val="16"/>
          <w:szCs w:val="16"/>
          <w:color w:val="auto"/>
        </w:rPr>
      </w:pPr>
    </w:p>
    <w:p>
      <w:pPr>
        <w:ind w:left="860" w:hanging="270"/>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Minimum Cash Spend Availability</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jc w:val="both"/>
        <w:ind w:firstLine="1182"/>
        <w:spacing w:after="0" w:line="277" w:lineRule="auto"/>
        <w:tabs>
          <w:tab w:leader="none" w:pos="1391"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Cash Spend Availability as of September 30, 2022 shall be an amount equal to or exceeding twelve million two hundred three thousand five hundred dollars ($12,203,500). The Cash Spend Availability calculated pursuant to this </w:t>
      </w:r>
      <w:r>
        <w:rPr>
          <w:rFonts w:ascii="Times New Roman" w:cs="Times New Roman" w:eastAsia="Times New Roman" w:hAnsi="Times New Roman"/>
          <w:sz w:val="16"/>
          <w:szCs w:val="16"/>
          <w:b w:val="1"/>
          <w:bCs w:val="1"/>
          <w:color w:val="auto"/>
        </w:rPr>
        <w:t>Section 9(K)(i)</w:t>
      </w:r>
      <w:r>
        <w:rPr>
          <w:rFonts w:ascii="Times New Roman" w:cs="Times New Roman" w:eastAsia="Times New Roman" w:hAnsi="Times New Roman"/>
          <w:sz w:val="16"/>
          <w:szCs w:val="16"/>
          <w:color w:val="auto"/>
        </w:rPr>
        <w:t xml:space="preserve"> shall not include Net Proceeds received between the date hereof and September 30, 2022.</w:t>
      </w:r>
    </w:p>
    <w:p>
      <w:pPr>
        <w:spacing w:after="0" w:line="151" w:lineRule="exact"/>
        <w:rPr>
          <w:rFonts w:ascii="Times New Roman" w:cs="Times New Roman" w:eastAsia="Times New Roman" w:hAnsi="Times New Roman"/>
          <w:sz w:val="16"/>
          <w:szCs w:val="16"/>
          <w:color w:val="auto"/>
        </w:rPr>
      </w:pPr>
    </w:p>
    <w:p>
      <w:pPr>
        <w:jc w:val="both"/>
        <w:ind w:firstLine="1182"/>
        <w:spacing w:after="0" w:line="277" w:lineRule="auto"/>
        <w:tabs>
          <w:tab w:leader="none" w:pos="1436"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with the fiscal quarter ending December 31, 2022, the Cash Spend Availability as of the last calendar day of any Fiscal Quarter, the calculation of which shall not include Net Proceeds received during such Fiscal Quarter, shall be an amount equal to or exceeding the Cash Spend Availability as of the last calendar day of the immediately preceding Fiscal Quarter, less eight million dollars ($8,000,000).</w:t>
      </w:r>
    </w:p>
    <w:p>
      <w:pPr>
        <w:spacing w:after="0" w:line="151" w:lineRule="exact"/>
        <w:rPr>
          <w:rFonts w:ascii="Times New Roman" w:cs="Times New Roman" w:eastAsia="Times New Roman" w:hAnsi="Times New Roman"/>
          <w:sz w:val="16"/>
          <w:szCs w:val="16"/>
          <w:color w:val="auto"/>
        </w:rPr>
      </w:pPr>
    </w:p>
    <w:p>
      <w:pPr>
        <w:jc w:val="both"/>
        <w:ind w:firstLine="1182"/>
        <w:spacing w:after="0" w:line="277" w:lineRule="auto"/>
        <w:tabs>
          <w:tab w:leader="none" w:pos="1471"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with the month ending October 31, 2022, the Cash Spend Availability as of the last calendar day of any calendar month (including, for the avoidance of doubt, October 2022), the calculation of which shall not include Net Proceeds received during such calendar month, shall be an amount equal to or exceeding the Cash Spend Availability as of the last calendar day of the immediately preceding calendar month, less four million dollars ($4,000,000).</w:t>
      </w:r>
    </w:p>
    <w:p>
      <w:pPr>
        <w:spacing w:after="0" w:line="151" w:lineRule="exact"/>
        <w:rPr>
          <w:rFonts w:ascii="Times New Roman" w:cs="Times New Roman" w:eastAsia="Times New Roman" w:hAnsi="Times New Roman"/>
          <w:sz w:val="16"/>
          <w:szCs w:val="16"/>
          <w:color w:val="auto"/>
        </w:rPr>
      </w:pPr>
    </w:p>
    <w:p>
      <w:pPr>
        <w:jc w:val="both"/>
        <w:ind w:firstLine="1182"/>
        <w:spacing w:after="0" w:line="270" w:lineRule="auto"/>
        <w:tabs>
          <w:tab w:leader="none" w:pos="147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Commencing with the month ending November 30, 2022, the Cash Spend Availability as of the last calendar day of any two consecutive calendar month period (including, for the avoidance of doubt, the two month period ended November 30, 2022), the calculation of which shall not include Net Proceeds received during such calendar months, shall be an amount equal to or exceeding the Cash Spend Availability as of the last calendar day of the calendar month immediately preceding such period, less eight million dollars ($8,000,000).</w:t>
      </w:r>
    </w:p>
    <w:p>
      <w:pPr>
        <w:spacing w:after="0" w:line="157" w:lineRule="exact"/>
        <w:rPr>
          <w:rFonts w:ascii="Times New Roman" w:cs="Times New Roman" w:eastAsia="Times New Roman" w:hAnsi="Times New Roman"/>
          <w:sz w:val="16"/>
          <w:szCs w:val="16"/>
          <w:color w:val="auto"/>
        </w:rPr>
      </w:pPr>
    </w:p>
    <w:p>
      <w:pPr>
        <w:ind w:left="1420" w:hanging="238"/>
        <w:spacing w:after="0"/>
        <w:tabs>
          <w:tab w:leader="none" w:pos="142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 2022, the Company shall provide to the Holder a certification, executed on behalf of the Company by the Chief Financial Officer of</w:t>
      </w:r>
    </w:p>
    <w:p>
      <w:pPr>
        <w:spacing w:after="0" w:line="3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6"/>
          <w:szCs w:val="16"/>
          <w:color w:val="auto"/>
        </w:rPr>
        <w:t xml:space="preserve">the Company, certifying whether or not the Company has satisfied the requirements of </w:t>
      </w:r>
      <w:r>
        <w:rPr>
          <w:rFonts w:ascii="Times New Roman" w:cs="Times New Roman" w:eastAsia="Times New Roman" w:hAnsi="Times New Roman"/>
          <w:sz w:val="16"/>
          <w:szCs w:val="16"/>
          <w:b w:val="1"/>
          <w:bCs w:val="1"/>
          <w:color w:val="auto"/>
        </w:rPr>
        <w:t>Section 9(K)(i)</w:t>
      </w:r>
      <w:r>
        <w:rPr>
          <w:rFonts w:ascii="Times New Roman" w:cs="Times New Roman" w:eastAsia="Times New Roman" w:hAnsi="Times New Roman"/>
          <w:sz w:val="16"/>
          <w:szCs w:val="16"/>
          <w:color w:val="auto"/>
        </w:rPr>
        <w:t>.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Business Day of each calendar month, the Company shall provide to the Holder a certification, executed on behalf of the Company by the Chief Financial Officer of the Company, certifying whether or not the Company has satisfied the requirements of </w:t>
      </w:r>
      <w:r>
        <w:rPr>
          <w:rFonts w:ascii="Times New Roman" w:cs="Times New Roman" w:eastAsia="Times New Roman" w:hAnsi="Times New Roman"/>
          <w:sz w:val="16"/>
          <w:szCs w:val="16"/>
          <w:b w:val="1"/>
          <w:bCs w:val="1"/>
          <w:color w:val="auto"/>
        </w:rPr>
        <w:t>Section 9(J) Section 9(K)(iii), Section 9(K)(iv)</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during the immediately preceding calendar month. On or</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6"/>
          <w:szCs w:val="16"/>
          <w:color w:val="auto"/>
        </w:rPr>
        <w:t>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Business Day of each Fiscal Quarter, the Company shall provide to the Holder a certification, executed on behalf of the Company by the Chief Financial Officer of the Company, certifying whether or not the Company has satisfied the requirements of </w:t>
      </w:r>
      <w:r>
        <w:rPr>
          <w:rFonts w:ascii="Times New Roman" w:cs="Times New Roman" w:eastAsia="Times New Roman" w:hAnsi="Times New Roman"/>
          <w:sz w:val="16"/>
          <w:szCs w:val="16"/>
          <w:b w:val="1"/>
          <w:bCs w:val="1"/>
          <w:color w:val="auto"/>
        </w:rPr>
        <w:t>Section 9(K)(ii)</w:t>
      </w:r>
      <w:r>
        <w:rPr>
          <w:rFonts w:ascii="Times New Roman" w:cs="Times New Roman" w:eastAsia="Times New Roman" w:hAnsi="Times New Roman"/>
          <w:sz w:val="16"/>
          <w:szCs w:val="16"/>
          <w:color w:val="auto"/>
        </w:rPr>
        <w:t xml:space="preserve"> during the immediately preceding Fiscal Quarter. Each such certification delivered pursuant to this </w:t>
      </w:r>
      <w:r>
        <w:rPr>
          <w:rFonts w:ascii="Times New Roman" w:cs="Times New Roman" w:eastAsia="Times New Roman" w:hAnsi="Times New Roman"/>
          <w:sz w:val="16"/>
          <w:szCs w:val="16"/>
          <w:b w:val="1"/>
          <w:bCs w:val="1"/>
          <w:color w:val="auto"/>
        </w:rPr>
        <w:t>Section 9(K)(v)</w:t>
      </w:r>
      <w:r>
        <w:rPr>
          <w:rFonts w:ascii="Times New Roman" w:cs="Times New Roman" w:eastAsia="Times New Roman" w:hAnsi="Times New Roman"/>
          <w:sz w:val="16"/>
          <w:szCs w:val="16"/>
          <w:color w:val="auto"/>
        </w:rPr>
        <w:t xml:space="preserve"> shall be referred to as a “</w:t>
      </w:r>
      <w:r>
        <w:rPr>
          <w:rFonts w:ascii="Times New Roman" w:cs="Times New Roman" w:eastAsia="Times New Roman" w:hAnsi="Times New Roman"/>
          <w:sz w:val="16"/>
          <w:szCs w:val="16"/>
          <w:b w:val="1"/>
          <w:bCs w:val="1"/>
          <w:color w:val="auto"/>
        </w:rPr>
        <w:t>Compliance Certification</w:t>
      </w:r>
      <w:r>
        <w:rPr>
          <w:rFonts w:ascii="Times New Roman" w:cs="Times New Roman" w:eastAsia="Times New Roman" w:hAnsi="Times New Roman"/>
          <w:sz w:val="16"/>
          <w:szCs w:val="16"/>
          <w:color w:val="auto"/>
        </w:rPr>
        <w:t xml:space="preserve">”. If the Company determines in its sole discretion that any such information constitutes material non-public information, then the Company will so indicate in the certification provided pursuant to this </w:t>
      </w:r>
      <w:r>
        <w:rPr>
          <w:rFonts w:ascii="Times New Roman" w:cs="Times New Roman" w:eastAsia="Times New Roman" w:hAnsi="Times New Roman"/>
          <w:sz w:val="16"/>
          <w:szCs w:val="16"/>
          <w:b w:val="1"/>
          <w:bCs w:val="1"/>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9(K)(v) </w:t>
      </w:r>
      <w:r>
        <w:rPr>
          <w:rFonts w:ascii="Times New Roman" w:cs="Times New Roman" w:eastAsia="Times New Roman" w:hAnsi="Times New Roman"/>
          <w:sz w:val="16"/>
          <w:szCs w:val="16"/>
          <w:color w:val="auto"/>
        </w:rPr>
        <w:t>and the Company will concurrently disclose such material non-public information on a Current Report on Form 8-K or otherwise.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8" w:name="page29"/>
    <w:bookmarkEnd w:id="28"/>
    <w:p>
      <w:pPr>
        <w:ind w:left="840" w:hanging="250"/>
        <w:spacing w:after="0"/>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Qualified Equity Financing</w:t>
      </w:r>
      <w:r>
        <w:rPr>
          <w:rFonts w:ascii="Times New Roman" w:cs="Times New Roman" w:eastAsia="Times New Roman" w:hAnsi="Times New Roman"/>
          <w:sz w:val="16"/>
          <w:szCs w:val="16"/>
          <w:color w:val="auto"/>
        </w:rPr>
        <w:t>. On or before October 31, 2022, the Company shall consummate a Qualified Equity Financing.</w:t>
      </w:r>
    </w:p>
    <w:p>
      <w:pPr>
        <w:spacing w:after="0" w:line="210" w:lineRule="exact"/>
        <w:rPr>
          <w:rFonts w:ascii="Times New Roman" w:cs="Times New Roman" w:eastAsia="Times New Roman" w:hAnsi="Times New Roman"/>
          <w:sz w:val="16"/>
          <w:szCs w:val="16"/>
          <w:color w:val="auto"/>
        </w:rPr>
      </w:pPr>
    </w:p>
    <w:p>
      <w:pPr>
        <w:jc w:val="both"/>
        <w:ind w:firstLine="590"/>
        <w:spacing w:after="0" w:line="271"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Nature of Business</w:t>
      </w:r>
      <w:r>
        <w:rPr>
          <w:rFonts w:ascii="Times New Roman" w:cs="Times New Roman" w:eastAsia="Times New Roman" w:hAnsi="Times New Roman"/>
          <w:sz w:val="16"/>
          <w:szCs w:val="16"/>
          <w:color w:val="auto"/>
        </w:rPr>
        <w:t>. The Company shall not, and the Company shall cause each of its Subsidiaries to not, directly or indirectly, engage in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line of business substantially different from those lines of business conducted by or publicly contemplated to be conducted by the Company and each of its Subsidiaries on the Issue Date; provided</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that the foregoing shall not prevent the Company and its Subsidiaries from engaging in any business that is reasonably related or incidental or ancillary to its or their business.</w:t>
      </w:r>
    </w:p>
    <w:p>
      <w:pPr>
        <w:spacing w:after="0" w:line="154" w:lineRule="exact"/>
        <w:rPr>
          <w:rFonts w:ascii="Times New Roman" w:cs="Times New Roman" w:eastAsia="Times New Roman" w:hAnsi="Times New Roman"/>
          <w:sz w:val="16"/>
          <w:szCs w:val="16"/>
          <w:color w:val="auto"/>
        </w:rPr>
      </w:pPr>
    </w:p>
    <w:p>
      <w:pPr>
        <w:jc w:val="both"/>
        <w:ind w:firstLine="590"/>
        <w:spacing w:after="0" w:line="269" w:lineRule="auto"/>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Properties, Etc</w:t>
      </w:r>
      <w:r>
        <w:rPr>
          <w:rFonts w:ascii="Times New Roman" w:cs="Times New Roman" w:eastAsia="Times New Roman" w:hAnsi="Times New Roman"/>
          <w:sz w:val="16"/>
          <w:szCs w:val="16"/>
          <w:color w:val="auto"/>
        </w:rPr>
        <w:t>. The Company shall maintain and preserve, and the Company shall cause each of its Subsidiaries to maintain and preserve, 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its properties which are necessary or useful (as determined by the Company in good faith) to the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(except where the failure to do so would not, individually or in the aggregate, have a material effect on the Company or any Subsidiary).</w:t>
      </w:r>
    </w:p>
    <w:p>
      <w:pPr>
        <w:spacing w:after="0" w:line="358" w:lineRule="exact"/>
        <w:rPr>
          <w:rFonts w:ascii="Times New Roman" w:cs="Times New Roman" w:eastAsia="Times New Roman" w:hAnsi="Times New Roman"/>
          <w:sz w:val="16"/>
          <w:szCs w:val="16"/>
          <w:color w:val="auto"/>
        </w:rPr>
      </w:pPr>
    </w:p>
    <w:p>
      <w:pPr>
        <w:jc w:val="both"/>
        <w:ind w:firstLine="590"/>
        <w:spacing w:after="0" w:line="278" w:lineRule="auto"/>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Intellectual Property</w:t>
      </w:r>
      <w:r>
        <w:rPr>
          <w:rFonts w:ascii="Times New Roman" w:cs="Times New Roman" w:eastAsia="Times New Roman" w:hAnsi="Times New Roman"/>
          <w:sz w:val="16"/>
          <w:szCs w:val="16"/>
          <w:color w:val="auto"/>
        </w:rPr>
        <w:t>. The Company will take, and the Company shall cause each of its Subsidiaries to take, all actions necessary or advisable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maintain all of the Intellectual Property Rights (as defined in the Securities Exchange Agreement) of the Company or such Subsidiary that are necessary or material (as determined by the Company in good faith) to the conduct of its business in full force and effect.</w:t>
      </w:r>
    </w:p>
    <w:p>
      <w:pPr>
        <w:spacing w:after="0" w:line="149" w:lineRule="exact"/>
        <w:rPr>
          <w:rFonts w:ascii="Times New Roman" w:cs="Times New Roman" w:eastAsia="Times New Roman" w:hAnsi="Times New Roman"/>
          <w:sz w:val="16"/>
          <w:szCs w:val="16"/>
          <w:color w:val="auto"/>
        </w:rPr>
      </w:pPr>
    </w:p>
    <w:p>
      <w:pPr>
        <w:jc w:val="both"/>
        <w:ind w:firstLine="590"/>
        <w:spacing w:after="0" w:line="269" w:lineRule="auto"/>
        <w:tabs>
          <w:tab w:leader="none" w:pos="83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Maintenance of Insurance</w:t>
      </w:r>
      <w:r>
        <w:rPr>
          <w:rFonts w:ascii="Times New Roman" w:cs="Times New Roman" w:eastAsia="Times New Roman" w:hAnsi="Times New Roman"/>
          <w:sz w:val="16"/>
          <w:szCs w:val="16"/>
          <w:color w:val="auto"/>
        </w:rPr>
        <w:t>. The Company shall maintain, and the Company shall cause each of its Subsidiaries to maintain, insurance with responsible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358" w:lineRule="exact"/>
        <w:rPr>
          <w:rFonts w:ascii="Times New Roman" w:cs="Times New Roman" w:eastAsia="Times New Roman" w:hAnsi="Times New Roman"/>
          <w:sz w:val="16"/>
          <w:szCs w:val="16"/>
          <w:color w:val="auto"/>
        </w:rPr>
      </w:pPr>
    </w:p>
    <w:p>
      <w:pPr>
        <w:jc w:val="both"/>
        <w:ind w:firstLine="590"/>
        <w:spacing w:after="0" w:line="265" w:lineRule="auto"/>
        <w:tabs>
          <w:tab w:leader="none" w:pos="87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Transactions with Affiliates</w:t>
      </w:r>
      <w:r>
        <w:rPr>
          <w:rFonts w:ascii="Times New Roman" w:cs="Times New Roman" w:eastAsia="Times New Roman" w:hAnsi="Times New Roman"/>
          <w:sz w:val="16"/>
          <w:szCs w:val="16"/>
          <w:color w:val="auto"/>
        </w:rPr>
        <w:t>. Neither the Company, nor any of its Subsidiaries, shall enter into, renew, extend or be a party to, any transaction or series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related transactions (including, without limitation, the purchase, sale, lease, transfer or exchange of property or assets of any kind or the rendering of services of any kind) with any affiliate (other than the Company or any of its Wholly Owned Subsidiaries), except (i) transactions for fair consideration and on terms no less favorable to it than would be obtainable in a comparable arm’s length transaction with a Person that is not an affiliate thereof, (ii) loans or advances made by the Company or one of its Subsidiaries to its directors, officers and other employees in the ordinary course of business for reasonable travel and entertainment expenses, and relocation costs up to a maximum of one hundred thousand dollars ($100,000) in the aggregate at any one time outstanding, and (iii) distributions permitted by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9" w:name="page30"/>
    <w:bookmarkEnd w:id="29"/>
    <w:p>
      <w:pPr>
        <w:jc w:val="both"/>
        <w:ind w:firstLine="590"/>
        <w:spacing w:after="0" w:line="267" w:lineRule="auto"/>
        <w:tabs>
          <w:tab w:leader="none" w:pos="85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Restricted Issuances. </w:t>
      </w:r>
      <w:r>
        <w:rPr>
          <w:rFonts w:ascii="Times New Roman" w:cs="Times New Roman" w:eastAsia="Times New Roman" w:hAnsi="Times New Roman"/>
          <w:sz w:val="16"/>
          <w:szCs w:val="16"/>
          <w:color w:val="auto"/>
        </w:rPr>
        <w:t>The Company shall not, and shall cause its Subsidiaries not to, directly or indirectly, without the prior written consent of the holders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in aggregate principal amount of the Notes then outstanding, (i) issue any Notes (other than as contemplated by the Securities Purchase Agreement, the Securities Exchange Agreement and the Notes) or (ii) issue any other securities or incur any Indebtedness, in each case, that would cause a breach or Default under the Notes or that by its terms would prohibit or restrict the performance of any of the Company’s or its Subsidiaries’ obligations under the Notes, including without limitation, the payment of interest and principal thereon.</w:t>
      </w:r>
    </w:p>
    <w:p>
      <w:pPr>
        <w:spacing w:after="0" w:line="159" w:lineRule="exact"/>
        <w:rPr>
          <w:rFonts w:ascii="Times New Roman" w:cs="Times New Roman" w:eastAsia="Times New Roman" w:hAnsi="Times New Roman"/>
          <w:sz w:val="16"/>
          <w:szCs w:val="16"/>
          <w:color w:val="auto"/>
        </w:rPr>
      </w:pPr>
    </w:p>
    <w:p>
      <w:pPr>
        <w:jc w:val="both"/>
        <w:ind w:firstLine="590"/>
        <w:spacing w:after="0" w:line="259" w:lineRule="auto"/>
        <w:tabs>
          <w:tab w:leader="none" w:pos="83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Independent Investigation</w:t>
      </w:r>
      <w:r>
        <w:rPr>
          <w:rFonts w:ascii="Times New Roman" w:cs="Times New Roman" w:eastAsia="Times New Roman" w:hAnsi="Times New Roman"/>
          <w:sz w:val="16"/>
          <w:szCs w:val="16"/>
          <w:color w:val="auto"/>
        </w:rPr>
        <w:t>. At the request of the Required Holders (as defined in the Securities Exchange Agreement) at any time the Required Holders have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in good faith that (i) an Event of Default has occurred or (ii) any event or circumstance has occurred and is continuing which, with the giving of notice or passage of time or both, could constitute an Event of Default but the Company has not timely agreed to such determination in writing, the Company shall hire an independent, reputable investment bank selected by the Company and approved by the Required Holders to investigate as to whether such Event of Default or event or circumstance has occurred (the “</w:t>
      </w:r>
      <w:r>
        <w:rPr>
          <w:rFonts w:ascii="Times New Roman" w:cs="Times New Roman" w:eastAsia="Times New Roman" w:hAnsi="Times New Roman"/>
          <w:sz w:val="16"/>
          <w:szCs w:val="16"/>
          <w:b w:val="1"/>
          <w:bCs w:val="1"/>
          <w:color w:val="auto"/>
        </w:rPr>
        <w:t>Independent Investigator</w:t>
      </w:r>
      <w:r>
        <w:rPr>
          <w:rFonts w:ascii="Times New Roman" w:cs="Times New Roman" w:eastAsia="Times New Roman" w:hAnsi="Times New Roman"/>
          <w:sz w:val="16"/>
          <w:szCs w:val="16"/>
          <w:color w:val="auto"/>
        </w:rPr>
        <w:t>”). If the Independent Investigator determines that such Event of Default or event or circumstance has occurred, the Independent Investigator shall notify the Company of such Event of Default or occurrence of such event or circumstance and the Company shall promptly deliver written notice to the Holder of such Event of Default if such Event of Default has occurred. In connection with such investigation, the Independent Investigator may, during normal business hours and upon signing a confidentiality agreement in a form reasonably acceptable to the Company, inspect all contracts, books, records, personnel, offices and other facilities and properties of the Company and its Subsidiaries and, to the extent available to the Company after the Company uses reasonable efforts to obtain them, the records of its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any of the Company’s officers, directors, key employees and independent public accountants (and by this provision the Company authorizes said accountants to discuss with such Independent Investigator the finances and affairs of the Company and any Subsidiaries); provided, that the Company’s chief executive officer and chief financial officer shall be invited to join any such discussion, all at such reasonable times, upon reasonable notice, and as often as may be reasonably requested.</w:t>
      </w:r>
    </w:p>
    <w:p>
      <w:pPr>
        <w:spacing w:after="0" w:line="175" w:lineRule="exact"/>
        <w:rPr>
          <w:rFonts w:ascii="Times New Roman" w:cs="Times New Roman" w:eastAsia="Times New Roman" w:hAnsi="Times New Roman"/>
          <w:sz w:val="16"/>
          <w:szCs w:val="16"/>
          <w:color w:val="auto"/>
        </w:rPr>
      </w:pPr>
    </w:p>
    <w:p>
      <w:pPr>
        <w:jc w:val="both"/>
        <w:ind w:firstLine="590"/>
        <w:spacing w:after="0" w:line="262" w:lineRule="auto"/>
        <w:tabs>
          <w:tab w:leader="none" w:pos="84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 w:cs="Times New Roman" w:eastAsia="Times New Roman" w:hAnsi="Times New Roman"/>
          <w:sz w:val="16"/>
          <w:szCs w:val="16"/>
          <w:b w:val="1"/>
          <w:bCs w:val="1"/>
          <w:color w:val="auto"/>
        </w:rPr>
        <w:t>Section 9(T)</w:t>
      </w:r>
      <w:r>
        <w:rPr>
          <w:rFonts w:ascii="Times New Roman" w:cs="Times New Roman" w:eastAsia="Times New Roman" w:hAnsi="Times New Roman"/>
          <w:sz w:val="16"/>
          <w:szCs w:val="16"/>
          <w:color w:val="auto"/>
        </w:rPr>
        <w:t xml:space="preserve"> shall limit any obligations of the Company, or any rights of the Holder, under the Securities Exchange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0" w:name="page31"/>
    <w:bookmarkEnd w:id="30"/>
    <w:p>
      <w:pPr>
        <w:jc w:val="both"/>
        <w:ind w:firstLine="590"/>
        <w:spacing w:after="0" w:line="262" w:lineRule="auto"/>
        <w:tabs>
          <w:tab w:leader="none" w:pos="85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acknowledges and agrees that the Holder is not a fiduciary or agent of the Company, the Holder will not have any obligations hereunder except those obligations expressly set forth herein (and in the Securities Exchange Agreement)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67" w:lineRule="exact"/>
        <w:rPr>
          <w:rFonts w:ascii="Times New Roman" w:cs="Times New Roman" w:eastAsia="Times New Roman" w:hAnsi="Times New Roman"/>
          <w:sz w:val="16"/>
          <w:szCs w:val="16"/>
          <w:color w:val="auto"/>
        </w:rPr>
      </w:pPr>
    </w:p>
    <w:p>
      <w:pPr>
        <w:jc w:val="both"/>
        <w:ind w:firstLine="590"/>
        <w:spacing w:after="0" w:line="263" w:lineRule="auto"/>
        <w:tabs>
          <w:tab w:leader="none" w:pos="85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cause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on and after the date that is six (6) months following March 23, 2022.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66" w:lineRule="exact"/>
        <w:rPr>
          <w:rFonts w:ascii="Times New Roman" w:cs="Times New Roman" w:eastAsia="Times New Roman" w:hAnsi="Times New Roman"/>
          <w:sz w:val="16"/>
          <w:szCs w:val="16"/>
          <w:color w:val="auto"/>
        </w:rPr>
      </w:pPr>
    </w:p>
    <w:p>
      <w:pPr>
        <w:jc w:val="both"/>
        <w:ind w:firstLine="590"/>
        <w:spacing w:after="0" w:line="270" w:lineRule="auto"/>
        <w:tabs>
          <w:tab w:leader="none" w:pos="89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at all times have a number of authorized and unissued shares of Common Stock no less than a number of shares of Common Stock equal to the sum of (x) 100% of the maximum number of shares of Common Stock as shall be necessary to satisfy the Company’s obligation to issue shares of Common Stock under the warrants then outstanding issued under the Securities Exchange Agreement and the Securities Purchase Agreement, reserved for the purpose of issuance pursuant to such warrants, plus (y) an additional twenty million (20,000,000) unreserved and available shares of Common Stock.</w:t>
      </w:r>
    </w:p>
    <w:p>
      <w:pPr>
        <w:spacing w:after="0" w:line="157" w:lineRule="exact"/>
        <w:rPr>
          <w:rFonts w:ascii="Times New Roman" w:cs="Times New Roman" w:eastAsia="Times New Roman" w:hAnsi="Times New Roman"/>
          <w:sz w:val="16"/>
          <w:szCs w:val="16"/>
          <w:color w:val="auto"/>
        </w:rPr>
      </w:pPr>
    </w:p>
    <w:p>
      <w:pPr>
        <w:jc w:val="both"/>
        <w:ind w:firstLine="590"/>
        <w:spacing w:after="0" w:line="274" w:lineRule="auto"/>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before the date that is thirty (30) days after the Issue Date, the Company shall have delivered to the Holder the results of a recent lien, bankruptcy and judgment search in each relevant jurisdiction with respect to the Company and its Subsidiaries and such search shall reveal no Liens on any of the Collateral (as such term is defined in the Security Agreement Amendments) or other assets of the Company and its Subsidiaries except, in the case of assets other than Collateral, for Permitted Liens.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Section 10. S</w:t>
      </w:r>
      <w:r>
        <w:rPr>
          <w:rFonts w:ascii="Times New Roman" w:cs="Times New Roman" w:eastAsia="Times New Roman" w:hAnsi="Times New Roman"/>
          <w:sz w:val="11"/>
          <w:szCs w:val="11"/>
          <w:b w:val="1"/>
          <w:bCs w:val="1"/>
          <w:color w:val="auto"/>
        </w:rPr>
        <w:t>uccessors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77" w:lineRule="auto"/>
        <w:rPr>
          <w:sz w:val="20"/>
          <w:szCs w:val="20"/>
          <w:color w:val="auto"/>
        </w:rPr>
      </w:pPr>
      <w:r>
        <w:rPr>
          <w:rFonts w:ascii="Times New Roman" w:cs="Times New Roman" w:eastAsia="Times New Roman" w:hAnsi="Times New Roman"/>
          <w:sz w:val="16"/>
          <w:szCs w:val="16"/>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6"/>
          <w:szCs w:val="16"/>
          <w:b w:val="1"/>
          <w:bCs w:val="1"/>
          <w:color w:val="auto"/>
        </w:rPr>
        <w:t>Business Combination Event</w:t>
      </w:r>
      <w:r>
        <w:rPr>
          <w:rFonts w:ascii="Times New Roman" w:cs="Times New Roman" w:eastAsia="Times New Roman" w:hAnsi="Times New Roman"/>
          <w:sz w:val="16"/>
          <w:szCs w:val="16"/>
          <w:color w:val="auto"/>
        </w:rPr>
        <w:t>”), unless:</w:t>
      </w:r>
    </w:p>
    <w:p>
      <w:pPr>
        <w:spacing w:after="0" w:line="148" w:lineRule="exact"/>
        <w:rPr>
          <w:sz w:val="20"/>
          <w:szCs w:val="20"/>
          <w:color w:val="auto"/>
        </w:rPr>
      </w:pPr>
    </w:p>
    <w:p>
      <w:pPr>
        <w:jc w:val="both"/>
        <w:ind w:firstLine="590"/>
        <w:spacing w:after="0" w:line="279" w:lineRule="auto"/>
        <w:tabs>
          <w:tab w:leader="none" w:pos="88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resulting, surviving or transferee Person either (x) is the Company or (y) if not the Company, is a corporation (the “</w:t>
      </w:r>
      <w:r>
        <w:rPr>
          <w:rFonts w:ascii="Times New Roman" w:cs="Times New Roman" w:eastAsia="Times New Roman" w:hAnsi="Times New Roman"/>
          <w:sz w:val="16"/>
          <w:szCs w:val="16"/>
          <w:b w:val="1"/>
          <w:bCs w:val="1"/>
          <w:color w:val="auto"/>
        </w:rPr>
        <w:t>Successor Corporation</w:t>
      </w:r>
      <w:r>
        <w:rPr>
          <w:rFonts w:ascii="Times New Roman" w:cs="Times New Roman" w:eastAsia="Times New Roman" w:hAnsi="Times New Roman"/>
          <w:sz w:val="16"/>
          <w:szCs w:val="16"/>
          <w:color w:val="auto"/>
        </w:rPr>
        <w:t>”) duly organized and existing under the laws of the United States of America, any State thereof or the District of Columbia that expressly assumes (by executing and delivering to the Holder, at or before the effective time of such Business Combination Event, a supplement to this instrument) all of the Company’s obligations under this Note; and</w:t>
      </w:r>
    </w:p>
    <w:p>
      <w:pPr>
        <w:spacing w:after="0" w:line="151" w:lineRule="exact"/>
        <w:rPr>
          <w:rFonts w:ascii="Times New Roman" w:cs="Times New Roman" w:eastAsia="Times New Roman" w:hAnsi="Times New Roman"/>
          <w:sz w:val="16"/>
          <w:szCs w:val="16"/>
          <w:color w:val="auto"/>
        </w:rPr>
      </w:pPr>
    </w:p>
    <w:p>
      <w:pPr>
        <w:ind w:left="860" w:hanging="270"/>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after giving effect to such Business Combination Event, no Default or Event of Default will have occurred and be continuing.</w:t>
      </w:r>
    </w:p>
    <w:p>
      <w:pPr>
        <w:spacing w:after="0" w:line="210" w:lineRule="exact"/>
        <w:rPr>
          <w:sz w:val="20"/>
          <w:szCs w:val="20"/>
          <w:color w:val="auto"/>
        </w:rPr>
      </w:pPr>
    </w:p>
    <w:p>
      <w:pPr>
        <w:jc w:val="both"/>
        <w:ind w:firstLine="591"/>
        <w:spacing w:after="0" w:line="277" w:lineRule="auto"/>
        <w:rPr>
          <w:sz w:val="20"/>
          <w:szCs w:val="20"/>
          <w:color w:val="auto"/>
        </w:rPr>
      </w:pPr>
      <w:r>
        <w:rPr>
          <w:rFonts w:ascii="Times New Roman" w:cs="Times New Roman" w:eastAsia="Times New Roman" w:hAnsi="Times New Roman"/>
          <w:sz w:val="16"/>
          <w:szCs w:val="16"/>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11. D</w:t>
      </w:r>
      <w:r>
        <w:rPr>
          <w:rFonts w:ascii="Times New Roman" w:cs="Times New Roman" w:eastAsia="Times New Roman" w:hAnsi="Times New Roman"/>
          <w:sz w:val="11"/>
          <w:szCs w:val="11"/>
          <w:b w:val="1"/>
          <w:bCs w:val="1"/>
          <w:color w:val="auto"/>
        </w:rPr>
        <w:t>efaults and</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1"/>
          <w:szCs w:val="11"/>
          <w:b w:val="1"/>
          <w:bCs w:val="1"/>
          <w:color w:val="auto"/>
        </w:rPr>
        <w:t>emedies</w:t>
      </w:r>
    </w:p>
    <w:p>
      <w:pPr>
        <w:spacing w:after="0" w:line="210" w:lineRule="exact"/>
        <w:rPr>
          <w:sz w:val="20"/>
          <w:szCs w:val="20"/>
          <w:color w:val="auto"/>
        </w:rPr>
      </w:pPr>
    </w:p>
    <w:p>
      <w:pPr>
        <w:ind w:left="860" w:hanging="270"/>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Event of Default</w:t>
      </w:r>
      <w:r>
        <w:rPr>
          <w:rFonts w:ascii="Times New Roman" w:cs="Times New Roman" w:eastAsia="Times New Roman" w:hAnsi="Times New Roman"/>
          <w:sz w:val="16"/>
          <w:szCs w:val="16"/>
          <w:color w:val="auto"/>
        </w:rPr>
        <w:t>” means the occurrence of any of the following:</w:t>
      </w:r>
    </w:p>
    <w:p>
      <w:pPr>
        <w:spacing w:after="0" w:line="210" w:lineRule="exact"/>
        <w:rPr>
          <w:rFonts w:ascii="Times New Roman" w:cs="Times New Roman" w:eastAsia="Times New Roman" w:hAnsi="Times New Roman"/>
          <w:sz w:val="16"/>
          <w:szCs w:val="16"/>
          <w:color w:val="auto"/>
        </w:rPr>
      </w:pPr>
    </w:p>
    <w:p>
      <w:pPr>
        <w:ind w:firstLine="1182"/>
        <w:spacing w:after="0" w:line="302" w:lineRule="auto"/>
        <w:tabs>
          <w:tab w:leader="none" w:pos="138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the payment when due of the Principal Amount, any Cash Sweep Payment, any amount due under </w:t>
      </w:r>
      <w:r>
        <w:rPr>
          <w:rFonts w:ascii="Times New Roman" w:cs="Times New Roman" w:eastAsia="Times New Roman" w:hAnsi="Times New Roman"/>
          <w:sz w:val="16"/>
          <w:szCs w:val="16"/>
          <w:b w:val="1"/>
          <w:bCs w:val="1"/>
          <w:color w:val="auto"/>
        </w:rPr>
        <w:t>Section 8</w:t>
      </w:r>
      <w:r>
        <w:rPr>
          <w:rFonts w:ascii="Times New Roman" w:cs="Times New Roman" w:eastAsia="Times New Roman" w:hAnsi="Times New Roman"/>
          <w:sz w:val="16"/>
          <w:szCs w:val="16"/>
          <w:color w:val="auto"/>
        </w:rPr>
        <w:t xml:space="preserve"> or the Fundamental Change Repurchase Price under this Note;</w:t>
      </w:r>
    </w:p>
    <w:p>
      <w:pPr>
        <w:spacing w:after="0" w:line="132" w:lineRule="exact"/>
        <w:rPr>
          <w:rFonts w:ascii="Times New Roman" w:cs="Times New Roman" w:eastAsia="Times New Roman" w:hAnsi="Times New Roman"/>
          <w:sz w:val="16"/>
          <w:szCs w:val="16"/>
          <w:color w:val="auto"/>
        </w:rPr>
      </w:pPr>
    </w:p>
    <w:p>
      <w:pPr>
        <w:ind w:left="1420" w:hanging="238"/>
        <w:spacing w:after="0"/>
        <w:tabs>
          <w:tab w:leader="none" w:pos="142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for three (3) Business Days in the payment when due of the interest on this Note;</w:t>
      </w:r>
    </w:p>
    <w:p>
      <w:pPr>
        <w:spacing w:after="0" w:line="206" w:lineRule="exact"/>
        <w:rPr>
          <w:rFonts w:ascii="Times New Roman" w:cs="Times New Roman" w:eastAsia="Times New Roman" w:hAnsi="Times New Roman"/>
          <w:sz w:val="16"/>
          <w:szCs w:val="16"/>
          <w:color w:val="auto"/>
        </w:rPr>
      </w:pPr>
    </w:p>
    <w:p>
      <w:pPr>
        <w:jc w:val="both"/>
        <w:ind w:firstLine="1182"/>
        <w:spacing w:after="0" w:line="279" w:lineRule="auto"/>
        <w:tabs>
          <w:tab w:leader="none" w:pos="1498"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the Company’s obligation to timely deliver a Fundamental Change Notice pursuant to </w:t>
      </w:r>
      <w:r>
        <w:rPr>
          <w:rFonts w:ascii="Times New Roman" w:cs="Times New Roman" w:eastAsia="Times New Roman" w:hAnsi="Times New Roman"/>
          <w:sz w:val="16"/>
          <w:szCs w:val="16"/>
          <w:b w:val="1"/>
          <w:bCs w:val="1"/>
          <w:color w:val="auto"/>
        </w:rPr>
        <w:t>Section 6(C)</w:t>
      </w:r>
      <w:r>
        <w:rPr>
          <w:rFonts w:ascii="Times New Roman" w:cs="Times New Roman" w:eastAsia="Times New Roman" w:hAnsi="Times New Roman"/>
          <w:sz w:val="16"/>
          <w:szCs w:val="16"/>
          <w:color w:val="auto"/>
        </w:rPr>
        <w:t xml:space="preserve">, a Cash Sweep Certification pursuant to </w:t>
      </w:r>
      <w:r>
        <w:rPr>
          <w:rFonts w:ascii="Times New Roman" w:cs="Times New Roman" w:eastAsia="Times New Roman" w:hAnsi="Times New Roman"/>
          <w:sz w:val="16"/>
          <w:szCs w:val="16"/>
          <w:b w:val="1"/>
          <w:bCs w:val="1"/>
          <w:color w:val="auto"/>
        </w:rPr>
        <w:t>Section 4(E)</w:t>
      </w:r>
      <w:r>
        <w:rPr>
          <w:rFonts w:ascii="Times New Roman" w:cs="Times New Roman" w:eastAsia="Times New Roman" w:hAnsi="Times New Roman"/>
          <w:sz w:val="16"/>
          <w:szCs w:val="16"/>
          <w:color w:val="auto"/>
        </w:rPr>
        <w:t xml:space="preserve">, or a Compliance Certification pursuant to </w:t>
      </w:r>
      <w:r>
        <w:rPr>
          <w:rFonts w:ascii="Times New Roman" w:cs="Times New Roman" w:eastAsia="Times New Roman" w:hAnsi="Times New Roman"/>
          <w:sz w:val="16"/>
          <w:szCs w:val="16"/>
          <w:b w:val="1"/>
          <w:bCs w:val="1"/>
          <w:color w:val="auto"/>
        </w:rPr>
        <w:t>Section 9(K)(v)</w:t>
      </w:r>
      <w:r>
        <w:rPr>
          <w:rFonts w:ascii="Times New Roman" w:cs="Times New Roman" w:eastAsia="Times New Roman" w:hAnsi="Times New Roman"/>
          <w:sz w:val="16"/>
          <w:szCs w:val="16"/>
          <w:color w:val="auto"/>
        </w:rPr>
        <w:t>, and such default continues for three (3) Business Days, or the delivery of a materially false or inaccurate Fundamental Change Notice, Cash Sweep Certification, Compliance Certification, or Company Redemption Notice;</w:t>
      </w:r>
    </w:p>
    <w:p>
      <w:pPr>
        <w:spacing w:after="0" w:line="151" w:lineRule="exact"/>
        <w:rPr>
          <w:rFonts w:ascii="Times New Roman" w:cs="Times New Roman" w:eastAsia="Times New Roman" w:hAnsi="Times New Roman"/>
          <w:sz w:val="16"/>
          <w:szCs w:val="16"/>
          <w:color w:val="auto"/>
        </w:rPr>
      </w:pPr>
    </w:p>
    <w:p>
      <w:pPr>
        <w:ind w:left="1460" w:hanging="278"/>
        <w:spacing w:after="0"/>
        <w:tabs>
          <w:tab w:leader="none" w:pos="146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default in the Company’s obligation to deliver when due any Event of Default Acceleration Amount;</w:t>
      </w:r>
    </w:p>
    <w:p>
      <w:pPr>
        <w:spacing w:after="0" w:line="210" w:lineRule="exact"/>
        <w:rPr>
          <w:rFonts w:ascii="Times New Roman" w:cs="Times New Roman" w:eastAsia="Times New Roman" w:hAnsi="Times New Roman"/>
          <w:sz w:val="16"/>
          <w:szCs w:val="16"/>
          <w:color w:val="auto"/>
        </w:rPr>
      </w:pPr>
    </w:p>
    <w:p>
      <w:pPr>
        <w:ind w:left="1440" w:hanging="258"/>
        <w:spacing w:after="0"/>
        <w:tabs>
          <w:tab w:leader="none" w:pos="144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timely deliver an Event of Default Notice or a materially false or inaccurate certification as to whether any Event of Default has</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occurred;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32" w:name="page33"/>
    <w:bookmarkEnd w:id="32"/>
    <w:p>
      <w:pPr>
        <w:jc w:val="both"/>
        <w:ind w:firstLine="1182"/>
        <w:spacing w:after="0" w:line="268" w:lineRule="auto"/>
        <w:tabs>
          <w:tab w:leader="none" w:pos="147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default in any of the Company’s obligations or agreements under this Note or the Transaction Documents (in each case, other than a default set forth in clauses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(v)</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color w:val="auto"/>
        </w:rPr>
        <w:t>(vii)</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(xviii)</w:t>
      </w:r>
      <w:r>
        <w:rPr>
          <w:rFonts w:ascii="Times New Roman" w:cs="Times New Roman" w:eastAsia="Times New Roman" w:hAnsi="Times New Roman"/>
          <w:sz w:val="16"/>
          <w:szCs w:val="16"/>
          <w:color w:val="auto"/>
        </w:rPr>
        <w:t xml:space="preserve"> of this </w:t>
      </w:r>
      <w:r>
        <w:rPr>
          <w:rFonts w:ascii="Times New Roman" w:cs="Times New Roman" w:eastAsia="Times New Roman" w:hAnsi="Times New Roman"/>
          <w:sz w:val="16"/>
          <w:szCs w:val="16"/>
          <w:b w:val="1"/>
          <w:bCs w:val="1"/>
          <w:color w:val="auto"/>
        </w:rPr>
        <w:t>Section 11(A)</w:t>
      </w:r>
      <w:r>
        <w:rPr>
          <w:rFonts w:ascii="Times New Roman" w:cs="Times New Roman" w:eastAsia="Times New Roman" w:hAnsi="Times New Roman"/>
          <w:sz w:val="16"/>
          <w:szCs w:val="16"/>
          <w:color w:val="auto"/>
        </w:rPr>
        <w:t xml:space="preserve">), or a breach of any representation or warranty in any material respect (other than representations or warranties subject to material adverse effect or materiality qualifications, which may not be breached in any respect) of any Transaction Document;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such default can be cured, then such default shall not be an Event of Default unless the Company has failed to cure such default within ten (10) Business Days after its occurrence;</w:t>
      </w:r>
    </w:p>
    <w:p>
      <w:pPr>
        <w:spacing w:after="0" w:line="361" w:lineRule="exact"/>
        <w:rPr>
          <w:rFonts w:ascii="Times New Roman" w:cs="Times New Roman" w:eastAsia="Times New Roman" w:hAnsi="Times New Roman"/>
          <w:sz w:val="16"/>
          <w:szCs w:val="16"/>
          <w:color w:val="auto"/>
        </w:rPr>
      </w:pPr>
    </w:p>
    <w:p>
      <w:pPr>
        <w:jc w:val="both"/>
        <w:ind w:firstLine="1182"/>
        <w:spacing w:after="0" w:line="270" w:lineRule="auto"/>
        <w:tabs>
          <w:tab w:leader="none" w:pos="152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of any Transaction Document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153" w:lineRule="exact"/>
        <w:rPr>
          <w:rFonts w:ascii="Times New Roman" w:cs="Times New Roman" w:eastAsia="Times New Roman" w:hAnsi="Times New Roman"/>
          <w:sz w:val="16"/>
          <w:szCs w:val="16"/>
          <w:color w:val="auto"/>
        </w:rPr>
      </w:pPr>
    </w:p>
    <w:p>
      <w:pPr>
        <w:ind w:firstLine="1182"/>
        <w:spacing w:after="0" w:line="302" w:lineRule="auto"/>
        <w:tabs>
          <w:tab w:leader="none" w:pos="1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fails to comply with any covenant set forth in </w:t>
      </w:r>
      <w:r>
        <w:rPr>
          <w:rFonts w:ascii="Times New Roman" w:cs="Times New Roman" w:eastAsia="Times New Roman" w:hAnsi="Times New Roman"/>
          <w:sz w:val="16"/>
          <w:szCs w:val="16"/>
          <w:b w:val="1"/>
          <w:bCs w:val="1"/>
          <w:color w:val="auto"/>
        </w:rPr>
        <w:t>Section 9(D)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9(J)</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Section 9(K)</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9(L)</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9(R), Section 9(W) or Section 9(X) </w:t>
      </w:r>
      <w:r>
        <w:rPr>
          <w:rFonts w:ascii="Times New Roman" w:cs="Times New Roman" w:eastAsia="Times New Roman" w:hAnsi="Times New Roman"/>
          <w:sz w:val="16"/>
          <w:szCs w:val="16"/>
          <w:color w:val="auto"/>
        </w:rPr>
        <w:t>of this Note;</w:t>
      </w:r>
    </w:p>
    <w:p>
      <w:pPr>
        <w:spacing w:after="0" w:line="132" w:lineRule="exact"/>
        <w:rPr>
          <w:rFonts w:ascii="Times New Roman" w:cs="Times New Roman" w:eastAsia="Times New Roman" w:hAnsi="Times New Roman"/>
          <w:sz w:val="16"/>
          <w:szCs w:val="16"/>
          <w:color w:val="auto"/>
        </w:rPr>
      </w:pPr>
    </w:p>
    <w:p>
      <w:pPr>
        <w:ind w:left="1480" w:hanging="298"/>
        <w:spacing w:after="0"/>
        <w:tabs>
          <w:tab w:leader="none" w:pos="14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suspension from trading or failure of the Common Stock to be trading or listed on an Eligible Exchange for a period of three (3) consecutive</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Days;</w:t>
      </w:r>
    </w:p>
    <w:p>
      <w:pPr>
        <w:spacing w:after="0" w:line="193" w:lineRule="exact"/>
        <w:rPr>
          <w:rFonts w:ascii="Times New Roman" w:cs="Times New Roman" w:eastAsia="Times New Roman" w:hAnsi="Times New Roman"/>
          <w:sz w:val="16"/>
          <w:szCs w:val="16"/>
          <w:color w:val="auto"/>
        </w:rPr>
      </w:pPr>
    </w:p>
    <w:p>
      <w:pPr>
        <w:jc w:val="both"/>
        <w:ind w:firstLine="1182"/>
        <w:spacing w:after="0" w:line="263" w:lineRule="auto"/>
        <w:tabs>
          <w:tab w:leader="none" w:pos="141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the failure of the Company or any of its Subsidiaries to pay when due or within any applicable grace period any Indebtedness having an individual principal amount in excess of at least five hundred thousand dollars ($500,000)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five hundred thousand dollars ($500,000)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five hundred thousand dollars ($500,000) to become or be declared due prior to its stated maturity;</w:t>
      </w:r>
    </w:p>
    <w:p>
      <w:pPr>
        <w:spacing w:after="0" w:line="166" w:lineRule="exact"/>
        <w:rPr>
          <w:rFonts w:ascii="Times New Roman" w:cs="Times New Roman" w:eastAsia="Times New Roman" w:hAnsi="Times New Roman"/>
          <w:sz w:val="16"/>
          <w:szCs w:val="16"/>
          <w:color w:val="auto"/>
        </w:rPr>
      </w:pPr>
    </w:p>
    <w:p>
      <w:pPr>
        <w:jc w:val="both"/>
        <w:ind w:firstLine="1182"/>
        <w:spacing w:after="0" w:line="265" w:lineRule="auto"/>
        <w:tabs>
          <w:tab w:leader="none" w:pos="1468"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or more final judgments, orders or awards (or any settlement of any litigation or other proceeding that, if breached, could result in a judgment, order or award) for the payment of at least five hundred thousand dollars ($500,000)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3" w:name="page34"/>
    <w:bookmarkEnd w:id="33"/>
    <w:p>
      <w:pPr>
        <w:jc w:val="both"/>
        <w:ind w:firstLine="1182"/>
        <w:spacing w:after="0" w:line="270" w:lineRule="auto"/>
        <w:tabs>
          <w:tab w:leader="none" w:pos="150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Company fails to timely file its quarterly reports on Form 10-Q or its annual reports on Form 10-K with the Commission in the manner and within the time periods required by the Exchange Act in a manner that results in the Company failing for any reason to satisfy the requirements of Rule 144(c)(1) under the Securities Act, including, without limitation, the failure to satisfy the current public information requirement under Rule 144(c), or (B) the Company withdraws or restates in any material respect any such quarterly report or annual report previously filed with the Commission;</w:t>
      </w:r>
    </w:p>
    <w:p>
      <w:pPr>
        <w:spacing w:after="0" w:line="157" w:lineRule="exact"/>
        <w:rPr>
          <w:rFonts w:ascii="Times New Roman" w:cs="Times New Roman" w:eastAsia="Times New Roman" w:hAnsi="Times New Roman"/>
          <w:sz w:val="16"/>
          <w:szCs w:val="16"/>
          <w:color w:val="auto"/>
        </w:rPr>
      </w:pPr>
    </w:p>
    <w:p>
      <w:pPr>
        <w:jc w:val="both"/>
        <w:ind w:firstLine="1182"/>
        <w:spacing w:after="0" w:line="270" w:lineRule="auto"/>
        <w:tabs>
          <w:tab w:leader="none" w:pos="155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Security Document shall for any reason fail or cease to create a separate valid and perfected first priority Lien on the Collateral, in each case, in favor of the Collateral Agent in accordance with the terms thereof,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157" w:lineRule="exact"/>
        <w:rPr>
          <w:rFonts w:ascii="Times New Roman" w:cs="Times New Roman" w:eastAsia="Times New Roman" w:hAnsi="Times New Roman"/>
          <w:sz w:val="16"/>
          <w:szCs w:val="16"/>
          <w:color w:val="auto"/>
        </w:rPr>
      </w:pPr>
    </w:p>
    <w:p>
      <w:pPr>
        <w:jc w:val="both"/>
        <w:ind w:firstLine="1182"/>
        <w:spacing w:after="0" w:line="266" w:lineRule="auto"/>
        <w:tabs>
          <w:tab w:leader="none" w:pos="155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material damage to, or loss, theft or destruction of, any Collateral (provided that any damage, loss, theft or destruction of the Collateral that reduces the value of such Collateral by one million dollars ($1,000,000) or more shall be deemed to be material), that is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reasonably be expected to have a Material Adverse Effect (as defined in the Securities Exchange Agreement). For clarity, an Event of Default under this </w:t>
      </w:r>
      <w:r>
        <w:rPr>
          <w:rFonts w:ascii="Times New Roman" w:cs="Times New Roman" w:eastAsia="Times New Roman" w:hAnsi="Times New Roman"/>
          <w:sz w:val="16"/>
          <w:szCs w:val="16"/>
          <w:b w:val="1"/>
          <w:bCs w:val="1"/>
          <w:color w:val="auto"/>
        </w:rPr>
        <w:t>Section 11(A)(xiv)</w:t>
      </w:r>
      <w:r>
        <w:rPr>
          <w:rFonts w:ascii="Times New Roman" w:cs="Times New Roman" w:eastAsia="Times New Roman" w:hAnsi="Times New Roman"/>
          <w:sz w:val="16"/>
          <w:szCs w:val="16"/>
          <w:color w:val="auto"/>
        </w:rPr>
        <w:t xml:space="preserve"> will not require any curtailment of revenue;</w:t>
      </w:r>
    </w:p>
    <w:p>
      <w:pPr>
        <w:spacing w:after="0" w:line="360" w:lineRule="exact"/>
        <w:rPr>
          <w:rFonts w:ascii="Times New Roman" w:cs="Times New Roman" w:eastAsia="Times New Roman" w:hAnsi="Times New Roman"/>
          <w:sz w:val="16"/>
          <w:szCs w:val="16"/>
          <w:color w:val="auto"/>
        </w:rPr>
      </w:pPr>
    </w:p>
    <w:p>
      <w:pPr>
        <w:jc w:val="both"/>
        <w:ind w:firstLine="1182"/>
        <w:spacing w:after="0" w:line="277" w:lineRule="auto"/>
        <w:tabs>
          <w:tab w:leader="none" w:pos="152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fails to remove any restrictive legend on any certificate or any shares of Common Stock issued to the Holder pursuant to any Securities (as defined in the Securities Exchange Agreement) acquired by the Holder under the Securities Exchange Agreement as and when required by such Securities or the Securities Exchange Agreement, unless otherwise then prohibited by applicable federal securities laws and such failure continues for more than five (5) Trading Days;</w:t>
      </w:r>
    </w:p>
    <w:p>
      <w:pPr>
        <w:spacing w:after="0" w:line="151" w:lineRule="exact"/>
        <w:rPr>
          <w:rFonts w:ascii="Times New Roman" w:cs="Times New Roman" w:eastAsia="Times New Roman" w:hAnsi="Times New Roman"/>
          <w:sz w:val="16"/>
          <w:szCs w:val="16"/>
          <w:color w:val="auto"/>
        </w:rPr>
      </w:pPr>
    </w:p>
    <w:p>
      <w:pPr>
        <w:ind w:left="1540" w:hanging="358"/>
        <w:spacing w:after="0"/>
        <w:tabs>
          <w:tab w:leader="none" w:pos="15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or any of its Significant Subsidiaries, pursuant to or within the meaning of any Bankruptcy Law, either:</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commences a voluntary case or proceeding;</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entry of an order for relief against it in an involuntary case or proceeding;</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consents to the appointment of a custodian of it or for any substantial part of its property;</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a general assignment for the benefit of its creditors;</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takes any comparable action under any foreign Bankruptcy Law; or</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is not paying its debts as they become due;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4" w:name="page35"/>
    <w:bookmarkEnd w:id="34"/>
    <w:p>
      <w:pPr>
        <w:ind w:left="1580" w:hanging="398"/>
        <w:spacing w:after="0"/>
        <w:tabs>
          <w:tab w:leader="none" w:pos="1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court of competent jurisdiction enters an order or decree under any Bankruptcy Law that either:</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for relief against Company or any of its Significant Subsidiaries in an involuntary case or proceeding;</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appoints a custodian of the Company or any of its Significant Subsidiaries, or for any substantial part of the property of the Company or any</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its Significant Subsidiaries;</w:t>
      </w:r>
    </w:p>
    <w:p>
      <w:pPr>
        <w:spacing w:after="0" w:line="193"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orders the winding up or liquidation of the Company or any of its Significant Subsidiaries; or</w:t>
      </w:r>
    </w:p>
    <w:p>
      <w:pPr>
        <w:spacing w:after="0" w:line="210"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grants any similar relief with respect to the Company or any of its Significant Subsidiaries under any foreign Bankruptcy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and, in each case under this </w:t>
      </w:r>
      <w:r>
        <w:rPr>
          <w:rFonts w:ascii="Times New Roman" w:cs="Times New Roman" w:eastAsia="Times New Roman" w:hAnsi="Times New Roman"/>
          <w:sz w:val="16"/>
          <w:szCs w:val="16"/>
          <w:b w:val="1"/>
          <w:bCs w:val="1"/>
          <w:color w:val="auto"/>
        </w:rPr>
        <w:t>Section 11(A)(xvii)</w:t>
      </w:r>
      <w:r>
        <w:rPr>
          <w:rFonts w:ascii="Times New Roman" w:cs="Times New Roman" w:eastAsia="Times New Roman" w:hAnsi="Times New Roman"/>
          <w:sz w:val="16"/>
          <w:szCs w:val="16"/>
          <w:color w:val="auto"/>
        </w:rPr>
        <w:t>, such order or decree remains unstayed and in effect for at least thirty (30) days.</w:t>
      </w:r>
    </w:p>
    <w:p>
      <w:pPr>
        <w:spacing w:after="0" w:line="214" w:lineRule="exact"/>
        <w:rPr>
          <w:sz w:val="20"/>
          <w:szCs w:val="20"/>
          <w:color w:val="auto"/>
        </w:rPr>
      </w:pPr>
    </w:p>
    <w:p>
      <w:pPr>
        <w:ind w:left="1640" w:hanging="458"/>
        <w:spacing w:after="0"/>
        <w:tabs>
          <w:tab w:leader="none" w:pos="16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stockholders approve any plan for the liquidation or dissolution of the Company:</w:t>
      </w:r>
    </w:p>
    <w:p>
      <w:pPr>
        <w:spacing w:after="0" w:line="208" w:lineRule="exact"/>
        <w:rPr>
          <w:rFonts w:ascii="Times New Roman" w:cs="Times New Roman" w:eastAsia="Times New Roman" w:hAnsi="Times New Roman"/>
          <w:sz w:val="16"/>
          <w:szCs w:val="16"/>
          <w:color w:val="auto"/>
        </w:rPr>
      </w:pPr>
    </w:p>
    <w:p>
      <w:pPr>
        <w:ind w:left="860" w:hanging="270"/>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Acceleration.</w:t>
      </w:r>
    </w:p>
    <w:p>
      <w:pPr>
        <w:spacing w:after="0" w:line="208" w:lineRule="exact"/>
        <w:rPr>
          <w:rFonts w:ascii="Times New Roman" w:cs="Times New Roman" w:eastAsia="Times New Roman" w:hAnsi="Times New Roman"/>
          <w:sz w:val="16"/>
          <w:szCs w:val="16"/>
          <w:color w:val="auto"/>
        </w:rPr>
      </w:pPr>
    </w:p>
    <w:p>
      <w:pPr>
        <w:jc w:val="both"/>
        <w:ind w:firstLine="1182"/>
        <w:spacing w:after="0" w:line="279" w:lineRule="auto"/>
        <w:tabs>
          <w:tab w:leader="none" w:pos="1379"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Automatic Acceleration in Certain Circumstances</w:t>
      </w:r>
      <w:r>
        <w:rPr>
          <w:rFonts w:ascii="Times New Roman" w:cs="Times New Roman" w:eastAsia="Times New Roman" w:hAnsi="Times New Roman"/>
          <w:sz w:val="16"/>
          <w:szCs w:val="16"/>
          <w:color w:val="auto"/>
        </w:rPr>
        <w:t>. If an Event of Default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occurs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47" w:lineRule="exact"/>
        <w:rPr>
          <w:rFonts w:ascii="Times New Roman" w:cs="Times New Roman" w:eastAsia="Times New Roman" w:hAnsi="Times New Roman"/>
          <w:sz w:val="16"/>
          <w:szCs w:val="16"/>
          <w:color w:val="auto"/>
        </w:rPr>
      </w:pPr>
    </w:p>
    <w:p>
      <w:pPr>
        <w:jc w:val="both"/>
        <w:ind w:firstLine="1182"/>
        <w:spacing w:after="0" w:line="279" w:lineRule="auto"/>
        <w:tabs>
          <w:tab w:leader="none" w:pos="1425"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Optional Acceleration</w:t>
      </w:r>
      <w:r>
        <w:rPr>
          <w:rFonts w:ascii="Times New Roman" w:cs="Times New Roman" w:eastAsia="Times New Roman" w:hAnsi="Times New Roman"/>
          <w:sz w:val="16"/>
          <w:szCs w:val="16"/>
          <w:color w:val="auto"/>
        </w:rPr>
        <w:t>. If an Event of Default (other than an Event of Default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b w:val="1"/>
          <w:bCs w:val="1"/>
          <w:color w:val="auto"/>
        </w:rPr>
        <w:t>Section 11(A)(xvii)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and not solely with respect to a Subsidiary of the Company) occurs and has not been waived by the Holder, then the Holder, by notice to the Company, may declare this Note (or any portion thereof) to become due and payable immediately for cash in an amount equal to the Event of Default Acceleration Amount.</w:t>
      </w:r>
    </w:p>
    <w:p>
      <w:pPr>
        <w:spacing w:after="0" w:line="149" w:lineRule="exact"/>
        <w:rPr>
          <w:rFonts w:ascii="Times New Roman" w:cs="Times New Roman" w:eastAsia="Times New Roman" w:hAnsi="Times New Roman"/>
          <w:sz w:val="16"/>
          <w:szCs w:val="16"/>
          <w:color w:val="auto"/>
        </w:rPr>
      </w:pPr>
    </w:p>
    <w:p>
      <w:pPr>
        <w:jc w:val="both"/>
        <w:ind w:firstLine="590"/>
        <w:spacing w:after="0" w:line="271" w:lineRule="auto"/>
        <w:tabs>
          <w:tab w:leader="none" w:pos="85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Notice of Events of Default</w:t>
      </w:r>
      <w:r>
        <w:rPr>
          <w:rFonts w:ascii="Times New Roman" w:cs="Times New Roman" w:eastAsia="Times New Roman" w:hAnsi="Times New Roman"/>
          <w:sz w:val="16"/>
          <w:szCs w:val="16"/>
          <w:color w:val="auto"/>
        </w:rPr>
        <w:t>. Promptly, but in no event later than two (2) Business Days after an Event of Default, the Company will provide written notice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Event of Default to the Holder (an “</w:t>
      </w:r>
      <w:r>
        <w:rPr>
          <w:rFonts w:ascii="Times New Roman" w:cs="Times New Roman" w:eastAsia="Times New Roman" w:hAnsi="Times New Roman"/>
          <w:sz w:val="16"/>
          <w:szCs w:val="16"/>
          <w:b w:val="1"/>
          <w:bCs w:val="1"/>
          <w:color w:val="auto"/>
        </w:rPr>
        <w:t>Event of Default Notice</w:t>
      </w:r>
      <w:r>
        <w:rPr>
          <w:rFonts w:ascii="Times New Roman" w:cs="Times New Roman" w:eastAsia="Times New Roman" w:hAnsi="Times New Roman"/>
          <w:sz w:val="16"/>
          <w:szCs w:val="16"/>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Section 12. R</w:t>
      </w:r>
      <w:r>
        <w:rPr>
          <w:rFonts w:ascii="Times New Roman" w:cs="Times New Roman" w:eastAsia="Times New Roman" w:hAnsi="Times New Roman"/>
          <w:sz w:val="11"/>
          <w:szCs w:val="11"/>
          <w:b w:val="1"/>
          <w:bCs w:val="1"/>
          <w:color w:val="auto"/>
        </w:rPr>
        <w:t>anking</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77" w:lineRule="auto"/>
        <w:rPr>
          <w:sz w:val="20"/>
          <w:szCs w:val="20"/>
          <w:color w:val="auto"/>
        </w:rPr>
      </w:pPr>
      <w:r>
        <w:rPr>
          <w:rFonts w:ascii="Times New Roman" w:cs="Times New Roman" w:eastAsia="Times New Roman" w:hAnsi="Times New Roman"/>
          <w:sz w:val="16"/>
          <w:szCs w:val="16"/>
          <w:color w:val="auto"/>
        </w:rPr>
        <w:t>All payments due under this Note shall rank (i) pari passu with all Other Notes,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13. R</w:t>
      </w:r>
      <w:r>
        <w:rPr>
          <w:rFonts w:ascii="Times New Roman" w:cs="Times New Roman" w:eastAsia="Times New Roman" w:hAnsi="Times New Roman"/>
          <w:sz w:val="11"/>
          <w:szCs w:val="11"/>
          <w:b w:val="1"/>
          <w:bCs w:val="1"/>
          <w:color w:val="auto"/>
        </w:rPr>
        <w:t>eplacement</w:t>
      </w:r>
      <w:r>
        <w:rPr>
          <w:rFonts w:ascii="Times New Roman" w:cs="Times New Roman" w:eastAsia="Times New Roman" w:hAnsi="Times New Roman"/>
          <w:sz w:val="16"/>
          <w:szCs w:val="16"/>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70" w:lineRule="auto"/>
        <w:rPr>
          <w:sz w:val="20"/>
          <w:szCs w:val="20"/>
          <w:color w:val="auto"/>
        </w:rPr>
      </w:pPr>
      <w:r>
        <w:rPr>
          <w:rFonts w:ascii="Times New Roman" w:cs="Times New Roman" w:eastAsia="Times New Roman" w:hAnsi="Times New Roman"/>
          <w:sz w:val="16"/>
          <w:szCs w:val="16"/>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14. N</w:t>
      </w:r>
      <w:r>
        <w:rPr>
          <w:rFonts w:ascii="Times New Roman" w:cs="Times New Roman" w:eastAsia="Times New Roman" w:hAnsi="Times New Roman"/>
          <w:sz w:val="11"/>
          <w:szCs w:val="11"/>
          <w:b w:val="1"/>
          <w:bCs w:val="1"/>
          <w:color w:val="auto"/>
        </w:rPr>
        <w:t>otices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77" w:lineRule="auto"/>
        <w:rPr>
          <w:sz w:val="20"/>
          <w:szCs w:val="20"/>
          <w:color w:val="auto"/>
        </w:rPr>
      </w:pPr>
      <w:r>
        <w:rPr>
          <w:rFonts w:ascii="Times New Roman" w:cs="Times New Roman" w:eastAsia="Times New Roman" w:hAnsi="Times New Roman"/>
          <w:sz w:val="16"/>
          <w:szCs w:val="16"/>
          <w:color w:val="auto"/>
        </w:rPr>
        <w:t>Any notice or communication to the Company will be deemed to have been duly given if in writing and delivered in person or by first class mail (registered or certified, return receipt requested), electronic transmission (including e-mail) or other similar means of unsecured electronic communication or overnight air courier guaranteeing next day delivery, or to the other’s address, which initially is as follows:</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76 Treble Cove Rd., Building 3</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Billerica, MA 01862</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Joshua Savitz, Esq., Associate General Counsel</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address: josh.savitz@agrify.com</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125 High Street</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Boston, MA 02110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617-345-3684</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Frank A. Segall, Esq.</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FSegall@burnslev.com</w:t>
      </w:r>
    </w:p>
    <w:p>
      <w:pPr>
        <w:spacing w:after="0" w:line="19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 by notice to the Holder, may designate additional or different addresses for subsequent notices or communications.</w:t>
      </w:r>
    </w:p>
    <w:p>
      <w:pPr>
        <w:spacing w:after="0" w:line="210" w:lineRule="exact"/>
        <w:rPr>
          <w:sz w:val="20"/>
          <w:szCs w:val="20"/>
          <w:color w:val="auto"/>
        </w:rPr>
      </w:pPr>
    </w:p>
    <w:p>
      <w:pPr>
        <w:ind w:firstLine="591"/>
        <w:spacing w:after="0" w:line="296" w:lineRule="auto"/>
        <w:rPr>
          <w:sz w:val="20"/>
          <w:szCs w:val="20"/>
          <w:color w:val="auto"/>
        </w:rPr>
      </w:pPr>
      <w:r>
        <w:rPr>
          <w:rFonts w:ascii="Times New Roman" w:cs="Times New Roman" w:eastAsia="Times New Roman" w:hAnsi="Times New Roman"/>
          <w:sz w:val="16"/>
          <w:szCs w:val="16"/>
          <w:color w:val="auto"/>
        </w:rPr>
        <w:t>Any notice or communication to the Holder will be by email to its email address, which initially are as set forth in the Securities Exchange Agreement. The Holder, by notice to the Company, may designate additional or different addresses for subsequent notices or communications.</w:t>
      </w:r>
    </w:p>
    <w:p>
      <w:pPr>
        <w:spacing w:after="0" w:line="138" w:lineRule="exact"/>
        <w:rPr>
          <w:sz w:val="20"/>
          <w:szCs w:val="20"/>
          <w:color w:val="auto"/>
        </w:rPr>
      </w:pPr>
    </w:p>
    <w:p>
      <w:pPr>
        <w:ind w:firstLine="591"/>
        <w:spacing w:after="0" w:line="296" w:lineRule="auto"/>
        <w:rPr>
          <w:sz w:val="20"/>
          <w:szCs w:val="20"/>
          <w:color w:val="auto"/>
        </w:rPr>
      </w:pPr>
      <w:r>
        <w:rPr>
          <w:rFonts w:ascii="Times New Roman" w:cs="Times New Roman" w:eastAsia="Times New Roman" w:hAnsi="Times New Roman"/>
          <w:sz w:val="16"/>
          <w:szCs w:val="16"/>
          <w:color w:val="auto"/>
        </w:rPr>
        <w:t>If a notice or communication is mailed in the manner provided above within the time prescribed, it will be deemed to have been duly given, whether or not the addressee receives it.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Section 15. S</w:t>
      </w:r>
      <w:r>
        <w:rPr>
          <w:rFonts w:ascii="Times New Roman" w:cs="Times New Roman" w:eastAsia="Times New Roman" w:hAnsi="Times New Roman"/>
          <w:sz w:val="11"/>
          <w:szCs w:val="11"/>
          <w:b w:val="1"/>
          <w:bCs w:val="1"/>
          <w:color w:val="auto"/>
        </w:rPr>
        <w:t>uccessors and</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1"/>
          <w:szCs w:val="11"/>
          <w:b w:val="1"/>
          <w:bCs w:val="1"/>
          <w:color w:val="auto"/>
        </w:rPr>
        <w:t>ssigns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All agreements of the Company in this Note will bind its successors and will inure to the benefit of the Holder’s successors and assigns.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16. S</w:t>
      </w:r>
      <w:r>
        <w:rPr>
          <w:rFonts w:ascii="Times New Roman" w:cs="Times New Roman" w:eastAsia="Times New Roman" w:hAnsi="Times New Roman"/>
          <w:sz w:val="11"/>
          <w:szCs w:val="11"/>
          <w:b w:val="1"/>
          <w:bCs w:val="1"/>
          <w:color w:val="auto"/>
        </w:rPr>
        <w:t>everability</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96" w:lineRule="auto"/>
        <w:rPr>
          <w:sz w:val="20"/>
          <w:szCs w:val="20"/>
          <w:color w:val="auto"/>
        </w:rPr>
      </w:pPr>
      <w:r>
        <w:rPr>
          <w:rFonts w:ascii="Times New Roman" w:cs="Times New Roman" w:eastAsia="Times New Roman" w:hAnsi="Times New Roman"/>
          <w:sz w:val="16"/>
          <w:szCs w:val="16"/>
          <w:color w:val="auto"/>
        </w:rPr>
        <w:t>If any provision of this Note is invalid, illegal or unenforceable, then the validity, legality and enforceability of the remaining provisions of this Note will not in any way be affected or impaired thereby.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17. H</w:t>
      </w:r>
      <w:r>
        <w:rPr>
          <w:rFonts w:ascii="Times New Roman" w:cs="Times New Roman" w:eastAsia="Times New Roman" w:hAnsi="Times New Roman"/>
          <w:sz w:val="11"/>
          <w:szCs w:val="11"/>
          <w:b w:val="1"/>
          <w:bCs w:val="1"/>
          <w:color w:val="auto"/>
        </w:rPr>
        <w:t>eadings</w:t>
      </w:r>
      <w:r>
        <w:rPr>
          <w:rFonts w:ascii="Times New Roman" w:cs="Times New Roman" w:eastAsia="Times New Roman" w:hAnsi="Times New Roman"/>
          <w:sz w:val="16"/>
          <w:szCs w:val="16"/>
          <w:b w:val="1"/>
          <w:bCs w:val="1"/>
          <w:color w:val="auto"/>
        </w:rPr>
        <w:t>, E</w:t>
      </w:r>
      <w:r>
        <w:rPr>
          <w:rFonts w:ascii="Times New Roman" w:cs="Times New Roman" w:eastAsia="Times New Roman" w:hAnsi="Times New Roman"/>
          <w:sz w:val="11"/>
          <w:szCs w:val="11"/>
          <w:b w:val="1"/>
          <w:bCs w:val="1"/>
          <w:color w:val="auto"/>
        </w:rPr>
        <w:t>tc</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96" w:lineRule="auto"/>
        <w:rPr>
          <w:sz w:val="20"/>
          <w:szCs w:val="20"/>
          <w:color w:val="auto"/>
        </w:rPr>
      </w:pPr>
      <w:r>
        <w:rPr>
          <w:rFonts w:ascii="Times New Roman" w:cs="Times New Roman" w:eastAsia="Times New Roman" w:hAnsi="Times New Roman"/>
          <w:sz w:val="16"/>
          <w:szCs w:val="16"/>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18. A</w:t>
      </w:r>
      <w:r>
        <w:rPr>
          <w:rFonts w:ascii="Times New Roman" w:cs="Times New Roman" w:eastAsia="Times New Roman" w:hAnsi="Times New Roman"/>
          <w:sz w:val="11"/>
          <w:szCs w:val="11"/>
          <w:b w:val="1"/>
          <w:bCs w:val="1"/>
          <w:color w:val="auto"/>
        </w:rPr>
        <w:t>mendments</w:t>
      </w:r>
    </w:p>
    <w:p>
      <w:pPr>
        <w:spacing w:after="0" w:line="214" w:lineRule="exact"/>
        <w:rPr>
          <w:sz w:val="20"/>
          <w:szCs w:val="20"/>
          <w:color w:val="auto"/>
        </w:rPr>
      </w:pPr>
    </w:p>
    <w:p>
      <w:pPr>
        <w:jc w:val="both"/>
        <w:ind w:firstLine="591"/>
        <w:spacing w:after="0" w:line="296" w:lineRule="auto"/>
        <w:rPr>
          <w:sz w:val="20"/>
          <w:szCs w:val="20"/>
          <w:color w:val="auto"/>
        </w:rPr>
      </w:pPr>
      <w:r>
        <w:rPr>
          <w:rFonts w:ascii="Times New Roman" w:cs="Times New Roman" w:eastAsia="Times New Roman" w:hAnsi="Times New Roman"/>
          <w:sz w:val="16"/>
          <w:szCs w:val="16"/>
          <w:color w:val="auto"/>
        </w:rPr>
        <w:t>This Note may not be amended or modified unless in writing by the Company and the Required Holders (as defined in the Securities Exchange Agreement), and no condition herein (express or implied) may be waived unless waived in writing by each party whom the condition is meant to benefit.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19. G</w:t>
      </w:r>
      <w:r>
        <w:rPr>
          <w:rFonts w:ascii="Times New Roman" w:cs="Times New Roman" w:eastAsia="Times New Roman" w:hAnsi="Times New Roman"/>
          <w:sz w:val="11"/>
          <w:szCs w:val="11"/>
          <w:b w:val="1"/>
          <w:bCs w:val="1"/>
          <w:color w:val="auto"/>
        </w:rPr>
        <w:t>overning</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1"/>
          <w:szCs w:val="11"/>
          <w:b w:val="1"/>
          <w:bCs w:val="1"/>
          <w:color w:val="auto"/>
        </w:rPr>
        <w:t>aw</w:t>
      </w:r>
      <w:r>
        <w:rPr>
          <w:rFonts w:ascii="Times New Roman" w:cs="Times New Roman" w:eastAsia="Times New Roman" w:hAnsi="Times New Roman"/>
          <w:sz w:val="16"/>
          <w:szCs w:val="16"/>
          <w:b w:val="1"/>
          <w:bCs w:val="1"/>
          <w:color w:val="auto"/>
        </w:rPr>
        <w:t>; W</w:t>
      </w:r>
      <w:r>
        <w:rPr>
          <w:rFonts w:ascii="Times New Roman" w:cs="Times New Roman" w:eastAsia="Times New Roman" w:hAnsi="Times New Roman"/>
          <w:sz w:val="11"/>
          <w:szCs w:val="11"/>
          <w:b w:val="1"/>
          <w:bCs w:val="1"/>
          <w:color w:val="auto"/>
        </w:rPr>
        <w:t>aiver of</w:t>
      </w:r>
      <w:r>
        <w:rPr>
          <w:rFonts w:ascii="Times New Roman" w:cs="Times New Roman" w:eastAsia="Times New Roman" w:hAnsi="Times New Roman"/>
          <w:sz w:val="16"/>
          <w:szCs w:val="16"/>
          <w:b w:val="1"/>
          <w:bCs w:val="1"/>
          <w:color w:val="auto"/>
        </w:rPr>
        <w:t xml:space="preserve"> J</w:t>
      </w:r>
      <w:r>
        <w:rPr>
          <w:rFonts w:ascii="Times New Roman" w:cs="Times New Roman" w:eastAsia="Times New Roman" w:hAnsi="Times New Roman"/>
          <w:sz w:val="11"/>
          <w:szCs w:val="11"/>
          <w:b w:val="1"/>
          <w:bCs w:val="1"/>
          <w:color w:val="auto"/>
        </w:rPr>
        <w:t>ury</w:t>
      </w:r>
      <w:r>
        <w:rPr>
          <w:rFonts w:ascii="Times New Roman" w:cs="Times New Roman" w:eastAsia="Times New Roman" w:hAnsi="Times New Roman"/>
          <w:sz w:val="16"/>
          <w:szCs w:val="16"/>
          <w:b w:val="1"/>
          <w:bCs w:val="1"/>
          <w:color w:val="auto"/>
        </w:rPr>
        <w:t xml:space="preserve"> T</w:t>
      </w:r>
      <w:r>
        <w:rPr>
          <w:rFonts w:ascii="Times New Roman" w:cs="Times New Roman" w:eastAsia="Times New Roman" w:hAnsi="Times New Roman"/>
          <w:sz w:val="11"/>
          <w:szCs w:val="11"/>
          <w:b w:val="1"/>
          <w:bCs w:val="1"/>
          <w:color w:val="auto"/>
        </w:rPr>
        <w:t>rial</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60" w:lineRule="auto"/>
        <w:rPr>
          <w:sz w:val="20"/>
          <w:szCs w:val="20"/>
          <w:color w:val="auto"/>
        </w:rPr>
      </w:pPr>
      <w:r>
        <w:rPr>
          <w:rFonts w:ascii="Times New Roman" w:cs="Times New Roman" w:eastAsia="Times New Roman" w:hAnsi="Times New Roman"/>
          <w:sz w:val="16"/>
          <w:szCs w:val="16"/>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UNDER ANY OTHER TRANSACTION DOCUMENT OR IN CONNECTION WITH OR ARISING OUT OF THIS NOTE OR ANY OTHER TRANSACTION DOCUMENT OR ANY TRANSACTION CONTEMPLATED HEREBY OR THEREBY.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Section 20. S</w:t>
      </w:r>
      <w:r>
        <w:rPr>
          <w:rFonts w:ascii="Times New Roman" w:cs="Times New Roman" w:eastAsia="Times New Roman" w:hAnsi="Times New Roman"/>
          <w:sz w:val="11"/>
          <w:szCs w:val="11"/>
          <w:b w:val="1"/>
          <w:bCs w:val="1"/>
          <w:color w:val="auto"/>
        </w:rPr>
        <w:t>ubmission to</w:t>
      </w:r>
      <w:r>
        <w:rPr>
          <w:rFonts w:ascii="Times New Roman" w:cs="Times New Roman" w:eastAsia="Times New Roman" w:hAnsi="Times New Roman"/>
          <w:sz w:val="16"/>
          <w:szCs w:val="16"/>
          <w:b w:val="1"/>
          <w:bCs w:val="1"/>
          <w:color w:val="auto"/>
        </w:rPr>
        <w:t xml:space="preserve"> J</w:t>
      </w:r>
      <w:r>
        <w:rPr>
          <w:rFonts w:ascii="Times New Roman" w:cs="Times New Roman" w:eastAsia="Times New Roman" w:hAnsi="Times New Roman"/>
          <w:sz w:val="11"/>
          <w:szCs w:val="11"/>
          <w:b w:val="1"/>
          <w:bCs w:val="1"/>
          <w:color w:val="auto"/>
        </w:rPr>
        <w:t>urisdiction</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70" w:lineRule="auto"/>
        <w:rPr>
          <w:sz w:val="20"/>
          <w:szCs w:val="20"/>
          <w:color w:val="auto"/>
        </w:rPr>
      </w:pPr>
      <w:r>
        <w:rPr>
          <w:rFonts w:ascii="Times New Roman" w:cs="Times New Roman" w:eastAsia="Times New Roman" w:hAnsi="Times New Roman"/>
          <w:sz w:val="16"/>
          <w:szCs w:val="16"/>
          <w:color w:val="auto"/>
        </w:rPr>
        <w:t>The Company and each Holder (A) agree that any suit, action or proceeding against it arising out of or relating to this Note shall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nonexclusive jurisdiction of such court in any such suit, action or proceeding.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21. E</w:t>
      </w:r>
      <w:r>
        <w:rPr>
          <w:rFonts w:ascii="Times New Roman" w:cs="Times New Roman" w:eastAsia="Times New Roman" w:hAnsi="Times New Roman"/>
          <w:sz w:val="11"/>
          <w:szCs w:val="11"/>
          <w:b w:val="1"/>
          <w:bCs w:val="1"/>
          <w:color w:val="auto"/>
        </w:rPr>
        <w:t>nforcement</w:t>
      </w:r>
      <w:r>
        <w:rPr>
          <w:rFonts w:ascii="Times New Roman" w:cs="Times New Roman" w:eastAsia="Times New Roman" w:hAnsi="Times New Roman"/>
          <w:sz w:val="16"/>
          <w:szCs w:val="16"/>
          <w:b w:val="1"/>
          <w:bCs w:val="1"/>
          <w:color w:val="auto"/>
        </w:rPr>
        <w:t xml:space="preserve"> F</w:t>
      </w:r>
      <w:r>
        <w:rPr>
          <w:rFonts w:ascii="Times New Roman" w:cs="Times New Roman" w:eastAsia="Times New Roman" w:hAnsi="Times New Roman"/>
          <w:sz w:val="11"/>
          <w:szCs w:val="11"/>
          <w:b w:val="1"/>
          <w:bCs w:val="1"/>
          <w:color w:val="auto"/>
        </w:rPr>
        <w:t>ees</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96" w:lineRule="auto"/>
        <w:rPr>
          <w:sz w:val="20"/>
          <w:szCs w:val="20"/>
          <w:color w:val="auto"/>
        </w:rPr>
      </w:pPr>
      <w:r>
        <w:rPr>
          <w:rFonts w:ascii="Times New Roman" w:cs="Times New Roman" w:eastAsia="Times New Roman" w:hAnsi="Times New Roman"/>
          <w:sz w:val="16"/>
          <w:szCs w:val="16"/>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Section 22. E</w:t>
      </w:r>
      <w:r>
        <w:rPr>
          <w:rFonts w:ascii="Times New Roman" w:cs="Times New Roman" w:eastAsia="Times New Roman" w:hAnsi="Times New Roman"/>
          <w:sz w:val="11"/>
          <w:szCs w:val="11"/>
          <w:b w:val="1"/>
          <w:bCs w:val="1"/>
          <w:color w:val="auto"/>
        </w:rPr>
        <w:t>lectronic</w:t>
      </w:r>
      <w:r>
        <w:rPr>
          <w:rFonts w:ascii="Times New Roman" w:cs="Times New Roman" w:eastAsia="Times New Roman" w:hAnsi="Times New Roman"/>
          <w:sz w:val="16"/>
          <w:szCs w:val="16"/>
          <w:b w:val="1"/>
          <w:bCs w:val="1"/>
          <w:color w:val="auto"/>
        </w:rPr>
        <w:t xml:space="preserve"> E</w:t>
      </w:r>
      <w:r>
        <w:rPr>
          <w:rFonts w:ascii="Times New Roman" w:cs="Times New Roman" w:eastAsia="Times New Roman" w:hAnsi="Times New Roman"/>
          <w:sz w:val="11"/>
          <w:szCs w:val="11"/>
          <w:b w:val="1"/>
          <w:bCs w:val="1"/>
          <w:color w:val="auto"/>
        </w:rPr>
        <w:t>xecution</w:t>
      </w:r>
      <w:r>
        <w:rPr>
          <w:rFonts w:ascii="Times New Roman" w:cs="Times New Roman" w:eastAsia="Times New Roman" w:hAnsi="Times New Roman"/>
          <w:sz w:val="16"/>
          <w:szCs w:val="16"/>
          <w:b w:val="1"/>
          <w:bCs w:val="1"/>
          <w:color w:val="auto"/>
        </w:rPr>
        <w:t>.</w:t>
      </w:r>
    </w:p>
    <w:p>
      <w:pPr>
        <w:spacing w:after="0" w:line="214" w:lineRule="exact"/>
        <w:rPr>
          <w:sz w:val="20"/>
          <w:szCs w:val="20"/>
          <w:color w:val="auto"/>
        </w:rPr>
      </w:pPr>
    </w:p>
    <w:p>
      <w:pPr>
        <w:jc w:val="both"/>
        <w:ind w:firstLine="591"/>
        <w:spacing w:after="0" w:line="267" w:lineRule="auto"/>
        <w:rPr>
          <w:sz w:val="20"/>
          <w:szCs w:val="20"/>
          <w:color w:val="auto"/>
        </w:rPr>
      </w:pPr>
      <w:r>
        <w:rPr>
          <w:rFonts w:ascii="Times New Roman" w:cs="Times New Roman" w:eastAsia="Times New Roman" w:hAnsi="Times New Roman"/>
          <w:sz w:val="16"/>
          <w:szCs w:val="16"/>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38" w:name="page39"/>
    <w:bookmarkEnd w:id="38"/>
    <w:p>
      <w:pPr>
        <w:ind w:left="10480"/>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SECURITIES REPRESENTED BY THIS WARRANT, AND THE SECURITIES ISSUABLE UPON EXERCISE 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WARRANT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 TO PURCHASE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Warrant No.: </w:t>
      </w:r>
      <w:r>
        <w:rPr>
          <w:rFonts w:ascii="Times New Roman" w:cs="Times New Roman" w:eastAsia="Times New Roman" w:hAnsi="Times New Roman"/>
          <w:sz w:val="16"/>
          <w:szCs w:val="16"/>
          <w:u w:val="single" w:color="auto"/>
          <w:color w:val="auto"/>
        </w:rPr>
        <w:t>HTCS-2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6,881,108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Issuance: August __, 2022 (“</w:t>
      </w:r>
      <w:r>
        <w:rPr>
          <w:rFonts w:ascii="Times New Roman" w:cs="Times New Roman" w:eastAsia="Times New Roman" w:hAnsi="Times New Roman"/>
          <w:sz w:val="16"/>
          <w:szCs w:val="16"/>
          <w:b w:val="1"/>
          <w:bCs w:val="1"/>
          <w:color w:val="auto"/>
        </w:rPr>
        <w:t>Issuance Date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262" w:lineRule="auto"/>
        <w:rPr>
          <w:sz w:val="20"/>
          <w:szCs w:val="20"/>
          <w:color w:val="auto"/>
        </w:rPr>
      </w:pPr>
      <w:r>
        <w:rPr>
          <w:rFonts w:ascii="Times New Roman" w:cs="Times New Roman" w:eastAsia="Times New Roman" w:hAnsi="Times New Roman"/>
          <w:sz w:val="16"/>
          <w:szCs w:val="16"/>
          <w:color w:val="auto"/>
        </w:rPr>
        <w:t>Agrify Corporation, a corporation organized under the laws of Nevada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hereby certifies that, for good and valuable consideration, the receipt and sufficiency of which are hereby acknowledged, High Trail Special Situations LLC, the registered holder hereof or its permitted assigns (the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is entitled, subject to the terms set forth below, to purchase from the Company, at the Exercise Price (as defined below) then in effect, at any time or times on or after the date that is six (6) months after the Issuance Date (the “</w:t>
      </w:r>
      <w:r>
        <w:rPr>
          <w:rFonts w:ascii="Times New Roman" w:cs="Times New Roman" w:eastAsia="Times New Roman" w:hAnsi="Times New Roman"/>
          <w:sz w:val="16"/>
          <w:szCs w:val="16"/>
          <w:b w:val="1"/>
          <w:bCs w:val="1"/>
          <w:color w:val="auto"/>
        </w:rPr>
        <w:t>Initial Exercisability Date</w:t>
      </w:r>
      <w:r>
        <w:rPr>
          <w:rFonts w:ascii="Times New Roman" w:cs="Times New Roman" w:eastAsia="Times New Roman" w:hAnsi="Times New Roman"/>
          <w:sz w:val="16"/>
          <w:szCs w:val="16"/>
          <w:color w:val="auto"/>
        </w:rPr>
        <w:t>”), but not after 11:59 p.m., New York time, on the Expiration Date (as defined below), six million eight hundred eighty one thousand one hundred and eight (6,881,108) duly authorized, validly issued, fully paid and non-assessable shares of Common Stock (as defined below), subject to adjustment as provided herein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shall have the meanings set forth in </w:t>
      </w:r>
      <w:r>
        <w:rPr>
          <w:rFonts w:ascii="Times New Roman" w:cs="Times New Roman" w:eastAsia="Times New Roman" w:hAnsi="Times New Roman"/>
          <w:sz w:val="16"/>
          <w:szCs w:val="16"/>
          <w:u w:val="single" w:color="auto"/>
          <w:color w:val="auto"/>
        </w:rPr>
        <w:t>Section 19</w:t>
      </w:r>
      <w:r>
        <w:rPr>
          <w:rFonts w:ascii="Times New Roman" w:cs="Times New Roman" w:eastAsia="Times New Roman" w:hAnsi="Times New Roman"/>
          <w:sz w:val="16"/>
          <w:szCs w:val="16"/>
          <w:color w:val="auto"/>
        </w:rPr>
        <w:t>. This Warrant is one of the Warrants to Purchase Common Stock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issued pursuant to that certain Securities Exchange Agreement (the “</w:t>
      </w:r>
      <w:r>
        <w:rPr>
          <w:rFonts w:ascii="Times New Roman" w:cs="Times New Roman" w:eastAsia="Times New Roman" w:hAnsi="Times New Roman"/>
          <w:sz w:val="16"/>
          <w:szCs w:val="16"/>
          <w:b w:val="1"/>
          <w:bCs w:val="1"/>
          <w:color w:val="auto"/>
        </w:rPr>
        <w:t>Securities Exchange Agreement</w:t>
      </w:r>
      <w:r>
        <w:rPr>
          <w:rFonts w:ascii="Times New Roman" w:cs="Times New Roman" w:eastAsia="Times New Roman" w:hAnsi="Times New Roman"/>
          <w:sz w:val="16"/>
          <w:szCs w:val="16"/>
          <w:color w:val="auto"/>
        </w:rPr>
        <w:t>”), dated as of August 18, 2022 (the “</w:t>
      </w:r>
      <w:r>
        <w:rPr>
          <w:rFonts w:ascii="Times New Roman" w:cs="Times New Roman" w:eastAsia="Times New Roman" w:hAnsi="Times New Roman"/>
          <w:sz w:val="16"/>
          <w:szCs w:val="16"/>
          <w:b w:val="1"/>
          <w:bCs w:val="1"/>
          <w:color w:val="auto"/>
        </w:rPr>
        <w:t>Subscription Date</w:t>
      </w:r>
      <w:r>
        <w:rPr>
          <w:rFonts w:ascii="Times New Roman" w:cs="Times New Roman" w:eastAsia="Times New Roman" w:hAnsi="Times New Roman"/>
          <w:sz w:val="16"/>
          <w:szCs w:val="16"/>
          <w:color w:val="auto"/>
        </w:rPr>
        <w:t>”) by and among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14438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ind w:left="1340" w:hanging="158"/>
        <w:spacing w:after="0"/>
        <w:tabs>
          <w:tab w:leader="none" w:pos="1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p>
    <w:p>
      <w:pPr>
        <w:spacing w:after="0" w:line="210" w:lineRule="exact"/>
        <w:rPr>
          <w:rFonts w:ascii="Times New Roman" w:cs="Times New Roman" w:eastAsia="Times New Roman" w:hAnsi="Times New Roman"/>
          <w:sz w:val="16"/>
          <w:szCs w:val="16"/>
          <w:color w:val="auto"/>
        </w:rPr>
      </w:pPr>
    </w:p>
    <w:p>
      <w:pPr>
        <w:jc w:val="both"/>
        <w:ind w:firstLine="1773"/>
        <w:spacing w:after="0" w:line="258" w:lineRule="auto"/>
        <w:tabs>
          <w:tab w:leader="none" w:pos="1998"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Exercise</w:t>
      </w:r>
      <w:r>
        <w:rPr>
          <w:rFonts w:ascii="Times New Roman" w:cs="Times New Roman" w:eastAsia="Times New Roman" w:hAnsi="Times New Roman"/>
          <w:sz w:val="16"/>
          <w:szCs w:val="16"/>
          <w:color w:val="auto"/>
        </w:rPr>
        <w:t xml:space="preserve">. Subject to the terms and conditions hereof (including, without limitation, the limitations set forth in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1(i))</w:t>
      </w:r>
      <w:r>
        <w:rPr>
          <w:rFonts w:ascii="Times New Roman" w:cs="Times New Roman" w:eastAsia="Times New Roman" w:hAnsi="Times New Roman"/>
          <w:sz w:val="16"/>
          <w:szCs w:val="16"/>
          <w:color w:val="auto"/>
        </w:rPr>
        <w:t xml:space="preserve">, this Warrant may be exercised by the Holder at any time or times on or after the Initial Exercisability Date, in whole or in part, by delivery (whether via electronic mail or otherwise) of a duly completed and executed written notice,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Exercise Notice</w:t>
      </w:r>
      <w:r>
        <w:rPr>
          <w:rFonts w:ascii="Times New Roman" w:cs="Times New Roman" w:eastAsia="Times New Roman" w:hAnsi="Times New Roman"/>
          <w:sz w:val="16"/>
          <w:szCs w:val="16"/>
          <w:color w:val="auto"/>
        </w:rPr>
        <w:t>”), of the Holder’s election to exercise this Warrant. Within two (2) Trading Days following the delivery of the Exercise Notice, if a registration statement covering the issuance or resale of the applicable Exercise Notice Warrant Shares (as defined below) is available for the issuance or resale, as applicable, of such Exercise Notice Warrant Shares, the Holder shall make payment to the Company of an amount equal to the Exercise Price in effect on the date of such exercise multiplied by the number of Warrant Shares as to which this Warrant is being exercised (the “</w:t>
      </w:r>
      <w:r>
        <w:rPr>
          <w:rFonts w:ascii="Times New Roman" w:cs="Times New Roman" w:eastAsia="Times New Roman" w:hAnsi="Times New Roman"/>
          <w:sz w:val="16"/>
          <w:szCs w:val="16"/>
          <w:b w:val="1"/>
          <w:bCs w:val="1"/>
          <w:color w:val="auto"/>
        </w:rPr>
        <w:t>Aggregate Exercise Price</w:t>
      </w:r>
      <w:r>
        <w:rPr>
          <w:rFonts w:ascii="Times New Roman" w:cs="Times New Roman" w:eastAsia="Times New Roman" w:hAnsi="Times New Roman"/>
          <w:sz w:val="16"/>
          <w:szCs w:val="16"/>
          <w:color w:val="auto"/>
        </w:rPr>
        <w:t xml:space="preserve">”) in cash by wire transfer of immediately available funds or, if the provisions of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xml:space="preserve"> are applicable, by notifying the Company that this Warrant is being exercised pursuant to a Cashless Exercise (as defined in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w:t>
      </w:r>
    </w:p>
    <w:p>
      <w:pPr>
        <w:spacing w:after="0" w:line="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6"/>
          <w:szCs w:val="16"/>
          <w:color w:val="auto"/>
        </w:rPr>
        <w:t>Exercise Notice is delivered to the Company. On or before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the date on which the Holder has delivered the applicable Exercise Notice, the Company shall transmit by electronic mail a duly executed and completed acknowledgment of confirmation of receipt of the Exercise Notice, in the form attached to the Exercise Notice, to the Holder and the Company’s transfer agent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So long as the Holder delivers the Aggregate Exercise Price (or notice of a Cashless Exercise, if applicable)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the date on which the Exercise Notice has been delivered (or deemed to have been</w:t>
      </w:r>
    </w:p>
    <w:p>
      <w:pPr>
        <w:spacing w:after="0" w:line="2"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6"/>
          <w:szCs w:val="16"/>
          <w:color w:val="auto"/>
        </w:rPr>
        <w:t>delivered) to the Company, then on or prior to the earlier of (i)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and (ii) the number of Trading Days comprising the Standard Settlement Period, in each case following the date on which the Exercise Notice has been delivered (or deemed to have been delivered) to the Company, or, if the Holder does not deliver the Aggregate Exercise Price (or notice of a Cashless Exercise, if applicable)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the date on which the Exercise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Notice has been delivered (or deemed to have been delivered) to the Company, then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Trading Day following the date on which the Aggregate Exercise Price (or notice of a Cashless Exercise, if applicable) is delivered (such earlier date, or if later, the earliest day on which the Company is required to deliver Warrant Shares pursuant to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Share Delivery Date</w:t>
      </w:r>
      <w:r>
        <w:rPr>
          <w:rFonts w:ascii="Times New Roman" w:cs="Times New Roman" w:eastAsia="Times New Roman" w:hAnsi="Times New Roman"/>
          <w:sz w:val="16"/>
          <w:szCs w:val="16"/>
          <w:color w:val="auto"/>
        </w:rPr>
        <w:t>”), the Company shall (X) provided that the Transfer Agent is participating in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Fast Automated Securities Transfer Program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(or deemed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w:t>
      </w:r>
      <w:r>
        <w:rPr>
          <w:rFonts w:ascii="Times New Roman" w:cs="Times New Roman" w:eastAsia="Times New Roman" w:hAnsi="Times New Roman"/>
          <w:sz w:val="16"/>
          <w:szCs w:val="16"/>
          <w:u w:val="single" w:color="auto"/>
          <w:color w:val="auto"/>
        </w:rPr>
        <w:t>Section 77(d)</w:t>
      </w:r>
      <w:r>
        <w:rPr>
          <w:rFonts w:ascii="Times New Roman" w:cs="Times New Roman" w:eastAsia="Times New Roman" w:hAnsi="Times New Roman"/>
          <w:sz w:val="16"/>
          <w:szCs w:val="16"/>
          <w:color w:val="auto"/>
        </w:rPr>
        <w:t xml:space="preserve">)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provided,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the Person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(except for consents and waivers provided pursuant to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the recovery of any judgment against any Person or any action to enforce the same, or any setoff, counterclaim, recoupment, limitation or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0" w:name="page41"/>
    <w:bookmarkEnd w:id="40"/>
    <w:p>
      <w:pPr>
        <w:ind w:left="2000" w:hanging="227"/>
        <w:spacing w:after="0"/>
        <w:tabs>
          <w:tab w:leader="none" w:pos="20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For purposes of this Warrant,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color w:val="auto"/>
        </w:rPr>
        <w:t>” means $2.15 per share, subject to adjustment as provided herein.</w:t>
      </w:r>
    </w:p>
    <w:p>
      <w:pPr>
        <w:spacing w:after="0" w:line="214" w:lineRule="exact"/>
        <w:rPr>
          <w:rFonts w:ascii="Times New Roman" w:cs="Times New Roman" w:eastAsia="Times New Roman" w:hAnsi="Times New Roman"/>
          <w:sz w:val="16"/>
          <w:szCs w:val="16"/>
          <w:color w:val="auto"/>
        </w:rPr>
      </w:pPr>
    </w:p>
    <w:p>
      <w:pPr>
        <w:jc w:val="both"/>
        <w:ind w:firstLine="1773"/>
        <w:spacing w:after="0" w:line="258" w:lineRule="auto"/>
        <w:tabs>
          <w:tab w:leader="none" w:pos="199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Company’s Failure to Timely Deliver Securities</w:t>
      </w:r>
      <w:r>
        <w:rPr>
          <w:rFonts w:ascii="Times New Roman" w:cs="Times New Roman" w:eastAsia="Times New Roman" w:hAnsi="Times New Roman"/>
          <w:sz w:val="16"/>
          <w:szCs w:val="16"/>
          <w:color w:val="auto"/>
        </w:rPr>
        <w:t>. If the Company shall fail for any reason or for no reason on or prior to the applicable Share Delivery Date, if (x) the Transfer Agent is not participating in FAST, to issue to the Holder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(such shares to which Holder is entitled being, the “</w:t>
      </w:r>
      <w:r>
        <w:rPr>
          <w:rFonts w:ascii="Times New Roman" w:cs="Times New Roman" w:eastAsia="Times New Roman" w:hAnsi="Times New Roman"/>
          <w:sz w:val="16"/>
          <w:szCs w:val="16"/>
          <w:b w:val="1"/>
          <w:bCs w:val="1"/>
          <w:color w:val="auto"/>
        </w:rPr>
        <w:t>Exercise Notice Warrant Shares</w:t>
      </w:r>
      <w:r>
        <w:rPr>
          <w:rFonts w:ascii="Times New Roman" w:cs="Times New Roman" w:eastAsia="Times New Roman" w:hAnsi="Times New Roman"/>
          <w:sz w:val="16"/>
          <w:szCs w:val="16"/>
          <w:color w:val="auto"/>
        </w:rPr>
        <w:t>”), then, in addition to all other remedies available to the Holder, if on or prior to the applicable Share Delivery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written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As of the Issuance Date, the Company’s current transfer agent participates in FAST. In the event that the Company changes transfer agents while this Warrant is outstanding, the Company shall use commercially reasonable efforts to select a transfer agent that participates in FAST. While this Warrant is outstanding, the Company shall request its transfer agent to participate in FAST with respect to this Warrant. In addition to the foregoing rights, (i) if the Company fails to deliver the applicable number of Warrant Shares upon an exercise pursuant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w:t>
      </w:r>
      <w:r>
        <w:rPr>
          <w:rFonts w:ascii="Times New Roman" w:cs="Times New Roman" w:eastAsia="Times New Roman" w:hAnsi="Times New Roman"/>
          <w:sz w:val="16"/>
          <w:szCs w:val="16"/>
          <w:u w:val="single" w:color="auto"/>
          <w:color w:val="auto"/>
        </w:rPr>
        <w:t>Section 1(c)</w:t>
      </w:r>
      <w:r>
        <w:rPr>
          <w:rFonts w:ascii="Times New Roman" w:cs="Times New Roman" w:eastAsia="Times New Roman" w:hAnsi="Times New Roman"/>
          <w:sz w:val="16"/>
          <w:szCs w:val="16"/>
          <w:color w:val="auto"/>
        </w:rPr>
        <w:t xml:space="preserve"> or otherwise. In addition to the foregoing, if the Company fails for any reason to deliver to the Holder the Warrant Shares subject to an Exercise Notice by the second Trading Day following the Share Delivery Date, the Company shall pay to the Holder, in cash, as liquidated damages and not as a penalty, for each $1,000 of Warrant Shares subject to such exercise (based on the Weighted Average Price of the Common Stock on the date of the applicable Exercise Notice), $10 per Trading Day (increasing to $20 per Trading Day on the fifth Trading Day after such liquidated damages begin to accrue) for each Trading Day after the Share Delivery Date until such Warrant Shares are delivered or Holder rescinds such exercise.</w:t>
      </w:r>
    </w:p>
    <w:p>
      <w:pPr>
        <w:spacing w:after="0" w:line="377" w:lineRule="exact"/>
        <w:rPr>
          <w:rFonts w:ascii="Times New Roman" w:cs="Times New Roman" w:eastAsia="Times New Roman" w:hAnsi="Times New Roman"/>
          <w:sz w:val="16"/>
          <w:szCs w:val="16"/>
          <w:color w:val="auto"/>
        </w:rPr>
      </w:pPr>
    </w:p>
    <w:p>
      <w:pPr>
        <w:jc w:val="both"/>
        <w:ind w:firstLine="1773"/>
        <w:spacing w:after="0" w:line="267" w:lineRule="auto"/>
        <w:tabs>
          <w:tab w:leader="none" w:pos="200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Notwithstanding anything contained herein to the contrary, if (i) a registration statement covering the issuance or resale of the applicable Exercise Notice Warrant Shares is not available for the issuance or resale, as applicable, of such Exercise Notice Warrant Shares or (ii) if the Requisite Stockholder Approval (as such term is used in the Securities Exchange Agreement) has not yet been obtained, then in lieu of making the cash payment otherwise contemplated to be made to the Company upon such exercise in payment of the Aggregate Exercise Price, the Holder may elect to receive upon such exercise the “Net Number” of shares of Common Stock determined according to the following formula (a “</w:t>
      </w:r>
      <w:r>
        <w:rPr>
          <w:rFonts w:ascii="Times New Roman" w:cs="Times New Roman" w:eastAsia="Times New Roman" w:hAnsi="Times New Roman"/>
          <w:sz w:val="16"/>
          <w:szCs w:val="16"/>
          <w:b w:val="1"/>
          <w:bCs w:val="1"/>
          <w:color w:val="auto"/>
        </w:rPr>
        <w:t>Cashless Exercise</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Net Number = </w:t>
      </w:r>
      <w:r>
        <w:rPr>
          <w:rFonts w:ascii="Times New Roman" w:cs="Times New Roman" w:eastAsia="Times New Roman" w:hAnsi="Times New Roman"/>
          <w:sz w:val="16"/>
          <w:szCs w:val="16"/>
          <w:u w:val="single" w:color="auto"/>
          <w:color w:val="auto"/>
        </w:rPr>
        <w:t>(A x B) - (A x C)</w:t>
      </w:r>
    </w:p>
    <w:p>
      <w:pPr>
        <w:spacing w:after="0" w:line="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color w:val="auto"/>
        </w:rPr>
        <w:t>B</w:t>
      </w:r>
    </w:p>
    <w:p>
      <w:pPr>
        <w:spacing w:after="0" w:line="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For purposes of the foregoing formula:</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 the total number of shares with respect to which this Warrant is then being exercised.</w:t>
      </w:r>
    </w:p>
    <w:p>
      <w:pPr>
        <w:spacing w:after="0" w:line="210" w:lineRule="exact"/>
        <w:rPr>
          <w:sz w:val="20"/>
          <w:szCs w:val="20"/>
          <w:color w:val="auto"/>
        </w:rPr>
      </w:pPr>
    </w:p>
    <w:p>
      <w:pPr>
        <w:jc w:val="both"/>
        <w:ind w:left="1480" w:hanging="295"/>
        <w:spacing w:after="0" w:line="261" w:lineRule="auto"/>
        <w:rPr>
          <w:sz w:val="20"/>
          <w:szCs w:val="20"/>
          <w:color w:val="auto"/>
        </w:rPr>
      </w:pPr>
      <w:r>
        <w:rPr>
          <w:rFonts w:ascii="Times New Roman" w:cs="Times New Roman" w:eastAsia="Times New Roman" w:hAnsi="Times New Roman"/>
          <w:sz w:val="16"/>
          <w:szCs w:val="16"/>
          <w:color w:val="auto"/>
        </w:rPr>
        <w:t xml:space="preserve">B= as applicable: (i) the Closing Sale Price of the Common Stock on the Trading Day immediately preceding the date of the applicable Exercise Notice if such Exercise Notice is (1) both executed and delivered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on a day that is not a Trading Day or (2) both executed and delivered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on a Trading Day prior to the opening of “regular trading hours” (as defined in Rule 600(b)(68) of Regulation NMS promulgated under the federal securities laws) on such Trading Day, (ii) at the option of the Holder, either (y) the Weighted Average Price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after the close of “regular trading hours” on such Trading Day.</w:t>
      </w:r>
    </w:p>
    <w:p>
      <w:pPr>
        <w:spacing w:after="0" w:line="3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C= the Exercise Price then in effect for the applicable Warrant Shares at the time of such exercise.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41" w:name="page42"/>
    <w:bookmarkEnd w:id="41"/>
    <w:p>
      <w:pPr>
        <w:jc w:val="both"/>
        <w:spacing w:after="0" w:line="263"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Company acknowledges and agrees that in accordance with Section 3(a)(9) of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xml:space="preserve">”), the Warrant Shares shall take on the registered characteristics of the Warrants being exercised, and the holding period of the Warrants being exercised may be tacked on to the holding period of the Warrant Shares. The Company agrees not to take any position contrary to this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xml:space="preserve">. Without limiting the rights of a Holder to receive Warrant Shares on a “cashless exercise,” and to receive the cash payments contemplated pursuant to </w:t>
      </w:r>
      <w:r>
        <w:rPr>
          <w:rFonts w:ascii="Times New Roman" w:cs="Times New Roman" w:eastAsia="Times New Roman" w:hAnsi="Times New Roman"/>
          <w:sz w:val="16"/>
          <w:szCs w:val="16"/>
          <w:u w:val="single" w:color="auto"/>
          <w:color w:val="auto"/>
        </w:rPr>
        <w:t>Sections 1(c)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4(b)</w:t>
      </w:r>
      <w:r>
        <w:rPr>
          <w:rFonts w:ascii="Times New Roman" w:cs="Times New Roman" w:eastAsia="Times New Roman" w:hAnsi="Times New Roman"/>
          <w:sz w:val="16"/>
          <w:szCs w:val="16"/>
          <w:color w:val="auto"/>
        </w:rPr>
        <w:t>, in no event will the Company be required to net cash settle a Warrant exercise. Any Cashless Exercise of this Warrant shall have the effect of lowering the outstanding number of Warrant Shares purchasable hereunder by an amount equal to the number of Warrant Shares that would be issuable upon exercise of this Warrant in accordance with the terms of this Warrant if such exercise were by means of a cash exercise rather than a Cashless Exercise and not the number of Warrant Shares actually received by the Holder.</w:t>
      </w:r>
    </w:p>
    <w:p>
      <w:pPr>
        <w:spacing w:after="0" w:line="363" w:lineRule="exact"/>
        <w:rPr>
          <w:sz w:val="20"/>
          <w:szCs w:val="20"/>
          <w:color w:val="auto"/>
        </w:rPr>
      </w:pPr>
    </w:p>
    <w:p>
      <w:pPr>
        <w:ind w:firstLine="1773"/>
        <w:spacing w:after="0" w:line="296" w:lineRule="auto"/>
        <w:tabs>
          <w:tab w:leader="none" w:pos="201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xml:space="preserve">. In the case of a dispute as to the determination of the Exercise Price or the arithmetic calculation of the Warrant Shares, the Company shall promptly issue to the Holder the number of Warrant Shares that are not disputed and resolve such dispute in accordance with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firstLine="1773"/>
        <w:spacing w:after="0" w:line="257" w:lineRule="auto"/>
        <w:tabs>
          <w:tab w:leader="none" w:pos="19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Beneficial Ownership Limitation</w:t>
      </w:r>
      <w:r>
        <w:rPr>
          <w:rFonts w:ascii="Times New Roman" w:cs="Times New Roman" w:eastAsia="Times New Roman" w:hAnsi="Times New Roman"/>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the aggregate in excess of 4.99% (the “</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beneficial ownership shall be calculated in accordance with Section 13(d) of the Securities Exchange Act of 1934, as amended (the “</w:t>
      </w:r>
      <w:r>
        <w:rPr>
          <w:rFonts w:ascii="Times New Roman" w:cs="Times New Roman" w:eastAsia="Times New Roman" w:hAnsi="Times New Roman"/>
          <w:sz w:val="16"/>
          <w:szCs w:val="16"/>
          <w:b w:val="1"/>
          <w:bCs w:val="1"/>
          <w:color w:val="auto"/>
        </w:rPr>
        <w:t>1934 Act</w:t>
      </w:r>
      <w:r>
        <w:rPr>
          <w:rFonts w:ascii="Times New Roman" w:cs="Times New Roman" w:eastAsia="Times New Roman" w:hAnsi="Times New Roman"/>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Reports on Form 8-K or other public filing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as the case may be, (y) a more recent public announcement by the Company or (z) any other written notice by the Company or the Transfer Agent setting forth the number of shares of Common Stock outstanding (the “</w:t>
      </w:r>
      <w:r>
        <w:rPr>
          <w:rFonts w:ascii="Times New Roman" w:cs="Times New Roman" w:eastAsia="Times New Roman" w:hAnsi="Times New Roman"/>
          <w:sz w:val="16"/>
          <w:szCs w:val="16"/>
          <w:b w:val="1"/>
          <w:bCs w:val="1"/>
          <w:color w:val="auto"/>
        </w:rPr>
        <w:t>Reported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Outstanding Share Number</w:t>
      </w:r>
      <w:r>
        <w:rPr>
          <w:rFonts w:ascii="Times New Roman" w:cs="Times New Roman" w:eastAsia="Times New Roman" w:hAnsi="Times New Roman"/>
          <w:sz w:val="16"/>
          <w:szCs w:val="16"/>
          <w:color w:val="auto"/>
        </w:rPr>
        <w:t>”). If the Company receives an Exercise Notice from the Holder at a time when the actual number of outstanding shares of Common Stock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6"/>
          <w:szCs w:val="16"/>
          <w:b w:val="1"/>
          <w:bCs w:val="1"/>
          <w:color w:val="auto"/>
        </w:rPr>
        <w:t>Reduction Shares</w:t>
      </w:r>
      <w:r>
        <w:rPr>
          <w:rFonts w:ascii="Times New Roman" w:cs="Times New Roman" w:eastAsia="Times New Roman" w:hAnsi="Times New Roman"/>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6"/>
          <w:szCs w:val="16"/>
          <w:b w:val="1"/>
          <w:bCs w:val="1"/>
          <w:color w:val="auto"/>
        </w:rPr>
        <w:t>Excess Shares</w:t>
      </w:r>
      <w:r>
        <w:rPr>
          <w:rFonts w:ascii="Times New Roman" w:cs="Times New Roman" w:eastAsia="Times New Roman" w:hAnsi="Times New Roman"/>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as specified in such notice; provided that (i)</w:t>
      </w:r>
    </w:p>
    <w:p>
      <w:pPr>
        <w:spacing w:after="0" w:line="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any such increase in the Maximum Percentage will not be effective until the sixty-first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or to make changes or supplements necessary or desirable to properly give effect to such limitation. The limitation contained in this paragraph may not be waived and shall apply to a successor holder of this Warrant. The Holder hereby acknowledges and agrees that the Company shall be entitled to rely on the representations and other information set forth in any Exercise Notice and shall not be required to independently verify whether any exercise of this Warrant would cause the Holder (together with the other Attribution Parties) to collectively beneficially own in excess of the Maximum Percentage of the number of shares of Common Stock outstanding after giving effect to such exercise or otherwise trigger the provisions of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2" w:name="page43"/>
    <w:bookmarkEnd w:id="42"/>
    <w:p>
      <w:pPr>
        <w:jc w:val="both"/>
        <w:ind w:left="-1120" w:firstLine="1773"/>
        <w:spacing w:after="0" w:line="260" w:lineRule="auto"/>
        <w:tabs>
          <w:tab w:leader="none" w:pos="88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Reserve Amount</w:t>
      </w:r>
      <w:r>
        <w:rPr>
          <w:rFonts w:ascii="Times New Roman" w:cs="Times New Roman" w:eastAsia="Times New Roman" w:hAnsi="Times New Roman"/>
          <w:sz w:val="16"/>
          <w:szCs w:val="16"/>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6"/>
          <w:szCs w:val="16"/>
          <w:b w:val="1"/>
          <w:bCs w:val="1"/>
          <w:color w:val="auto"/>
        </w:rPr>
        <w:t>Required Reserve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at no time shall the number of shares of Common Stock reserved pursuant to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reduced other than in connection with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exercise of Warrants or such other event covered by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6"/>
          <w:szCs w:val="16"/>
          <w:b w:val="1"/>
          <w:bCs w:val="1"/>
          <w:color w:val="auto"/>
        </w:rPr>
        <w:t>Authorized Share Allocation</w:t>
      </w:r>
      <w:r>
        <w:rPr>
          <w:rFonts w:ascii="Times New Roman" w:cs="Times New Roman" w:eastAsia="Times New Roman" w:hAnsi="Times New Roman"/>
          <w:sz w:val="16"/>
          <w:szCs w:val="16"/>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Each share of Common Stock delivered upon exercise of this Warrant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upon exercise of this Warrant, when delivered upon such exercise, to be admitted for listing on such exchange or quotation on such system.</w:t>
      </w:r>
    </w:p>
    <w:p>
      <w:pPr>
        <w:spacing w:after="0" w:line="167" w:lineRule="exact"/>
        <w:rPr>
          <w:rFonts w:ascii="Times New Roman" w:cs="Times New Roman" w:eastAsia="Times New Roman" w:hAnsi="Times New Roman"/>
          <w:sz w:val="16"/>
          <w:szCs w:val="16"/>
          <w:color w:val="auto"/>
        </w:rPr>
      </w:pPr>
    </w:p>
    <w:p>
      <w:pPr>
        <w:jc w:val="both"/>
        <w:ind w:left="-1120" w:firstLine="1773"/>
        <w:spacing w:after="0" w:line="259" w:lineRule="auto"/>
        <w:tabs>
          <w:tab w:leader="none" w:pos="89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Insufficient Authorized Shares</w:t>
      </w:r>
      <w:r>
        <w:rPr>
          <w:rFonts w:ascii="Times New Roman" w:cs="Times New Roman" w:eastAsia="Times New Roman" w:hAnsi="Times New Roman"/>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6"/>
          <w:szCs w:val="16"/>
          <w:b w:val="1"/>
          <w:bCs w:val="1"/>
          <w:color w:val="auto"/>
        </w:rPr>
        <w:t>Authorized Share Failure</w:t>
      </w:r>
      <w:r>
        <w:rPr>
          <w:rFonts w:ascii="Times New Roman" w:cs="Times New Roman" w:eastAsia="Times New Roman" w:hAnsi="Times New Roman"/>
          <w:sz w:val="16"/>
          <w:szCs w:val="16"/>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the Company’s management shall recommend to the Company’s Board of Directors that it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addition to the foregoing, in the event of any Authorized Share Failure that results in the failure of the Company to deliver any shares of Common Stock that would have otherwise been deliverable pursuant to an Exercise Notice (such shares the “</w:t>
      </w:r>
      <w:r>
        <w:rPr>
          <w:rFonts w:ascii="Times New Roman" w:cs="Times New Roman" w:eastAsia="Times New Roman" w:hAnsi="Times New Roman"/>
          <w:sz w:val="16"/>
          <w:szCs w:val="16"/>
          <w:b w:val="1"/>
          <w:bCs w:val="1"/>
          <w:color w:val="auto"/>
        </w:rPr>
        <w:t>Authorized Shares Failure Shares</w:t>
      </w:r>
      <w:r>
        <w:rPr>
          <w:rFonts w:ascii="Times New Roman" w:cs="Times New Roman" w:eastAsia="Times New Roman" w:hAnsi="Times New Roman"/>
          <w:sz w:val="16"/>
          <w:szCs w:val="16"/>
          <w:color w:val="auto"/>
        </w:rPr>
        <w:t>”), (1) the Company will promptly pay to the Holder, as liquidated damages and not as a penalty, cash in an amount equal (i) to the product of (x) the number of such Authorized Shares Failure Shares; and (y)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 and (2) to the extent the Holder purchases (in an open market transaction or otherwise) shares of Common Stock to deliver in settlement of a sale by the Holder of such Authorized Shares Failure Shares, the Company will reimburse the Holder for (x) any brokerage commissions and other out-of-pocket expenses, if any, of the Holder incurred in connection with such purchases and (y) the excess, if any, of (A) the aggregate purchase price of such purchases over (B) an amount equal to (i) the product of (I) the number of such Authorized Shares Failure Shares purchased by the Holder; and (II)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w:t>
      </w:r>
    </w:p>
    <w:p>
      <w:pPr>
        <w:spacing w:after="0" w:line="166" w:lineRule="exact"/>
        <w:rPr>
          <w:rFonts w:ascii="Times New Roman" w:cs="Times New Roman" w:eastAsia="Times New Roman" w:hAnsi="Times New Roman"/>
          <w:sz w:val="16"/>
          <w:szCs w:val="16"/>
          <w:color w:val="auto"/>
        </w:rPr>
      </w:pPr>
    </w:p>
    <w:p>
      <w:pPr>
        <w:jc w:val="both"/>
        <w:ind w:left="-1120" w:firstLine="1773"/>
        <w:spacing w:after="0" w:line="260" w:lineRule="auto"/>
        <w:tabs>
          <w:tab w:leader="none" w:pos="86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Exchange Limitations</w:t>
      </w:r>
      <w:r>
        <w:rPr>
          <w:rFonts w:ascii="Times New Roman" w:cs="Times New Roman" w:eastAsia="Times New Roman" w:hAnsi="Times New Roman"/>
          <w:sz w:val="16"/>
          <w:szCs w:val="16"/>
          <w:color w:val="auto"/>
        </w:rPr>
        <w:t>. Notwithstanding anything to the contrary in this Warrant, if Nasdaq notifies the Company that shareholder approval would be required under Nasdaq Rule 5635(d) with respect to the issuance of this Warrant, until the Requisite Stockholder Approval is obtained, in no event will the number of shares of Common Stock issuable upon exercise of this Warrant, together with all shares of Common Stock issued in respect of the Prior Notes (as defined in the Securities Exchange Agreement), the Exchange Notes (as defined in the Securities Exchange Agreement) and any other Warrant issued pursuant to the Exchange Agreement, exceed 5,308,578 shares in the aggregate. If, commencing one hundred and eighty (180) days following the issuance of any Warrants that require the Requisite Stockholder Approval under Nasdaq Rule 5635(d), one or more shares of Common Stock are not delivered at any time as a result of the operation of the preceding sentence (such shares, the “Withheld Shares”), then (1) the Company will promptly pay to the Holder, as liquidated damages and not as a penalty, cash in an amount equal to the product of (x) the number of such Withheld Shares; and (y) the Daily VWAP per share of Common Stock on the date the Holder delivered the applicable Exercise Notice hereunder (or, if such date is not a VWAP Trading Day, the immediately preceding VWAP Trading Day); and (2) to the extent the Holder purchases (in an open market transaction or otherwise) shares of Common Stock to deliver in settlement of a sale by the Holder of such Withheld Shares, the Company will reimburse the Holder for (x) any brokerage commissions and other out-of-pocket expenses, if any, of the Holder incurred in connection with such purchases and (y) the excess, if any, of (A) the aggregate purchase price of such purchases over (B) the product of (I) the number of such Withheld Shares purchased by the Holder; and (II) the Daily VWAP per share of Common Stock on the date the Holder delivered the applicable Exercise Notice hereunder (or, if such date is not a VWAP Trading Day, the immediately preceding VWAP Trading Day).</w:t>
      </w:r>
    </w:p>
    <w:p>
      <w:pPr>
        <w:spacing w:after="0" w:line="200" w:lineRule="exact"/>
        <w:rPr>
          <w:rFonts w:ascii="Times New Roman" w:cs="Times New Roman" w:eastAsia="Times New Roman" w:hAnsi="Times New Roman"/>
          <w:sz w:val="16"/>
          <w:szCs w:val="16"/>
          <w:color w:val="auto"/>
        </w:rPr>
      </w:pPr>
    </w:p>
    <w:p>
      <w:pPr>
        <w:spacing w:after="0" w:line="354" w:lineRule="exact"/>
        <w:rPr>
          <w:rFonts w:ascii="Times New Roman" w:cs="Times New Roman" w:eastAsia="Times New Roman" w:hAnsi="Times New Roman"/>
          <w:sz w:val="16"/>
          <w:szCs w:val="16"/>
          <w:color w:val="auto"/>
        </w:rPr>
      </w:pPr>
    </w:p>
    <w:p>
      <w:pPr>
        <w:ind w:left="4460" w:hanging="120"/>
        <w:spacing w:after="0"/>
        <w:tabs>
          <w:tab w:leader="none" w:pos="44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43" w:name="page44"/>
    <w:bookmarkEnd w:id="43"/>
    <w:p>
      <w:pPr>
        <w:ind w:left="-1120" w:firstLine="1182"/>
        <w:spacing w:after="0" w:line="296" w:lineRule="auto"/>
        <w:tabs>
          <w:tab w:leader="none" w:pos="22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OF EXERCISE PRICE AND NUMBER OF WARRANT SHARES</w:t>
      </w:r>
      <w:r>
        <w:rPr>
          <w:rFonts w:ascii="Times New Roman" w:cs="Times New Roman" w:eastAsia="Times New Roman" w:hAnsi="Times New Roman"/>
          <w:sz w:val="16"/>
          <w:szCs w:val="16"/>
          <w:color w:val="auto"/>
        </w:rPr>
        <w:t>. The Exercise Price and the number of Warrant Shares shall be adjusted from time to time as follows:</w:t>
      </w:r>
    </w:p>
    <w:p>
      <w:pPr>
        <w:spacing w:after="0" w:line="137" w:lineRule="exact"/>
        <w:rPr>
          <w:rFonts w:ascii="Times New Roman" w:cs="Times New Roman" w:eastAsia="Times New Roman" w:hAnsi="Times New Roman"/>
          <w:sz w:val="16"/>
          <w:szCs w:val="16"/>
          <w:color w:val="auto"/>
        </w:rPr>
      </w:pPr>
    </w:p>
    <w:p>
      <w:pPr>
        <w:ind w:left="-1120" w:firstLine="1773"/>
        <w:spacing w:after="0" w:line="296" w:lineRule="auto"/>
        <w:tabs>
          <w:tab w:leader="none" w:pos="878"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Adjustment by Company</w:t>
      </w:r>
      <w:r>
        <w:rPr>
          <w:rFonts w:ascii="Times New Roman" w:cs="Times New Roman" w:eastAsia="Times New Roman" w:hAnsi="Times New Roman"/>
          <w:sz w:val="16"/>
          <w:szCs w:val="16"/>
          <w:color w:val="auto"/>
        </w:rPr>
        <w:t>. The Company may at any time during the term of this Warrant reduce the then-current Exercise Price to any amount and for any period of time deemed appropriate by the Board of Directors of the Company.</w:t>
      </w:r>
    </w:p>
    <w:p>
      <w:pPr>
        <w:spacing w:after="0" w:line="137" w:lineRule="exact"/>
        <w:rPr>
          <w:rFonts w:ascii="Times New Roman" w:cs="Times New Roman" w:eastAsia="Times New Roman" w:hAnsi="Times New Roman"/>
          <w:sz w:val="16"/>
          <w:szCs w:val="16"/>
          <w:color w:val="auto"/>
        </w:rPr>
      </w:pPr>
    </w:p>
    <w:p>
      <w:pPr>
        <w:jc w:val="both"/>
        <w:ind w:left="-1120" w:firstLine="1773"/>
        <w:spacing w:after="0" w:line="263" w:lineRule="auto"/>
        <w:tabs>
          <w:tab w:leader="none" w:pos="887"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Upon Subdivision or Combination of Common Stock</w:t>
      </w:r>
      <w:r>
        <w:rPr>
          <w:rFonts w:ascii="Times New Roman" w:cs="Times New Roman" w:eastAsia="Times New Roman" w:hAnsi="Times New Roman"/>
          <w:sz w:val="16"/>
          <w:szCs w:val="16"/>
          <w:color w:val="auto"/>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shall become effective at the close of business on the date the subdivision or combination becomes effective.</w:t>
      </w:r>
    </w:p>
    <w:p>
      <w:pPr>
        <w:spacing w:after="0" w:line="166" w:lineRule="exact"/>
        <w:rPr>
          <w:rFonts w:ascii="Times New Roman" w:cs="Times New Roman" w:eastAsia="Times New Roman" w:hAnsi="Times New Roman"/>
          <w:sz w:val="16"/>
          <w:szCs w:val="16"/>
          <w:color w:val="auto"/>
        </w:rPr>
      </w:pPr>
    </w:p>
    <w:p>
      <w:pPr>
        <w:jc w:val="both"/>
        <w:ind w:left="-1120" w:firstLine="1182"/>
        <w:spacing w:after="0" w:line="260" w:lineRule="auto"/>
        <w:tabs>
          <w:tab w:leader="none" w:pos="227"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UPON DISTRIBUTION OF ASSETS</w:t>
      </w:r>
      <w:r>
        <w:rPr>
          <w:rFonts w:ascii="Times New Roman" w:cs="Times New Roman" w:eastAsia="Times New Roman" w:hAnsi="Times New Roman"/>
          <w:sz w:val="16"/>
          <w:szCs w:val="16"/>
          <w:color w:val="auto"/>
        </w:rPr>
        <w:t xml:space="preserve">. In addition to any adjustments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spin-off, reclassification, corporate rearrangement, scheme of arrangement or other similar transaction) (a “</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67" w:lineRule="exact"/>
        <w:rPr>
          <w:rFonts w:ascii="Times New Roman" w:cs="Times New Roman" w:eastAsia="Times New Roman" w:hAnsi="Times New Roman"/>
          <w:sz w:val="16"/>
          <w:szCs w:val="16"/>
          <w:color w:val="auto"/>
        </w:rPr>
      </w:pPr>
    </w:p>
    <w:p>
      <w:pPr>
        <w:ind w:left="220" w:hanging="158"/>
        <w:spacing w:after="0"/>
        <w:tabs>
          <w:tab w:leader="none" w:pos="2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 RIGHTS; FUNDAMENTAL TRANSACTIONS.</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60" w:lineRule="auto"/>
        <w:tabs>
          <w:tab w:leader="none" w:pos="878"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 Rights</w:t>
      </w:r>
      <w:r>
        <w:rPr>
          <w:rFonts w:ascii="Times New Roman" w:cs="Times New Roman" w:eastAsia="Times New Roman" w:hAnsi="Times New Roman"/>
          <w:sz w:val="16"/>
          <w:szCs w:val="16"/>
          <w:color w:val="auto"/>
        </w:rPr>
        <w:t xml:space="preserve">. In addition to any adjustments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6"/>
          <w:szCs w:val="16"/>
          <w:b w:val="1"/>
          <w:bCs w:val="1"/>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200" w:lineRule="exact"/>
        <w:rPr>
          <w:rFonts w:ascii="Times New Roman" w:cs="Times New Roman" w:eastAsia="Times New Roman" w:hAnsi="Times New Roman"/>
          <w:sz w:val="16"/>
          <w:szCs w:val="16"/>
          <w:color w:val="auto"/>
        </w:rPr>
      </w:pPr>
    </w:p>
    <w:p>
      <w:pPr>
        <w:spacing w:after="0" w:line="357" w:lineRule="exact"/>
        <w:rPr>
          <w:rFonts w:ascii="Times New Roman" w:cs="Times New Roman" w:eastAsia="Times New Roman" w:hAnsi="Times New Roman"/>
          <w:sz w:val="16"/>
          <w:szCs w:val="16"/>
          <w:color w:val="auto"/>
        </w:rPr>
      </w:pPr>
    </w:p>
    <w:p>
      <w:pPr>
        <w:ind w:left="4460" w:hanging="120"/>
        <w:spacing w:after="0"/>
        <w:tabs>
          <w:tab w:leader="none" w:pos="4460" w:val="left"/>
        </w:tabs>
        <w:numPr>
          <w:ilvl w:val="2"/>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44" w:name="page45"/>
    <w:bookmarkEnd w:id="44"/>
    <w:p>
      <w:pPr>
        <w:jc w:val="both"/>
        <w:ind w:left="-1120" w:firstLine="1773"/>
        <w:spacing w:after="0" w:line="258" w:lineRule="auto"/>
        <w:tabs>
          <w:tab w:leader="none" w:pos="887"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Fundamental Transaction</w:t>
      </w:r>
      <w:r>
        <w:rPr>
          <w:rFonts w:ascii="Times New Roman" w:cs="Times New Roman" w:eastAsia="Times New Roman" w:hAnsi="Times New Roman"/>
          <w:sz w:val="16"/>
          <w:szCs w:val="16"/>
          <w:color w:val="auto"/>
        </w:rPr>
        <w:t xml:space="preserve">. The Company shall not enter into or be party to a Fundamental Transaction unless the Successor Entity assumes in writing all of the obligations of the Company under this Warrant in accordance with the provisions of this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Times New Roman" w:cs="Times New Roman" w:eastAsia="Times New Roman" w:hAnsi="Times New Roman"/>
          <w:sz w:val="16"/>
          <w:szCs w:val="16"/>
          <w:u w:val="single" w:color="auto"/>
          <w:color w:val="auto"/>
        </w:rPr>
        <w:t>Sections 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4(a)</w:t>
      </w:r>
      <w:r>
        <w:rPr>
          <w:rFonts w:ascii="Times New Roman" w:cs="Times New Roman" w:eastAsia="Times New Roman" w:hAnsi="Times New Roman"/>
          <w:sz w:val="16"/>
          <w:szCs w:val="16"/>
          <w:color w:val="auto"/>
        </w:rPr>
        <w:t xml:space="preser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hereof, the Holder may elect, at its sole option, by delivery of written notice to the Company to waive this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6"/>
          <w:szCs w:val="16"/>
          <w:b w:val="1"/>
          <w:bCs w:val="1"/>
          <w:color w:val="auto"/>
        </w:rPr>
        <w:t>Corporate Event</w:t>
      </w:r>
      <w:r>
        <w:rPr>
          <w:rFonts w:ascii="Times New Roman" w:cs="Times New Roman" w:eastAsia="Times New Roman" w:hAnsi="Times New Roman"/>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Times New Roman" w:cs="Times New Roman" w:eastAsia="Times New Roman" w:hAnsi="Times New Roman"/>
          <w:sz w:val="16"/>
          <w:szCs w:val="16"/>
          <w:u w:val="single" w:color="auto"/>
          <w:color w:val="auto"/>
        </w:rPr>
        <w:t>Sections 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4(a)</w:t>
      </w:r>
      <w:r>
        <w:rPr>
          <w:rFonts w:ascii="Times New Roman" w:cs="Times New Roman" w:eastAsia="Times New Roman" w:hAnsi="Times New Roman"/>
          <w:sz w:val="16"/>
          <w:szCs w:val="16"/>
          <w:color w:val="auto"/>
        </w:rPr>
        <w:t xml:space="preser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shall apply similarly and equally to successive Fundamental Transactions and Corporate Events. Notwithstanding the foregoing, in the event of a Change of Control, at the request of the Holder delivered before the 30th day after such Change of Control, the Company (or the Successor Entity) shall purchase this Warrant from the Holder by paying to the Holder, within five (5) Business Days after such request (or, if later, on the effective date of the Change of Control), an amount equal to the Black Scholes Value of the remaining unexercised portion of this Warrant on the effective date of such Change of Control, payable in cash; provided, however, that, if the Change of Control is not within the Company’s control, including not approved by the Company’s Board of Directors, Holder shall only be entitled to receive from the Company or any Successor Entity, as of the date of consummation of such Change of Control, the same type or form of consideration (and in the same proportion), at the Black Scholes Value of the unexercised portion of this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provided, further, that if holders of Common Stock are not offered or paid any consideration in such Change of Control, such holders of Common Stock will be deemed to have received common stock of the Successor Entity (which entity may be the Company following such Change of Control) in such Change of Control.</w:t>
      </w:r>
    </w:p>
    <w:p>
      <w:pPr>
        <w:spacing w:after="0" w:line="371" w:lineRule="exact"/>
        <w:rPr>
          <w:rFonts w:ascii="Times New Roman" w:cs="Times New Roman" w:eastAsia="Times New Roman" w:hAnsi="Times New Roman"/>
          <w:sz w:val="16"/>
          <w:szCs w:val="16"/>
          <w:color w:val="auto"/>
        </w:rPr>
      </w:pPr>
    </w:p>
    <w:p>
      <w:pPr>
        <w:jc w:val="both"/>
        <w:ind w:left="-1120" w:firstLine="1182"/>
        <w:spacing w:after="0" w:line="262" w:lineRule="auto"/>
        <w:tabs>
          <w:tab w:leader="none" w:pos="22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NONCIRCUMVENTION</w:t>
      </w:r>
      <w:r>
        <w:rPr>
          <w:rFonts w:ascii="Times New Roman" w:cs="Times New Roman" w:eastAsia="Times New Roman" w:hAnsi="Times New Roman"/>
          <w:sz w:val="16"/>
          <w:szCs w:val="16"/>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352" w:lineRule="exact"/>
        <w:rPr>
          <w:rFonts w:ascii="Times New Roman" w:cs="Times New Roman" w:eastAsia="Times New Roman" w:hAnsi="Times New Roman"/>
          <w:sz w:val="16"/>
          <w:szCs w:val="16"/>
          <w:color w:val="auto"/>
        </w:rPr>
      </w:pPr>
    </w:p>
    <w:p>
      <w:pPr>
        <w:ind w:left="4460" w:hanging="120"/>
        <w:spacing w:after="0"/>
        <w:tabs>
          <w:tab w:leader="none" w:pos="446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45" w:name="page46"/>
    <w:bookmarkEnd w:id="45"/>
    <w:p>
      <w:pPr>
        <w:jc w:val="both"/>
        <w:ind w:left="-1120" w:firstLine="1182"/>
        <w:spacing w:after="0" w:line="262" w:lineRule="auto"/>
        <w:tabs>
          <w:tab w:leader="none" w:pos="2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HOLDER NOT DEEMED A STOCKHOLDER</w:t>
      </w:r>
      <w:r>
        <w:rPr>
          <w:rFonts w:ascii="Times New Roman" w:cs="Times New Roman" w:eastAsia="Times New Roman" w:hAnsi="Times New Roman"/>
          <w:sz w:val="16"/>
          <w:szCs w:val="16"/>
          <w:color w:val="auto"/>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the Company shall provide the Holder with copies of the same notices and other information given to the stockholders of the Company generally, contemporaneously with the giving thereof to the stockholders.</w:t>
      </w:r>
    </w:p>
    <w:p>
      <w:pPr>
        <w:spacing w:after="0" w:line="164" w:lineRule="exact"/>
        <w:rPr>
          <w:rFonts w:ascii="Times New Roman" w:cs="Times New Roman" w:eastAsia="Times New Roman" w:hAnsi="Times New Roman"/>
          <w:sz w:val="16"/>
          <w:szCs w:val="16"/>
          <w:color w:val="auto"/>
        </w:rPr>
      </w:pPr>
    </w:p>
    <w:p>
      <w:pPr>
        <w:ind w:left="220" w:hanging="158"/>
        <w:spacing w:after="0"/>
        <w:tabs>
          <w:tab w:leader="none" w:pos="2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REISSUANCE OF WARRANTS.</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65" w:lineRule="auto"/>
        <w:tabs>
          <w:tab w:leader="none" w:pos="878"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 xml:space="preserve">. If this Warrant is to be transferred, the Holder shall notify the Company and surrender this Warrant to the Company, whereupon the Company will forthwith issue and deliver upon the order of the Holder a new Warrant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xml:space="preserve">), registered as the Holder may request, representing the right to purchase the number of Warrant Shares being transferred by the Holder and, if less than the total number of Warrant Shares then underlying this Warrant is being transferred, a new Warrant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to the Holder representing the right to purchase the number of Warrant Shares not being transferred. The Company shall not be obligated to pay any tax which may be payable with respect to any transfer (or deemed transfer) arising in connection with the registration of any certificates for Warrant Shares or Warrants in the name of any Person other than the Holder.</w:t>
      </w:r>
    </w:p>
    <w:p>
      <w:pPr>
        <w:spacing w:after="0" w:line="161" w:lineRule="exact"/>
        <w:rPr>
          <w:rFonts w:ascii="Times New Roman" w:cs="Times New Roman" w:eastAsia="Times New Roman" w:hAnsi="Times New Roman"/>
          <w:sz w:val="16"/>
          <w:szCs w:val="16"/>
          <w:color w:val="auto"/>
        </w:rPr>
      </w:pPr>
    </w:p>
    <w:p>
      <w:pPr>
        <w:jc w:val="both"/>
        <w:ind w:left="-1120" w:firstLine="1773"/>
        <w:spacing w:after="0" w:line="270" w:lineRule="auto"/>
        <w:tabs>
          <w:tab w:leader="none" w:pos="899"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Lost, Stolen or Mutilated Warrant</w:t>
      </w:r>
      <w:r>
        <w:rPr>
          <w:rFonts w:ascii="Times New Roman" w:cs="Times New Roman" w:eastAsia="Times New Roman" w:hAnsi="Times New Roman"/>
          <w:sz w:val="16"/>
          <w:szCs w:val="16"/>
          <w:color w:val="auto"/>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representing the right to purchase the Warrant Shares then underlying this Warrant.</w:t>
      </w:r>
    </w:p>
    <w:p>
      <w:pPr>
        <w:spacing w:after="0" w:line="157" w:lineRule="exact"/>
        <w:rPr>
          <w:rFonts w:ascii="Times New Roman" w:cs="Times New Roman" w:eastAsia="Times New Roman" w:hAnsi="Times New Roman"/>
          <w:sz w:val="16"/>
          <w:szCs w:val="16"/>
          <w:color w:val="auto"/>
        </w:rPr>
      </w:pPr>
    </w:p>
    <w:p>
      <w:pPr>
        <w:jc w:val="both"/>
        <w:ind w:left="-1120" w:firstLine="1773"/>
        <w:spacing w:after="0" w:line="274" w:lineRule="auto"/>
        <w:tabs>
          <w:tab w:leader="none" w:pos="878"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Exchangeable for Multiple Warrants</w:t>
      </w:r>
      <w:r>
        <w:rPr>
          <w:rFonts w:ascii="Times New Roman" w:cs="Times New Roman" w:eastAsia="Times New Roman" w:hAnsi="Times New Roman"/>
          <w:sz w:val="16"/>
          <w:szCs w:val="16"/>
          <w:color w:val="auto"/>
        </w:rPr>
        <w:t xml:space="preserve">. This Warrant is exchangeable, upon the surrender hereof by the Holder at the principal office of the Company, for a new Warrant or Warrants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355" w:lineRule="exact"/>
        <w:rPr>
          <w:rFonts w:ascii="Times New Roman" w:cs="Times New Roman" w:eastAsia="Times New Roman" w:hAnsi="Times New Roman"/>
          <w:sz w:val="16"/>
          <w:szCs w:val="16"/>
          <w:color w:val="auto"/>
        </w:rPr>
      </w:pPr>
    </w:p>
    <w:p>
      <w:pPr>
        <w:jc w:val="both"/>
        <w:ind w:left="-1120" w:firstLine="1773"/>
        <w:spacing w:after="0" w:line="265" w:lineRule="auto"/>
        <w:tabs>
          <w:tab w:leader="none" w:pos="899"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New Warrants</w:t>
      </w:r>
      <w:r>
        <w:rPr>
          <w:rFonts w:ascii="Times New Roman" w:cs="Times New Roman" w:eastAsia="Times New Roman" w:hAnsi="Times New Roman"/>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7(c)</w:t>
      </w:r>
      <w:r>
        <w:rPr>
          <w:rFonts w:ascii="Times New Roman" w:cs="Times New Roman" w:eastAsia="Times New Roman" w:hAnsi="Times New Roman"/>
          <w:sz w:val="16"/>
          <w:szCs w:val="16"/>
          <w:color w:val="auto"/>
        </w:rPr>
        <w:t>,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49" w:lineRule="exact"/>
        <w:rPr>
          <w:rFonts w:ascii="Times New Roman" w:cs="Times New Roman" w:eastAsia="Times New Roman" w:hAnsi="Times New Roman"/>
          <w:sz w:val="16"/>
          <w:szCs w:val="16"/>
          <w:color w:val="auto"/>
        </w:rPr>
      </w:pPr>
    </w:p>
    <w:p>
      <w:pPr>
        <w:ind w:left="4460" w:hanging="120"/>
        <w:spacing w:after="0"/>
        <w:tabs>
          <w:tab w:leader="none" w:pos="4460"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46" w:name="page47"/>
    <w:bookmarkEnd w:id="46"/>
    <w:p>
      <w:pPr>
        <w:jc w:val="both"/>
        <w:ind w:firstLine="1182"/>
        <w:spacing w:after="0" w:line="262" w:lineRule="auto"/>
        <w:tabs>
          <w:tab w:leader="none" w:pos="134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prior to 5:00 p.m. (New York time) on a Trading Day and (E) the next Trading Day after the date of transmission, if delivered by electronic mail to each of the email addresses specified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on a day that is not a Trading Day or later than 5:00 p.m. (New York time) on any Trading Day, and will be delivered and addressed as follows:</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(i) if to the Company, to:</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76 Treble Cove Road, Building 3</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Billerica, MA 01862</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(919) 619-7346</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Joshua Savitz, Esq., Associate General Counsel</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josh.savitz@agrify.com</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125 High Street</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Boston, MA 02110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(617) 345-3000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Frank A. Segall, Esq.</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fsegall@burnslev.com</w:t>
      </w:r>
    </w:p>
    <w:p>
      <w:pPr>
        <w:spacing w:after="0" w:line="193" w:lineRule="exact"/>
        <w:rPr>
          <w:sz w:val="20"/>
          <w:szCs w:val="20"/>
          <w:color w:val="auto"/>
        </w:rPr>
      </w:pPr>
    </w:p>
    <w:p>
      <w:pPr>
        <w:ind w:right="120" w:firstLine="1182"/>
        <w:spacing w:after="0" w:line="296" w:lineRule="auto"/>
        <w:tabs>
          <w:tab w:leader="none" w:pos="142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Holder, at such address or other contact information delivered by the Holder to Company or as is on the books and records of the Company (provided that, with respect to the Holder, such notice may only be delivered via electronic mail),</w:t>
      </w:r>
    </w:p>
    <w:p>
      <w:pPr>
        <w:spacing w:after="0" w:line="1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12670 High Bluff Drive</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San Diego, CA 92130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(858) 523-5400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Michael E. Sullivan, Esq.</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michael.sullivan@lw.com</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pro rata to holders of shares of Common Stock or (C) for determining rights to vote with respect to any Fundamental Transaction, dissolution or liquidation and (iii) ten (10) Business Days (or such shorter period as is reasonably practicable under the circumstances if the Company does not have 10 Business Days’ prior notice) prior to the consummation of any Fundamental Transaction;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in each case that such information shall be made known to the public prior to or in conjunction with such notice being provided to the Holder but only to the extent the information in such notice constitutes material non-public information regarding the Company. It is expressly understood and agreed that the time of exercise specified by the Holder in each Exercise Notice shall be definitive and may not be disputed or challenged by the Company.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7" w:name="page48"/>
    <w:bookmarkEnd w:id="47"/>
    <w:p>
      <w:pPr>
        <w:jc w:val="both"/>
        <w:ind w:firstLine="1182"/>
        <w:spacing w:after="0" w:line="265" w:lineRule="auto"/>
        <w:tabs>
          <w:tab w:leader="none" w:pos="134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61" w:lineRule="exact"/>
        <w:rPr>
          <w:rFonts w:ascii="Times New Roman" w:cs="Times New Roman" w:eastAsia="Times New Roman" w:hAnsi="Times New Roman"/>
          <w:sz w:val="16"/>
          <w:szCs w:val="16"/>
          <w:color w:val="auto"/>
        </w:rPr>
      </w:pPr>
    </w:p>
    <w:p>
      <w:pPr>
        <w:jc w:val="both"/>
        <w:ind w:firstLine="1182"/>
        <w:spacing w:after="0" w:line="258" w:lineRule="auto"/>
        <w:tabs>
          <w:tab w:leader="none" w:pos="142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JURY TRIAL</w:t>
      </w:r>
      <w:r>
        <w:rPr>
          <w:rFonts w:ascii="Times New Roman" w:cs="Times New Roman" w:eastAsia="Times New Roman" w:hAnsi="Times New Roman"/>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hereto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such party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with respect to such party in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or such other address as such party subsequently delivers to the other party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 party hereto from bringing suit or taking other legal action against the other party in any other jurisdiction to collect on its obligations to the other party, to realize on any collateral or any other security for such obligations, or to enforce a judgment or other court ruling in favor of the other party.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6"/>
          <w:szCs w:val="16"/>
          <w:b w:val="1"/>
          <w:bCs w:val="1"/>
          <w:color w:val="auto"/>
        </w:rPr>
        <w:t>EACH PARTY HERETO HEREBY IRREVOCABLY WAIVES ANY RIGHT IT MAY</w:t>
      </w:r>
    </w:p>
    <w:p>
      <w:pPr>
        <w:spacing w:after="0" w:line="7" w:lineRule="exact"/>
        <w:rPr>
          <w:rFonts w:ascii="Times New Roman" w:cs="Times New Roman" w:eastAsia="Times New Roman" w:hAnsi="Times New Roman"/>
          <w:sz w:val="16"/>
          <w:szCs w:val="16"/>
          <w:color w:val="auto"/>
        </w:rPr>
      </w:pPr>
    </w:p>
    <w:p>
      <w:pPr>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HAVE, AND AGREES NOT TO REQUEST, A JURY TRIAL FOR THE ADJUDICATION OF ANY DISPUTE HEREUNDER OR IN CONNECTION WITH OR ARISING OUT OF THIS WARRANT OR ANY TRANSACTION CONTEMPLATED HEREBY</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jc w:val="both"/>
        <w:ind w:firstLine="1182"/>
        <w:spacing w:after="0" w:line="262" w:lineRule="auto"/>
        <w:tabs>
          <w:tab w:leader="none" w:pos="146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 RESOLUTION</w:t>
      </w:r>
      <w:r>
        <w:rPr>
          <w:rFonts w:ascii="Times New Roman" w:cs="Times New Roman" w:eastAsia="Times New Roman" w:hAnsi="Times New Roman"/>
          <w:sz w:val="16"/>
          <w:szCs w:val="16"/>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64" w:lineRule="exact"/>
        <w:rPr>
          <w:rFonts w:ascii="Times New Roman" w:cs="Times New Roman" w:eastAsia="Times New Roman" w:hAnsi="Times New Roman"/>
          <w:sz w:val="16"/>
          <w:szCs w:val="16"/>
          <w:color w:val="auto"/>
        </w:rPr>
      </w:pPr>
    </w:p>
    <w:p>
      <w:pPr>
        <w:jc w:val="both"/>
        <w:ind w:firstLine="1182"/>
        <w:spacing w:after="0" w:line="263" w:lineRule="auto"/>
        <w:tabs>
          <w:tab w:leader="none" w:pos="142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 OTHER OBLIGATIONS, BREACHES AND INJUNCTIVE RELIEF</w:t>
      </w:r>
      <w:r>
        <w:rPr>
          <w:rFonts w:ascii="Times New Roman" w:cs="Times New Roman" w:eastAsia="Times New Roman" w:hAnsi="Times New Roman"/>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or the Company to pursue actual damages for any failure by the other party to comply with the terms of this Warrant. Each of the Company and the Holder acknowledges that a breach by such party of its obligations hereunder will cause irreparable harm to the other party and that the remedy at law for any such breach may be inadequate. The Company and the Holder therefore agree that, in the event of any such breach or threatened breach, the other party shall be entitled, in addition to all other available remedies, to an injunction restraining any breach, without the necessity of showing economic loss and without any bond or other security being required.</w:t>
      </w:r>
    </w:p>
    <w:p>
      <w:pPr>
        <w:spacing w:after="0" w:line="354" w:lineRule="exact"/>
        <w:rPr>
          <w:rFonts w:ascii="Times New Roman" w:cs="Times New Roman" w:eastAsia="Times New Roman" w:hAnsi="Times New Roman"/>
          <w:sz w:val="16"/>
          <w:szCs w:val="16"/>
          <w:color w:val="auto"/>
        </w:rPr>
      </w:pPr>
    </w:p>
    <w:p>
      <w:pPr>
        <w:ind w:left="5520" w:hanging="110"/>
        <w:spacing w:after="0"/>
        <w:tabs>
          <w:tab w:leader="none" w:pos="552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8" w:name="page49"/>
    <w:bookmarkEnd w:id="48"/>
    <w:p>
      <w:pPr>
        <w:ind w:left="-1120" w:firstLine="1182"/>
        <w:spacing w:after="0" w:line="296" w:lineRule="auto"/>
        <w:tabs>
          <w:tab w:leader="none" w:pos="32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Subject to the transfer conditions referred to in the legend hereon and compliance with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this Warrant and the Warrant Shares may be offered for sale, sold, transferred, pledged or assigned without the consent of the Company.</w:t>
      </w:r>
    </w:p>
    <w:p>
      <w:pPr>
        <w:spacing w:after="0" w:line="137" w:lineRule="exact"/>
        <w:rPr>
          <w:rFonts w:ascii="Times New Roman" w:cs="Times New Roman" w:eastAsia="Times New Roman" w:hAnsi="Times New Roman"/>
          <w:sz w:val="16"/>
          <w:szCs w:val="16"/>
          <w:color w:val="auto"/>
        </w:rPr>
      </w:pPr>
    </w:p>
    <w:p>
      <w:pPr>
        <w:ind w:left="300" w:hanging="238"/>
        <w:spacing w:after="0"/>
        <w:tabs>
          <w:tab w:leader="none" w:pos="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THE SECURITIES ACT.</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67" w:lineRule="auto"/>
        <w:tabs>
          <w:tab w:leader="none" w:pos="878"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Comply with the Securities Act; Legend</w:t>
      </w:r>
      <w:r>
        <w:rPr>
          <w:rFonts w:ascii="Times New Roman" w:cs="Times New Roman" w:eastAsia="Times New Roman" w:hAnsi="Times New Roman"/>
          <w:sz w:val="16"/>
          <w:szCs w:val="16"/>
          <w:color w:val="auto"/>
        </w:rPr>
        <w:t xml:space="preserve">. The Holder, by acceptance of this Warrant, agrees to comply in all respects with the provisions of this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and the restrictive legend requirements set forth on the face of this Warrant and further agrees that such Holder shall not offer, sell or otherwise dispose of this Warrant or any Warrant Shares to be issued upon exercise hereof except under circumstances that will not result in a violation of the Securities Act. This Warrant and all Warrant Shares issued upon exercise of this Warrant (unless registered under the Securities Act) shall be stamped or imprinted with a legend in substantially the following form:</w:t>
      </w:r>
    </w:p>
    <w:p>
      <w:pPr>
        <w:spacing w:after="0" w:line="160" w:lineRule="exact"/>
        <w:rPr>
          <w:sz w:val="20"/>
          <w:szCs w:val="20"/>
          <w:color w:val="auto"/>
        </w:rPr>
      </w:pPr>
    </w:p>
    <w:p>
      <w:pPr>
        <w:jc w:val="both"/>
        <w:ind w:left="60" w:right="1100"/>
        <w:spacing w:after="0" w:line="263" w:lineRule="auto"/>
        <w:rPr>
          <w:sz w:val="20"/>
          <w:szCs w:val="20"/>
          <w:color w:val="auto"/>
        </w:rPr>
      </w:pPr>
      <w:r>
        <w:rPr>
          <w:rFonts w:ascii="Times New Roman" w:cs="Times New Roman" w:eastAsia="Times New Roman" w:hAnsi="Times New Roman"/>
          <w:sz w:val="16"/>
          <w:szCs w:val="16"/>
          <w:color w:val="auto"/>
        </w:rPr>
        <w:t>“THE SECURITIES REPRESENTED BY THIS WARRANT, AND THE SECURITIES ISSUABLE UPON EXERCISE THEREOF,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166" w:lineRule="exact"/>
        <w:rPr>
          <w:sz w:val="20"/>
          <w:szCs w:val="20"/>
          <w:color w:val="auto"/>
        </w:rPr>
      </w:pPr>
    </w:p>
    <w:p>
      <w:pPr>
        <w:ind w:left="-1120" w:firstLine="1773"/>
        <w:spacing w:after="0" w:line="296" w:lineRule="auto"/>
        <w:tabs>
          <w:tab w:leader="none" w:pos="88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of the Holder</w:t>
      </w:r>
      <w:r>
        <w:rPr>
          <w:rFonts w:ascii="Times New Roman" w:cs="Times New Roman" w:eastAsia="Times New Roman" w:hAnsi="Times New Roman"/>
          <w:sz w:val="16"/>
          <w:szCs w:val="16"/>
          <w:color w:val="auto"/>
        </w:rPr>
        <w:t>. In connection with the issuance of this Warrant, the Holder specifically represents, as of the date hereof, to the Company by acceptance of this Warrant as follows:</w:t>
      </w:r>
    </w:p>
    <w:p>
      <w:pPr>
        <w:spacing w:after="0" w:line="137" w:lineRule="exact"/>
        <w:rPr>
          <w:rFonts w:ascii="Times New Roman" w:cs="Times New Roman" w:eastAsia="Times New Roman" w:hAnsi="Times New Roman"/>
          <w:sz w:val="16"/>
          <w:szCs w:val="16"/>
          <w:color w:val="auto"/>
        </w:rPr>
      </w:pPr>
    </w:p>
    <w:p>
      <w:pPr>
        <w:jc w:val="both"/>
        <w:ind w:left="-1120" w:firstLine="2365"/>
        <w:spacing w:after="0" w:line="277" w:lineRule="auto"/>
        <w:tabs>
          <w:tab w:leader="none" w:pos="1503"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is an “accredited investor” as defined in Rule 501(a) of Regulation D promulgated under the Securities Act. The Holder is acquiring this Warrant and the shares of Common Stock to be issued upon exercise hereof for investment for its own account and not with a view towards, or for resale in connection with, the public sale or distribution of this Warrant or the Warrant Shares, except pursuant to sales registered or exempted under the Securities Act.</w:t>
      </w:r>
    </w:p>
    <w:p>
      <w:pPr>
        <w:spacing w:after="0" w:line="151" w:lineRule="exact"/>
        <w:rPr>
          <w:rFonts w:ascii="Times New Roman" w:cs="Times New Roman" w:eastAsia="Times New Roman" w:hAnsi="Times New Roman"/>
          <w:sz w:val="16"/>
          <w:szCs w:val="16"/>
          <w:color w:val="auto"/>
        </w:rPr>
      </w:pPr>
    </w:p>
    <w:p>
      <w:pPr>
        <w:jc w:val="both"/>
        <w:ind w:left="-1120" w:firstLine="2365"/>
        <w:spacing w:after="0" w:line="267" w:lineRule="auto"/>
        <w:tabs>
          <w:tab w:leader="none" w:pos="147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understands and acknowledges that this Warrant and the shares of Common Stock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and understands the resale limitations imposed thereby and by the Securities Act.</w:t>
      </w:r>
    </w:p>
    <w:p>
      <w:pPr>
        <w:spacing w:after="0" w:line="159" w:lineRule="exact"/>
        <w:rPr>
          <w:rFonts w:ascii="Times New Roman" w:cs="Times New Roman" w:eastAsia="Times New Roman" w:hAnsi="Times New Roman"/>
          <w:sz w:val="16"/>
          <w:szCs w:val="16"/>
          <w:color w:val="auto"/>
        </w:rPr>
      </w:pPr>
    </w:p>
    <w:p>
      <w:pPr>
        <w:jc w:val="both"/>
        <w:ind w:left="-1120" w:firstLine="2365"/>
        <w:spacing w:after="0" w:line="270" w:lineRule="auto"/>
        <w:tabs>
          <w:tab w:leader="none" w:pos="1487"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the Warrant and the Warrant Shares. The Holder has had an opportunity to ask questions and receive answers from the Company regarding the terms and conditions of the offering of the Warrant and the business, properties, prospects and financial condition of the Company.</w:t>
      </w:r>
    </w:p>
    <w:p>
      <w:pPr>
        <w:spacing w:after="0" w:line="157" w:lineRule="exact"/>
        <w:rPr>
          <w:rFonts w:ascii="Times New Roman" w:cs="Times New Roman" w:eastAsia="Times New Roman" w:hAnsi="Times New Roman"/>
          <w:sz w:val="16"/>
          <w:szCs w:val="16"/>
          <w:color w:val="auto"/>
        </w:rPr>
      </w:pPr>
    </w:p>
    <w:p>
      <w:pPr>
        <w:jc w:val="both"/>
        <w:ind w:left="-1120" w:firstLine="1773"/>
        <w:spacing w:after="0" w:line="263" w:lineRule="auto"/>
        <w:tabs>
          <w:tab w:leader="none" w:pos="89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 of the Company</w:t>
      </w:r>
      <w:r>
        <w:rPr>
          <w:rFonts w:ascii="Times New Roman" w:cs="Times New Roman" w:eastAsia="Times New Roman" w:hAnsi="Times New Roman"/>
          <w:sz w:val="16"/>
          <w:szCs w:val="16"/>
          <w:color w:val="auto"/>
        </w:rPr>
        <w:t>. The Company acknowledges and agrees that the Holder may from time to time pledge pursuant to a bona fide margin agreement with a registered broker-dealer or grant a security interest in some or all of this Warrant or the Warrant Shares to a financial institution that is an “accredited investor” as defined in Rule 501(a) under the Securities Act and, if required under the terms of such arrangement, Holder may transfer any pledged or secured Warrant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Holder’s expense, the Company will execute and deliver such reasonable documentation as a pledgee or secured party of this Warrants or any Warrant Shares may reasonably request in connection with a pledge or transfer of this Warrant or any Warrant Shares.</w:t>
      </w:r>
    </w:p>
    <w:p>
      <w:pPr>
        <w:spacing w:after="0" w:line="354" w:lineRule="exact"/>
        <w:rPr>
          <w:rFonts w:ascii="Times New Roman" w:cs="Times New Roman" w:eastAsia="Times New Roman" w:hAnsi="Times New Roman"/>
          <w:sz w:val="16"/>
          <w:szCs w:val="16"/>
          <w:color w:val="auto"/>
        </w:rPr>
      </w:pPr>
    </w:p>
    <w:p>
      <w:pPr>
        <w:ind w:left="4400" w:hanging="106"/>
        <w:spacing w:after="0"/>
        <w:tabs>
          <w:tab w:leader="none" w:pos="4400"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49" w:name="page50"/>
    <w:bookmarkEnd w:id="49"/>
    <w:p>
      <w:pPr>
        <w:jc w:val="both"/>
        <w:ind w:left="-1120" w:firstLine="1773"/>
        <w:spacing w:after="0" w:line="259" w:lineRule="auto"/>
        <w:tabs>
          <w:tab w:leader="none" w:pos="887"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 of Legends</w:t>
      </w:r>
      <w:r>
        <w:rPr>
          <w:rFonts w:ascii="Times New Roman" w:cs="Times New Roman" w:eastAsia="Times New Roman" w:hAnsi="Times New Roman"/>
          <w:sz w:val="16"/>
          <w:szCs w:val="16"/>
          <w:color w:val="auto"/>
        </w:rPr>
        <w:t xml:space="preserve">. This Warrant and the Warrant Shares shall not be required to contain the legend set forth in </w:t>
      </w:r>
      <w:r>
        <w:rPr>
          <w:rFonts w:ascii="Times New Roman" w:cs="Times New Roman" w:eastAsia="Times New Roman" w:hAnsi="Times New Roman"/>
          <w:sz w:val="16"/>
          <w:szCs w:val="16"/>
          <w:u w:val="single" w:color="auto"/>
          <w:color w:val="auto"/>
        </w:rPr>
        <w:t>Section 14(a)</w:t>
      </w:r>
      <w:r>
        <w:rPr>
          <w:rFonts w:ascii="Times New Roman" w:cs="Times New Roman" w:eastAsia="Times New Roman" w:hAnsi="Times New Roman"/>
          <w:sz w:val="16"/>
          <w:szCs w:val="16"/>
          <w:color w:val="auto"/>
        </w:rPr>
        <w:t xml:space="preserve"> or any other legend (i) following any sale of the Warrant or Warrant Shares pursuant to Rule 144 (assuming the transferor is not an affiliate of the Company), provided that the Holder furnishes the Company with reasonable assurances that such Warrant or Warrant Shares are eligible for sale, assignment or transfer under Rule 144 which shall not include an opinion of the Holder’s counsel, (ii) in connection with a sale, assignment or other transfer (other than under Rule 144), provided that the Holder provides the Company with an opinion in a form reasonably acceptable to the Company to the effect that such sale, assignment or transfer of the Warrant or Warrant Shares may be made without registration under the applicable requirements of the Securities Act or (iii) if such legend is not required or customarily included under applicable provisions of the Securities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the Holder delivers notice to the Company with respect to this Warrant or any Warrant Shares issued in the form of book-entries or, if applicable, delivers a legended certificate representing Warrant Shares to the Company) following the delivery by the Holder to the Company or the Transfer Agent (with notice to the Company) of notice with respect to this Warrant or any Warrant Shares issued in the form of book-entries or, if applicable, a legended certificate representing any Warrant Shares (endorsed or with stock powers attached, signatures guaranteed, and otherwise in form necessary to affect the reissuance and/or transfer, if applicable), together with any other deliveries from the Holder as may be reasonably required above in this </w:t>
      </w:r>
      <w:r>
        <w:rPr>
          <w:rFonts w:ascii="Times New Roman" w:cs="Times New Roman" w:eastAsia="Times New Roman" w:hAnsi="Times New Roman"/>
          <w:sz w:val="16"/>
          <w:szCs w:val="16"/>
          <w:u w:val="single" w:color="auto"/>
          <w:color w:val="auto"/>
        </w:rPr>
        <w:t>Section 14(c)</w:t>
      </w:r>
      <w:r>
        <w:rPr>
          <w:rFonts w:ascii="Times New Roman" w:cs="Times New Roman" w:eastAsia="Times New Roman" w:hAnsi="Times New Roman"/>
          <w:sz w:val="16"/>
          <w:szCs w:val="16"/>
          <w:color w:val="auto"/>
        </w:rPr>
        <w:t xml:space="preserve"> (such date, the “</w:t>
      </w:r>
      <w:r>
        <w:rPr>
          <w:rFonts w:ascii="Times New Roman" w:cs="Times New Roman" w:eastAsia="Times New Roman" w:hAnsi="Times New Roman"/>
          <w:sz w:val="16"/>
          <w:szCs w:val="16"/>
          <w:b w:val="1"/>
          <w:bCs w:val="1"/>
          <w:color w:val="auto"/>
        </w:rPr>
        <w:t>Legend Removal Date</w:t>
      </w:r>
      <w:r>
        <w:rPr>
          <w:rFonts w:ascii="Times New Roman" w:cs="Times New Roman" w:eastAsia="Times New Roman" w:hAnsi="Times New Roman"/>
          <w:sz w:val="16"/>
          <w:szCs w:val="16"/>
          <w:color w:val="auto"/>
        </w:rPr>
        <w:t>”), as directed by the Holder, either: (A) provided that the Transfer Agent is participating in FAST, credit the applicable number of Warrant Shares to the Holder’s or its designee’s balance account with DTC through its Deposit/Withdrawal at Custodian system or (B) with respect to this Warrant or if the Transfer Agent is not participating in FAST, issue and deliver (via reputable overnight courier) to the Holder, an updated form of this Warrant or a certificate representing Warrant Shares, as applicable, in the case of each of clauses (A) and (B) above, free from all restrictive and other legends, registered in the name of the Holder or its designee. The Company shall be responsible for any transfer agent fees or DTC fees with respect to any issuance of Warrant Shares or the removal of any legends with respect to this Warrant or any Warrant Shares in accordance herewith. Notwithstanding the foregoing, the Company and the Holder acknowledge and agree that the Warrant and the Warrant Shares will continue to have a holding period under Rule 144, that will be deemed to have commenced as of March 23, 2022. The Company further acknowledges and agrees that it will neither assert nor maintain a contrary position with respect to the date of commencement of the holding period under Rule 144 with respect to the Warrant and the Warrant Shares.</w:t>
      </w:r>
    </w:p>
    <w:p>
      <w:pPr>
        <w:spacing w:after="0" w:line="365" w:lineRule="exact"/>
        <w:rPr>
          <w:rFonts w:ascii="Times New Roman" w:cs="Times New Roman" w:eastAsia="Times New Roman" w:hAnsi="Times New Roman"/>
          <w:sz w:val="16"/>
          <w:szCs w:val="16"/>
          <w:color w:val="auto"/>
        </w:rPr>
      </w:pPr>
    </w:p>
    <w:p>
      <w:pPr>
        <w:jc w:val="both"/>
        <w:ind w:left="-1120" w:firstLine="1773"/>
        <w:spacing w:after="0" w:line="260" w:lineRule="auto"/>
        <w:tabs>
          <w:tab w:leader="none" w:pos="90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Holder’s other available remedies hereunder, the Company shall pay to the Holder, in cash, (i) as partial liquidated damages and not as a penalty, for each $1,000 of Warrant Shares (based on the Weighted Average Price of the Common Stock on the date the Holder delivers notice or a legended certificate, as applicable, to the Company or the Transfer Agent with respect to such Warrant Shares pursuant to </w:t>
      </w:r>
      <w:r>
        <w:rPr>
          <w:rFonts w:ascii="Times New Roman" w:cs="Times New Roman" w:eastAsia="Times New Roman" w:hAnsi="Times New Roman"/>
          <w:sz w:val="16"/>
          <w:szCs w:val="16"/>
          <w:u w:val="single" w:color="auto"/>
          <w:color w:val="auto"/>
        </w:rPr>
        <w:t>Section 14(d)</w:t>
      </w:r>
      <w:r>
        <w:rPr>
          <w:rFonts w:ascii="Times New Roman" w:cs="Times New Roman" w:eastAsia="Times New Roman" w:hAnsi="Times New Roman"/>
          <w:sz w:val="16"/>
          <w:szCs w:val="16"/>
          <w:color w:val="auto"/>
        </w:rPr>
        <w:t xml:space="preserve">) delivered for removal of the restrictive legend and subject to </w:t>
      </w:r>
      <w:r>
        <w:rPr>
          <w:rFonts w:ascii="Times New Roman" w:cs="Times New Roman" w:eastAsia="Times New Roman" w:hAnsi="Times New Roman"/>
          <w:sz w:val="16"/>
          <w:szCs w:val="16"/>
          <w:u w:val="single" w:color="auto"/>
          <w:color w:val="auto"/>
        </w:rPr>
        <w:t>Section 14(d)</w:t>
      </w:r>
      <w:r>
        <w:rPr>
          <w:rFonts w:ascii="Times New Roman" w:cs="Times New Roman" w:eastAsia="Times New Roman" w:hAnsi="Times New Roman"/>
          <w:sz w:val="16"/>
          <w:szCs w:val="16"/>
          <w:color w:val="auto"/>
        </w:rPr>
        <w:t xml:space="preserve">, $10 per Trading Day (increasing to $20 per Trading Day five (5) Trading Days after such damages have begun to accrue) for each Trading Day after the Legend Removal Date until such Warrant Shares are delivered without a legend and (ii) if the Company is obligated to remove the restrictive legends pursuant to </w:t>
      </w:r>
      <w:r>
        <w:rPr>
          <w:rFonts w:ascii="Times New Roman" w:cs="Times New Roman" w:eastAsia="Times New Roman" w:hAnsi="Times New Roman"/>
          <w:sz w:val="16"/>
          <w:szCs w:val="16"/>
          <w:u w:val="single" w:color="auto"/>
          <w:color w:val="auto"/>
        </w:rPr>
        <w:t>Section 14(d)</w:t>
      </w:r>
      <w:r>
        <w:rPr>
          <w:rFonts w:ascii="Times New Roman" w:cs="Times New Roman" w:eastAsia="Times New Roman" w:hAnsi="Times New Roman"/>
          <w:sz w:val="16"/>
          <w:szCs w:val="16"/>
          <w:color w:val="auto"/>
        </w:rPr>
        <w:t xml:space="preserve"> but fails to (a) issue and deliver (or cause to be delivered) Warrant Shares to the Holder by the Legend Removal Date that are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Warrant Shares that the Company was required to deliver to the Holder by the Legend Removal Date multiplied by (B) the price at which the sell order giving rise to such purchase obligation was executed.</w:t>
      </w:r>
    </w:p>
    <w:p>
      <w:pPr>
        <w:spacing w:after="0" w:line="171" w:lineRule="exact"/>
        <w:rPr>
          <w:rFonts w:ascii="Times New Roman" w:cs="Times New Roman" w:eastAsia="Times New Roman" w:hAnsi="Times New Roman"/>
          <w:sz w:val="16"/>
          <w:szCs w:val="16"/>
          <w:color w:val="auto"/>
        </w:rPr>
      </w:pPr>
    </w:p>
    <w:p>
      <w:pPr>
        <w:jc w:val="both"/>
        <w:ind w:left="-1120" w:firstLine="1773"/>
        <w:spacing w:after="0" w:line="277" w:lineRule="auto"/>
        <w:tabs>
          <w:tab w:leader="none" w:pos="86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facilitate the Company filing a registration statement covering the issuance or resale of any Warrant Shares issued and issuable upon exercise of this Warrant, the Holder hereby agrees to provide the Company with, following reasonable advance written request by the Company, an executed selling stockholder questionnaire in a form reasonably acceptable to the Holder and the Company as is customary under the circumstances.</w:t>
      </w:r>
    </w:p>
    <w:p>
      <w:pPr>
        <w:spacing w:after="0" w:line="340" w:lineRule="exact"/>
        <w:rPr>
          <w:rFonts w:ascii="Times New Roman" w:cs="Times New Roman" w:eastAsia="Times New Roman" w:hAnsi="Times New Roman"/>
          <w:sz w:val="16"/>
          <w:szCs w:val="16"/>
          <w:color w:val="auto"/>
        </w:rPr>
      </w:pPr>
    </w:p>
    <w:p>
      <w:pPr>
        <w:ind w:left="4400" w:hanging="110"/>
        <w:spacing w:after="0"/>
        <w:tabs>
          <w:tab w:leader="none" w:pos="44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50" w:name="page51"/>
    <w:bookmarkEnd w:id="50"/>
    <w:p>
      <w:pPr>
        <w:jc w:val="both"/>
        <w:ind w:left="-1120" w:firstLine="1182"/>
        <w:spacing w:after="0" w:line="262" w:lineRule="auto"/>
        <w:tabs>
          <w:tab w:leader="none" w:pos="3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CONSTRUCTION; HEADINGS</w:t>
      </w:r>
      <w:r>
        <w:rPr>
          <w:rFonts w:ascii="Times New Roman" w:cs="Times New Roman" w:eastAsia="Times New Roman" w:hAnsi="Times New Roman"/>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64" w:lineRule="exact"/>
        <w:rPr>
          <w:rFonts w:ascii="Times New Roman" w:cs="Times New Roman" w:eastAsia="Times New Roman" w:hAnsi="Times New Roman"/>
          <w:sz w:val="16"/>
          <w:szCs w:val="16"/>
          <w:color w:val="auto"/>
        </w:rPr>
      </w:pPr>
    </w:p>
    <w:p>
      <w:pPr>
        <w:jc w:val="both"/>
        <w:ind w:left="-1120" w:firstLine="1182"/>
        <w:spacing w:after="0" w:line="262" w:lineRule="auto"/>
        <w:tabs>
          <w:tab w:leader="none" w:pos="32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xml:space="preserve">.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shall limit any obligations of the Company, or any rights of the Holder, under any other agreement by and between the Company and the Holder.</w:t>
      </w:r>
    </w:p>
    <w:p>
      <w:pPr>
        <w:spacing w:after="0" w:line="164" w:lineRule="exact"/>
        <w:rPr>
          <w:rFonts w:ascii="Times New Roman" w:cs="Times New Roman" w:eastAsia="Times New Roman" w:hAnsi="Times New Roman"/>
          <w:sz w:val="16"/>
          <w:szCs w:val="16"/>
          <w:color w:val="auto"/>
        </w:rPr>
      </w:pPr>
    </w:p>
    <w:p>
      <w:pPr>
        <w:jc w:val="both"/>
        <w:ind w:left="-1120" w:firstLine="1182"/>
        <w:spacing w:after="0" w:line="265" w:lineRule="auto"/>
        <w:tabs>
          <w:tab w:leader="none" w:pos="32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TRADING AND DISCLOSURE RESTRICTIONS</w:t>
      </w:r>
      <w:r>
        <w:rPr>
          <w:rFonts w:ascii="Times New Roman" w:cs="Times New Roman" w:eastAsia="Times New Roman" w:hAnsi="Times New Roman"/>
          <w:sz w:val="16"/>
          <w:szCs w:val="16"/>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61" w:lineRule="exact"/>
        <w:rPr>
          <w:rFonts w:ascii="Times New Roman" w:cs="Times New Roman" w:eastAsia="Times New Roman" w:hAnsi="Times New Roman"/>
          <w:sz w:val="16"/>
          <w:szCs w:val="16"/>
          <w:color w:val="auto"/>
        </w:rPr>
      </w:pPr>
    </w:p>
    <w:p>
      <w:pPr>
        <w:jc w:val="both"/>
        <w:ind w:left="-1120" w:firstLine="1182"/>
        <w:spacing w:after="0" w:line="267" w:lineRule="auto"/>
        <w:tabs>
          <w:tab w:leader="none" w:pos="30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ELECTRONIC SIGNATURES</w:t>
      </w:r>
      <w:r>
        <w:rPr>
          <w:rFonts w:ascii="Times New Roman" w:cs="Times New Roman" w:eastAsia="Times New Roman" w:hAnsi="Times New Roman"/>
          <w:sz w:val="16"/>
          <w:szCs w:val="16"/>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59" w:lineRule="exact"/>
        <w:rPr>
          <w:rFonts w:ascii="Times New Roman" w:cs="Times New Roman" w:eastAsia="Times New Roman" w:hAnsi="Times New Roman"/>
          <w:sz w:val="16"/>
          <w:szCs w:val="16"/>
          <w:color w:val="auto"/>
        </w:rPr>
      </w:pPr>
    </w:p>
    <w:p>
      <w:pPr>
        <w:ind w:left="300" w:hanging="238"/>
        <w:spacing w:after="0"/>
        <w:tabs>
          <w:tab w:leader="none" w:pos="3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For purposes of this Warrant, the following terms shall have the following meanings:</w:t>
      </w:r>
    </w:p>
    <w:p>
      <w:pPr>
        <w:spacing w:after="0" w:line="206" w:lineRule="exact"/>
        <w:rPr>
          <w:rFonts w:ascii="Times New Roman" w:cs="Times New Roman" w:eastAsia="Times New Roman" w:hAnsi="Times New Roman"/>
          <w:sz w:val="16"/>
          <w:szCs w:val="16"/>
          <w:color w:val="auto"/>
        </w:rPr>
      </w:pPr>
    </w:p>
    <w:p>
      <w:pPr>
        <w:jc w:val="both"/>
        <w:ind w:left="-1120" w:firstLine="1773"/>
        <w:spacing w:after="0" w:line="272" w:lineRule="auto"/>
        <w:tabs>
          <w:tab w:leader="none" w:pos="89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51" w:lineRule="exact"/>
        <w:rPr>
          <w:rFonts w:ascii="Times New Roman" w:cs="Times New Roman" w:eastAsia="Times New Roman" w:hAnsi="Times New Roman"/>
          <w:sz w:val="16"/>
          <w:szCs w:val="16"/>
          <w:color w:val="auto"/>
        </w:rPr>
      </w:pPr>
    </w:p>
    <w:p>
      <w:pPr>
        <w:jc w:val="both"/>
        <w:ind w:left="-1120" w:firstLine="1773"/>
        <w:spacing w:after="0" w:line="266" w:lineRule="auto"/>
        <w:tabs>
          <w:tab w:leader="none" w:pos="887"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Attribution Parties</w:t>
      </w:r>
      <w:r>
        <w:rPr>
          <w:rFonts w:ascii="Times New Roman" w:cs="Times New Roman" w:eastAsia="Times New Roman" w:hAnsi="Times New Roman"/>
          <w:sz w:val="16"/>
          <w:szCs w:val="16"/>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49" w:lineRule="exact"/>
        <w:rPr>
          <w:rFonts w:ascii="Times New Roman" w:cs="Times New Roman" w:eastAsia="Times New Roman" w:hAnsi="Times New Roman"/>
          <w:sz w:val="16"/>
          <w:szCs w:val="16"/>
          <w:color w:val="auto"/>
        </w:rPr>
      </w:pPr>
    </w:p>
    <w:p>
      <w:pPr>
        <w:ind w:left="4400" w:hanging="110"/>
        <w:spacing w:after="0"/>
        <w:tabs>
          <w:tab w:leader="none" w:pos="440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51" w:name="page52"/>
    <w:bookmarkEnd w:id="51"/>
    <w:p>
      <w:pPr>
        <w:jc w:val="both"/>
        <w:ind w:left="-1120" w:firstLine="1773"/>
        <w:spacing w:after="0" w:line="262" w:lineRule="auto"/>
        <w:tabs>
          <w:tab w:leader="none" w:pos="89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Bid Price</w:t>
      </w:r>
      <w:r>
        <w:rPr>
          <w:rFonts w:ascii="Times New Roman" w:cs="Times New Roman" w:eastAsia="Times New Roman" w:hAnsi="Times New Roman"/>
          <w:sz w:val="16"/>
          <w:szCs w:val="16"/>
          <w:color w:val="auto"/>
        </w:rPr>
        <w:t xml:space="preserve">”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All such determinations shall be appropriately adjusted for any stock dividend, stock split, stock combination or other similar transaction during such period.</w:t>
      </w:r>
    </w:p>
    <w:p>
      <w:pPr>
        <w:spacing w:after="0" w:line="160" w:lineRule="exact"/>
        <w:rPr>
          <w:rFonts w:ascii="Times New Roman" w:cs="Times New Roman" w:eastAsia="Times New Roman" w:hAnsi="Times New Roman"/>
          <w:sz w:val="16"/>
          <w:szCs w:val="16"/>
          <w:color w:val="auto"/>
        </w:rPr>
      </w:pPr>
    </w:p>
    <w:p>
      <w:pPr>
        <w:jc w:val="both"/>
        <w:ind w:left="-1120" w:firstLine="1773"/>
        <w:spacing w:after="0" w:line="262" w:lineRule="auto"/>
        <w:tabs>
          <w:tab w:leader="none" w:pos="88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Black Scholes Value</w:t>
      </w:r>
      <w:r>
        <w:rPr>
          <w:rFonts w:ascii="Times New Roman" w:cs="Times New Roman" w:eastAsia="Times New Roman" w:hAnsi="Times New Roman"/>
          <w:sz w:val="16"/>
          <w:szCs w:val="16"/>
          <w:color w:val="auto"/>
        </w:rPr>
        <w:t>” means the value of this Warrant based on the Black-Scholes Option Pricing Model obtained from the “OV” function on Bloomberg determined as of the day immediately following the first public announcement of the applicable Change of Control, or, if the Change of Control is not publicly announced, the date the Change of Control is consummated, for pricing purposes and reflecting (i) a risk-free interest rate corresponding to the U.S. Treasury rate for a period equal to the remaining term of this Warrant as of such date of request, (ii) an expected volatility equal to 75%, (iii) the underlying price per share used in such calculation shall be the greater of (a) the sum of the price per share being offered in cash, if any, plus the value of any non-cash consideration, if any, being offered in such Change of Control and (b) the greater of (1) the last Weighted Average Price immediately prior to the announcement of such Change of Control, (2) the Weighted Average Price immediately after the announcement of such Change of Control and (3) the last Weighted Average Price immediately prior to the consummation of such Change of Control, (iv) a remaining option time equal to the time between the date of the public announcement of the applicable Change of Control and the Expiration Date and (v) a zero cost of borrow.</w:t>
      </w:r>
    </w:p>
    <w:p>
      <w:pPr>
        <w:spacing w:after="0" w:line="164" w:lineRule="exact"/>
        <w:rPr>
          <w:rFonts w:ascii="Times New Roman" w:cs="Times New Roman" w:eastAsia="Times New Roman" w:hAnsi="Times New Roman"/>
          <w:sz w:val="16"/>
          <w:szCs w:val="16"/>
          <w:color w:val="auto"/>
        </w:rPr>
      </w:pPr>
    </w:p>
    <w:p>
      <w:pPr>
        <w:ind w:left="880" w:hanging="227"/>
        <w:spacing w:after="0"/>
        <w:tabs>
          <w:tab w:leader="none" w:pos="8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Bloomberg</w:t>
      </w:r>
      <w:r>
        <w:rPr>
          <w:rFonts w:ascii="Times New Roman" w:cs="Times New Roman" w:eastAsia="Times New Roman" w:hAnsi="Times New Roman"/>
          <w:sz w:val="16"/>
          <w:szCs w:val="16"/>
          <w:color w:val="auto"/>
        </w:rPr>
        <w:t>” means Bloomberg Financial Markets.</w:t>
      </w:r>
    </w:p>
    <w:p>
      <w:pPr>
        <w:spacing w:after="0" w:line="210" w:lineRule="exact"/>
        <w:rPr>
          <w:rFonts w:ascii="Times New Roman" w:cs="Times New Roman" w:eastAsia="Times New Roman" w:hAnsi="Times New Roman"/>
          <w:sz w:val="16"/>
          <w:szCs w:val="16"/>
          <w:color w:val="auto"/>
        </w:rPr>
      </w:pPr>
    </w:p>
    <w:p>
      <w:pPr>
        <w:ind w:left="-1120" w:firstLine="1773"/>
        <w:spacing w:after="0" w:line="302" w:lineRule="auto"/>
        <w:tabs>
          <w:tab w:leader="none" w:pos="88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other day on which commercial banks in The City of New York are authorized or required by law to remain closed.</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61" w:lineRule="auto"/>
        <w:tabs>
          <w:tab w:leader="none" w:pos="91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equal to or greater than 50% of the Company’s market capitalization as calculated on the date of the announcement of such merger and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365" w:lineRule="exact"/>
        <w:rPr>
          <w:rFonts w:ascii="Times New Roman" w:cs="Times New Roman" w:eastAsia="Times New Roman" w:hAnsi="Times New Roman"/>
          <w:sz w:val="16"/>
          <w:szCs w:val="16"/>
          <w:color w:val="auto"/>
        </w:rPr>
      </w:pPr>
    </w:p>
    <w:p>
      <w:pPr>
        <w:jc w:val="both"/>
        <w:ind w:left="-1120" w:firstLine="1773"/>
        <w:spacing w:after="0" w:line="261" w:lineRule="auto"/>
        <w:tabs>
          <w:tab w:leader="none" w:pos="899"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Sale Price</w:t>
      </w:r>
      <w:r>
        <w:rPr>
          <w:rFonts w:ascii="Times New Roman" w:cs="Times New Roman" w:eastAsia="Times New Roman" w:hAnsi="Times New Roman"/>
          <w:sz w:val="16"/>
          <w:szCs w:val="16"/>
          <w:color w:val="auto"/>
        </w:rPr>
        <w:t xml:space="preserve">” means, for any security as of any date, the last closing trade price, respectively,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OTC Link or on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All such determinations to be appropriately adjusted for any stock dividend, stock split, stock combination, reclassification or other similar transaction during the applicable calculation period.</w:t>
      </w:r>
    </w:p>
    <w:p>
      <w:pPr>
        <w:spacing w:after="0" w:line="357" w:lineRule="exact"/>
        <w:rPr>
          <w:rFonts w:ascii="Times New Roman" w:cs="Times New Roman" w:eastAsia="Times New Roman" w:hAnsi="Times New Roman"/>
          <w:sz w:val="16"/>
          <w:szCs w:val="16"/>
          <w:color w:val="auto"/>
        </w:rPr>
      </w:pPr>
    </w:p>
    <w:p>
      <w:pPr>
        <w:ind w:left="4400" w:hanging="110"/>
        <w:spacing w:after="0"/>
        <w:tabs>
          <w:tab w:leader="none" w:pos="44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4" w:right="339" w:bottom="1440" w:gutter="0" w:footer="0" w:header="0"/>
        </w:sectPr>
      </w:pPr>
    </w:p>
    <w:bookmarkStart w:id="52" w:name="page53"/>
    <w:bookmarkEnd w:id="52"/>
    <w:p>
      <w:pPr>
        <w:ind w:left="-1120" w:firstLine="1773"/>
        <w:spacing w:after="0" w:line="302" w:lineRule="auto"/>
        <w:tabs>
          <w:tab w:leader="none" w:pos="85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(i) the Company’s Common Stock, par value $0.001 per share, and (ii) any capital stock into which such Common Stock shall have been changed or any capital stock resulting from a reclassification of such Common Stock.</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79" w:lineRule="auto"/>
        <w:tabs>
          <w:tab w:leader="none" w:pos="85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Convertible Securities</w:t>
      </w:r>
      <w:r>
        <w:rPr>
          <w:rFonts w:ascii="Times New Roman" w:cs="Times New Roman" w:eastAsia="Times New Roman" w:hAnsi="Times New Roman"/>
          <w:sz w:val="16"/>
          <w:szCs w:val="16"/>
          <w:color w:val="auto"/>
        </w:rPr>
        <w:t>” means any capital stock or other security of the Company or any of its subsidiaries (other than Options) that is at any time and under any circumstances directly or indirectly convertible into, exercisable or exchangeable for, or which otherwise entitles the holder thereof to acquire, any capital stock or other security of the Company (including, without limitation, shares of Common Stock) or any of its subsidiaries.</w:t>
      </w:r>
    </w:p>
    <w:p>
      <w:pPr>
        <w:spacing w:after="0" w:line="147" w:lineRule="exact"/>
        <w:rPr>
          <w:rFonts w:ascii="Times New Roman" w:cs="Times New Roman" w:eastAsia="Times New Roman" w:hAnsi="Times New Roman"/>
          <w:sz w:val="16"/>
          <w:szCs w:val="16"/>
          <w:color w:val="auto"/>
        </w:rPr>
      </w:pPr>
    </w:p>
    <w:p>
      <w:pPr>
        <w:jc w:val="both"/>
        <w:ind w:left="-1120" w:firstLine="1773"/>
        <w:spacing w:after="0" w:line="266" w:lineRule="auto"/>
        <w:tabs>
          <w:tab w:leader="none" w:pos="88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any VWAP Trading Day, the per share volume-weighted average price of the Common Stock as displayed under the heading “Bloomberg VWAP” on Bloomberg page “MWK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56" w:lineRule="exact"/>
        <w:rPr>
          <w:rFonts w:ascii="Times New Roman" w:cs="Times New Roman" w:eastAsia="Times New Roman" w:hAnsi="Times New Roman"/>
          <w:sz w:val="16"/>
          <w:szCs w:val="16"/>
          <w:color w:val="auto"/>
        </w:rPr>
      </w:pPr>
    </w:p>
    <w:p>
      <w:pPr>
        <w:ind w:left="-1120" w:firstLine="1773"/>
        <w:spacing w:after="0" w:line="302" w:lineRule="auto"/>
        <w:tabs>
          <w:tab w:leader="none" w:pos="86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Market</w:t>
      </w:r>
      <w:r>
        <w:rPr>
          <w:rFonts w:ascii="Times New Roman" w:cs="Times New Roman" w:eastAsia="Times New Roman" w:hAnsi="Times New Roman"/>
          <w:sz w:val="16"/>
          <w:szCs w:val="16"/>
          <w:color w:val="auto"/>
        </w:rPr>
        <w:t>” means The Nasdaq Capital Market, the NYSE American LLC, The Nasdaq Global Select Market, The Nasdaq Global Market or The New York Stock Exchange, Inc.</w:t>
      </w:r>
    </w:p>
    <w:p>
      <w:pPr>
        <w:spacing w:after="0" w:line="128" w:lineRule="exact"/>
        <w:rPr>
          <w:rFonts w:ascii="Times New Roman" w:cs="Times New Roman" w:eastAsia="Times New Roman" w:hAnsi="Times New Roman"/>
          <w:sz w:val="16"/>
          <w:szCs w:val="16"/>
          <w:color w:val="auto"/>
        </w:rPr>
      </w:pPr>
    </w:p>
    <w:p>
      <w:pPr>
        <w:ind w:left="-1120" w:firstLine="1773"/>
        <w:spacing w:after="0" w:line="302" w:lineRule="auto"/>
        <w:tabs>
          <w:tab w:leader="none" w:pos="93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means the date that is five (5) years and six (6) months after the Issuance Date or, if such date falls on a day other than a Business Day or on which trading does not take place on the Principal Market (a “</w:t>
      </w:r>
      <w:r>
        <w:rPr>
          <w:rFonts w:ascii="Times New Roman" w:cs="Times New Roman" w:eastAsia="Times New Roman" w:hAnsi="Times New Roman"/>
          <w:sz w:val="16"/>
          <w:szCs w:val="16"/>
          <w:b w:val="1"/>
          <w:bCs w:val="1"/>
          <w:color w:val="auto"/>
        </w:rPr>
        <w:t>Holiday</w:t>
      </w:r>
      <w:r>
        <w:rPr>
          <w:rFonts w:ascii="Times New Roman" w:cs="Times New Roman" w:eastAsia="Times New Roman" w:hAnsi="Times New Roman"/>
          <w:sz w:val="16"/>
          <w:szCs w:val="16"/>
          <w:color w:val="auto"/>
        </w:rPr>
        <w:t>”), the next day that is not a Holiday.</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58" w:lineRule="auto"/>
        <w:tabs>
          <w:tab w:leader="none" w:pos="92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Transaction</w:t>
      </w:r>
      <w:r>
        <w:rPr>
          <w:rFonts w:ascii="Times New Roman" w:cs="Times New Roman" w:eastAsia="Times New Roman" w:hAnsi="Times New Roman"/>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(ii) sell, assign, transfer, convey or otherwise dispose of all or substantially all of the properties or assets of the Company or any of its “significant subsidiaries” (as defined in Rule 1-02 of Regulation S-X) to one or more Subject Entities,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77" w:lineRule="exact"/>
        <w:rPr>
          <w:rFonts w:ascii="Times New Roman" w:cs="Times New Roman" w:eastAsia="Times New Roman" w:hAnsi="Times New Roman"/>
          <w:sz w:val="16"/>
          <w:szCs w:val="16"/>
          <w:color w:val="auto"/>
        </w:rPr>
      </w:pPr>
    </w:p>
    <w:p>
      <w:pPr>
        <w:ind w:left="880" w:hanging="227"/>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means a “group” as that term is used in Section 13(d) of the 1934 Act and as defined in Rule 13d-5 thereunder.</w:t>
      </w:r>
    </w:p>
    <w:p>
      <w:pPr>
        <w:spacing w:after="0" w:line="210" w:lineRule="exact"/>
        <w:rPr>
          <w:rFonts w:ascii="Times New Roman" w:cs="Times New Roman" w:eastAsia="Times New Roman" w:hAnsi="Times New Roman"/>
          <w:sz w:val="16"/>
          <w:szCs w:val="16"/>
          <w:color w:val="auto"/>
        </w:rPr>
      </w:pPr>
    </w:p>
    <w:p>
      <w:pPr>
        <w:ind w:left="880" w:hanging="227"/>
        <w:spacing w:after="0"/>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means any rights, warrants or options to subscribe for or purchase shares of Common Stock or Convertible Securities.</w:t>
      </w:r>
    </w:p>
    <w:p>
      <w:pPr>
        <w:spacing w:after="0" w:line="200" w:lineRule="exact"/>
        <w:rPr>
          <w:rFonts w:ascii="Times New Roman" w:cs="Times New Roman" w:eastAsia="Times New Roman" w:hAnsi="Times New Roman"/>
          <w:sz w:val="16"/>
          <w:szCs w:val="16"/>
          <w:color w:val="auto"/>
        </w:rPr>
      </w:pPr>
    </w:p>
    <w:p>
      <w:pPr>
        <w:spacing w:after="0" w:line="202" w:lineRule="exact"/>
        <w:rPr>
          <w:rFonts w:ascii="Times New Roman" w:cs="Times New Roman" w:eastAsia="Times New Roman" w:hAnsi="Times New Roman"/>
          <w:sz w:val="16"/>
          <w:szCs w:val="16"/>
          <w:color w:val="auto"/>
        </w:rPr>
      </w:pPr>
    </w:p>
    <w:p>
      <w:pPr>
        <w:ind w:left="4400" w:hanging="110"/>
        <w:spacing w:after="0"/>
        <w:tabs>
          <w:tab w:leader="none" w:pos="44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10795</wp:posOffset>
            </wp:positionV>
            <wp:extent cx="714438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4" w:right="339" w:bottom="1440" w:gutter="0" w:footer="0" w:header="0"/>
        </w:sectPr>
      </w:pPr>
    </w:p>
    <w:bookmarkStart w:id="53" w:name="page54"/>
    <w:bookmarkEnd w:id="53"/>
    <w:p>
      <w:pPr>
        <w:jc w:val="both"/>
        <w:ind w:firstLine="1773"/>
        <w:spacing w:after="0" w:line="272" w:lineRule="auto"/>
        <w:tabs>
          <w:tab w:leader="none" w:pos="203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Parent Entity</w:t>
      </w:r>
      <w:r>
        <w:rPr>
          <w:rFonts w:ascii="Times New Roman" w:cs="Times New Roman" w:eastAsia="Times New Roman" w:hAnsi="Times New Roman"/>
          <w:sz w:val="16"/>
          <w:szCs w:val="16"/>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51" w:lineRule="exact"/>
        <w:rPr>
          <w:rFonts w:ascii="Times New Roman" w:cs="Times New Roman" w:eastAsia="Times New Roman" w:hAnsi="Times New Roman"/>
          <w:sz w:val="16"/>
          <w:szCs w:val="16"/>
          <w:color w:val="auto"/>
        </w:rPr>
      </w:pPr>
    </w:p>
    <w:p>
      <w:pPr>
        <w:ind w:firstLine="1773"/>
        <w:spacing w:after="0" w:line="302" w:lineRule="auto"/>
        <w:tabs>
          <w:tab w:leader="none" w:pos="201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128" w:lineRule="exact"/>
        <w:rPr>
          <w:rFonts w:ascii="Times New Roman" w:cs="Times New Roman" w:eastAsia="Times New Roman" w:hAnsi="Times New Roman"/>
          <w:sz w:val="16"/>
          <w:szCs w:val="16"/>
          <w:color w:val="auto"/>
        </w:rPr>
      </w:pPr>
    </w:p>
    <w:p>
      <w:pPr>
        <w:ind w:left="1980" w:hanging="207"/>
        <w:spacing w:after="0"/>
        <w:tabs>
          <w:tab w:leader="none" w:pos="19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 Market</w:t>
      </w:r>
      <w:r>
        <w:rPr>
          <w:rFonts w:ascii="Times New Roman" w:cs="Times New Roman" w:eastAsia="Times New Roman" w:hAnsi="Times New Roman"/>
          <w:sz w:val="16"/>
          <w:szCs w:val="16"/>
          <w:color w:val="auto"/>
        </w:rPr>
        <w:t>” means The Nasdaq Capital Market.</w:t>
      </w:r>
    </w:p>
    <w:p>
      <w:pPr>
        <w:spacing w:after="0" w:line="210" w:lineRule="exact"/>
        <w:rPr>
          <w:rFonts w:ascii="Times New Roman" w:cs="Times New Roman" w:eastAsia="Times New Roman" w:hAnsi="Times New Roman"/>
          <w:sz w:val="16"/>
          <w:szCs w:val="16"/>
          <w:color w:val="auto"/>
        </w:rPr>
      </w:pPr>
    </w:p>
    <w:p>
      <w:pPr>
        <w:ind w:firstLine="1773"/>
        <w:spacing w:after="0" w:line="302" w:lineRule="auto"/>
        <w:tabs>
          <w:tab w:leader="none" w:pos="197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“Standard Settlement Period” </w:t>
      </w:r>
      <w:r>
        <w:rPr>
          <w:rFonts w:ascii="Times New Roman" w:cs="Times New Roman" w:eastAsia="Times New Roman" w:hAnsi="Times New Roman"/>
          <w:sz w:val="16"/>
          <w:szCs w:val="16"/>
          <w:color w:val="auto"/>
        </w:rPr>
        <w:t>means the standard settlement period, expressed in a number of Trading Days, for the Company’s primary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trading market or quotation system with respect to the Common Stock that is in effect on the date of receipt of an applicable Exercise Notice.</w:t>
      </w:r>
    </w:p>
    <w:p>
      <w:pPr>
        <w:spacing w:after="0" w:line="128"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Subject Entity</w:t>
      </w:r>
      <w:r>
        <w:rPr>
          <w:rFonts w:ascii="Times New Roman" w:cs="Times New Roman" w:eastAsia="Times New Roman" w:hAnsi="Times New Roman"/>
          <w:sz w:val="16"/>
          <w:szCs w:val="16"/>
          <w:color w:val="auto"/>
        </w:rPr>
        <w:t>” means any Person, Persons or Group or any Affiliate or associate of any such Person, Persons or Group.</w:t>
      </w:r>
    </w:p>
    <w:p>
      <w:pPr>
        <w:spacing w:after="0" w:line="210" w:lineRule="exact"/>
        <w:rPr>
          <w:rFonts w:ascii="Times New Roman" w:cs="Times New Roman" w:eastAsia="Times New Roman" w:hAnsi="Times New Roman"/>
          <w:sz w:val="16"/>
          <w:szCs w:val="16"/>
          <w:color w:val="auto"/>
        </w:rPr>
      </w:pPr>
    </w:p>
    <w:p>
      <w:pPr>
        <w:jc w:val="both"/>
        <w:ind w:firstLine="1773"/>
        <w:spacing w:after="0" w:line="279" w:lineRule="auto"/>
        <w:tabs>
          <w:tab w:leader="none" w:pos="201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Entity</w:t>
      </w:r>
      <w:r>
        <w:rPr>
          <w:rFonts w:ascii="Times New Roman" w:cs="Times New Roman" w:eastAsia="Times New Roman" w:hAnsi="Times New Roman"/>
          <w:sz w:val="16"/>
          <w:szCs w:val="16"/>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47" w:lineRule="exact"/>
        <w:rPr>
          <w:rFonts w:ascii="Times New Roman" w:cs="Times New Roman" w:eastAsia="Times New Roman" w:hAnsi="Times New Roman"/>
          <w:sz w:val="16"/>
          <w:szCs w:val="16"/>
          <w:color w:val="auto"/>
        </w:rPr>
      </w:pPr>
    </w:p>
    <w:p>
      <w:pPr>
        <w:ind w:firstLine="1773"/>
        <w:spacing w:after="0" w:line="302" w:lineRule="auto"/>
        <w:tabs>
          <w:tab w:leader="none" w:pos="205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128" w:lineRule="exact"/>
        <w:rPr>
          <w:rFonts w:ascii="Times New Roman" w:cs="Times New Roman" w:eastAsia="Times New Roman" w:hAnsi="Times New Roman"/>
          <w:sz w:val="16"/>
          <w:szCs w:val="16"/>
          <w:color w:val="auto"/>
        </w:rPr>
      </w:pPr>
    </w:p>
    <w:p>
      <w:pPr>
        <w:ind w:firstLine="1773"/>
        <w:spacing w:after="0" w:line="302" w:lineRule="auto"/>
        <w:tabs>
          <w:tab w:leader="none" w:pos="201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means any agreement entered into by and between the Company and the Holder, as applicable, in connection with or pursuant to this Warrant.</w:t>
      </w:r>
    </w:p>
    <w:p>
      <w:pPr>
        <w:spacing w:after="0" w:line="128" w:lineRule="exact"/>
        <w:rPr>
          <w:rFonts w:ascii="Times New Roman" w:cs="Times New Roman" w:eastAsia="Times New Roman" w:hAnsi="Times New Roman"/>
          <w:sz w:val="16"/>
          <w:szCs w:val="16"/>
          <w:color w:val="auto"/>
        </w:rPr>
      </w:pPr>
    </w:p>
    <w:p>
      <w:pPr>
        <w:jc w:val="both"/>
        <w:ind w:firstLine="1773"/>
        <w:spacing w:after="0" w:line="266" w:lineRule="auto"/>
        <w:tabs>
          <w:tab w:leader="none" w:pos="201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Market Disruption Event</w:t>
      </w:r>
      <w:r>
        <w:rPr>
          <w:rFonts w:ascii="Times New Roman" w:cs="Times New Roman" w:eastAsia="Times New Roman" w:hAnsi="Times New Roman"/>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56" w:lineRule="exact"/>
        <w:rPr>
          <w:rFonts w:ascii="Times New Roman" w:cs="Times New Roman" w:eastAsia="Times New Roman" w:hAnsi="Times New Roman"/>
          <w:sz w:val="16"/>
          <w:szCs w:val="16"/>
          <w:color w:val="auto"/>
        </w:rPr>
      </w:pPr>
    </w:p>
    <w:p>
      <w:pPr>
        <w:jc w:val="both"/>
        <w:ind w:firstLine="1773"/>
        <w:spacing w:after="0" w:line="272" w:lineRule="auto"/>
        <w:tabs>
          <w:tab w:leader="none" w:pos="199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Trading Day</w:t>
      </w:r>
      <w:r>
        <w:rPr>
          <w:rFonts w:ascii="Times New Roman" w:cs="Times New Roman" w:eastAsia="Times New Roman" w:hAnsi="Times New Roman"/>
          <w:sz w:val="16"/>
          <w:szCs w:val="16"/>
          <w:color w:val="auto"/>
        </w:rPr>
        <w:t>” means a day on which (A) there is no VWAP Market Disruption Event; provided that the Holder, by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52" w:lineRule="exact"/>
        <w:rPr>
          <w:sz w:val="20"/>
          <w:szCs w:val="20"/>
          <w:color w:val="auto"/>
        </w:rPr>
      </w:pPr>
    </w:p>
    <w:p>
      <w:pPr>
        <w:jc w:val="both"/>
        <w:ind w:firstLine="1773"/>
        <w:spacing w:after="0" w:line="261" w:lineRule="auto"/>
        <w:tabs>
          <w:tab w:leader="none" w:pos="2083"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Price</w:t>
      </w:r>
      <w:r>
        <w:rPr>
          <w:rFonts w:ascii="Times New Roman" w:cs="Times New Roman" w:eastAsia="Times New Roman" w:hAnsi="Times New Roman"/>
          <w:sz w:val="16"/>
          <w:szCs w:val="16"/>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 Page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438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4" w:name="page55"/>
    <w:bookmarkEnd w:id="54"/>
    <w:p>
      <w:pPr>
        <w:ind w:firstLine="59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of the Company and the Holder has caused this Warrant to Purchase Common Stock to be duly executed as of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set out above.</w:t>
      </w:r>
    </w:p>
    <w:p>
      <w:pPr>
        <w:spacing w:after="0" w:line="1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tab/>
        <w:t>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-113665</wp:posOffset>
            </wp:positionV>
            <wp:extent cx="249618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438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5" w:name="page56"/>
    <w:bookmarkEnd w:id="55"/>
    <w:p>
      <w:pPr>
        <w:ind w:firstLine="59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of the Company and the Holder has caused this Warrant to Purchase Common Stock to be duly executed as of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set out above.</w:t>
      </w:r>
    </w:p>
    <w:p>
      <w:pPr>
        <w:spacing w:after="0" w:line="1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HIGH TRAIL SPECIAL SITUATIONS LLC</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tab/>
        <w:t>Eric Helenek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-113665</wp:posOffset>
            </wp:positionV>
            <wp:extent cx="249618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438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6" w:name="page57"/>
    <w:bookmarkEnd w:id="56"/>
    <w:p>
      <w:pPr>
        <w:ind w:left="10400"/>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EXERCISE NOTICE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EXECUTED BY THE REGISTERED HOLDER TO EXERCISE THIS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 TO PURCHASE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undersigned holder hereby exercises the right to purchase _________________ shares of Common Stock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of Agrify Corporation, a</w:t>
      </w:r>
    </w:p>
    <w:p>
      <w:pPr>
        <w:spacing w:after="0" w:line="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corporation organized under the laws of Delaware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evidenced by the attached Warrant to Purchase Common Stock (the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Capitalized terms used herein and not otherwise defined shall have the respective meanings set forth in the Warrant.</w:t>
      </w:r>
    </w:p>
    <w:p>
      <w:pPr>
        <w:spacing w:after="0" w:line="351" w:lineRule="exact"/>
        <w:rPr>
          <w:sz w:val="20"/>
          <w:szCs w:val="20"/>
          <w:color w:val="auto"/>
        </w:rPr>
      </w:pPr>
    </w:p>
    <w:p>
      <w:pPr>
        <w:ind w:left="760" w:hanging="170"/>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of Exercise Price. The Holder intends that payment of the Exercise Price shall be made as:</w:t>
      </w:r>
    </w:p>
    <w:p>
      <w:pPr>
        <w:spacing w:after="0" w:line="210"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____________ a “</w:t>
      </w:r>
      <w:r>
        <w:rPr>
          <w:rFonts w:ascii="Times New Roman" w:cs="Times New Roman" w:eastAsia="Times New Roman" w:hAnsi="Times New Roman"/>
          <w:sz w:val="16"/>
          <w:szCs w:val="16"/>
          <w:u w:val="single" w:color="auto"/>
          <w:color w:val="auto"/>
        </w:rPr>
        <w:t>Cash Exercise”</w:t>
      </w:r>
      <w:r>
        <w:rPr>
          <w:rFonts w:ascii="Times New Roman" w:cs="Times New Roman" w:eastAsia="Times New Roman" w:hAnsi="Times New Roman"/>
          <w:sz w:val="16"/>
          <w:szCs w:val="16"/>
          <w:color w:val="auto"/>
        </w:rPr>
        <w:t xml:space="preserve"> with respect to _________________ Warrant Shares; and/or</w:t>
      </w:r>
    </w:p>
    <w:p>
      <w:pPr>
        <w:spacing w:after="0" w:line="210"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____________ a </w:t>
      </w: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xml:space="preserve"> with respect to _______________ Warrant Shares.</w:t>
      </w:r>
    </w:p>
    <w:p>
      <w:pPr>
        <w:spacing w:after="0" w:line="210" w:lineRule="exact"/>
        <w:rPr>
          <w:rFonts w:ascii="Times New Roman" w:cs="Times New Roman" w:eastAsia="Times New Roman" w:hAnsi="Times New Roman"/>
          <w:sz w:val="16"/>
          <w:szCs w:val="16"/>
          <w:color w:val="auto"/>
        </w:rPr>
      </w:pPr>
    </w:p>
    <w:p>
      <w:pPr>
        <w:ind w:firstLine="590"/>
        <w:spacing w:after="0" w:line="296" w:lineRule="auto"/>
        <w:tabs>
          <w:tab w:leader="none" w:pos="76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37" w:lineRule="exact"/>
        <w:rPr>
          <w:rFonts w:ascii="Times New Roman" w:cs="Times New Roman" w:eastAsia="Times New Roman" w:hAnsi="Times New Roman"/>
          <w:sz w:val="16"/>
          <w:szCs w:val="16"/>
          <w:color w:val="auto"/>
        </w:rPr>
      </w:pPr>
    </w:p>
    <w:p>
      <w:pPr>
        <w:ind w:left="760" w:hanging="170"/>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Warrant Shares. The Company shall deliver to the holder __________ Warrant Shares in accordance with the terms of the Warrant.</w:t>
      </w:r>
    </w:p>
    <w:p>
      <w:pPr>
        <w:spacing w:after="0" w:line="210" w:lineRule="exact"/>
        <w:rPr>
          <w:rFonts w:ascii="Times New Roman" w:cs="Times New Roman" w:eastAsia="Times New Roman" w:hAnsi="Times New Roman"/>
          <w:sz w:val="16"/>
          <w:szCs w:val="16"/>
          <w:color w:val="auto"/>
        </w:rPr>
      </w:pPr>
    </w:p>
    <w:p>
      <w:pPr>
        <w:jc w:val="both"/>
        <w:ind w:firstLine="590"/>
        <w:spacing w:after="0" w:line="270" w:lineRule="auto"/>
        <w:tabs>
          <w:tab w:leader="none" w:pos="762"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Maximum Percentage Representation. Notwithstanding anything to the contrary contained herein, this Exercise Notice shall constitute a representation by the Holder of the Warrant submitting this Exercise Notice that, after giving effect to the exercise provided for in this Exercise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of the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286385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3850" cy="158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Registered Holder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26670</wp:posOffset>
            </wp:positionV>
            <wp:extent cx="257429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4290" cy="1587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438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ACKNOWLEDGMENT</w:t>
      </w:r>
    </w:p>
    <w:p>
      <w:pPr>
        <w:spacing w:after="0" w:line="214" w:lineRule="exact"/>
        <w:rPr>
          <w:sz w:val="20"/>
          <w:szCs w:val="20"/>
          <w:color w:val="auto"/>
        </w:rPr>
      </w:pPr>
    </w:p>
    <w:p>
      <w:pPr>
        <w:ind w:firstLine="591"/>
        <w:spacing w:after="0" w:line="296" w:lineRule="auto"/>
        <w:rPr>
          <w:sz w:val="20"/>
          <w:szCs w:val="20"/>
          <w:color w:val="auto"/>
        </w:rPr>
      </w:pPr>
      <w:r>
        <w:rPr>
          <w:rFonts w:ascii="Times New Roman" w:cs="Times New Roman" w:eastAsia="Times New Roman" w:hAnsi="Times New Roman"/>
          <w:sz w:val="16"/>
          <w:szCs w:val="16"/>
          <w:color w:val="auto"/>
        </w:rPr>
        <w:t>The Company hereby acknowledges this Exercise Notice and hereby directs Broadridge Corporate Issuer Solutions, Inc. to issue the above indicated number of shares of Common Stock on or prior to the applicable Share Delivery Date.</w:t>
      </w:r>
    </w:p>
    <w:p>
      <w:pPr>
        <w:spacing w:after="0" w:line="3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-113665</wp:posOffset>
            </wp:positionV>
            <wp:extent cx="249618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14438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8" w:name="page59"/>
    <w:bookmarkEnd w:id="58"/>
    <w:p>
      <w:pPr>
        <w:ind w:left="1048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SECURITIES REPRESENTED BY THIS WARRANT, AND THE SECURITIES ISSUABLE UPON EXERCISE 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WARRANT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 TO PURCHASE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Warrant No.: </w:t>
      </w:r>
      <w:r>
        <w:rPr>
          <w:rFonts w:ascii="Times New Roman" w:cs="Times New Roman" w:eastAsia="Times New Roman" w:hAnsi="Times New Roman"/>
          <w:sz w:val="16"/>
          <w:szCs w:val="16"/>
          <w:u w:val="single" w:color="auto"/>
          <w:color w:val="auto"/>
        </w:rPr>
        <w:t>HTCS-3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14,227,643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Issuance: August __, 2022 (“</w:t>
      </w:r>
      <w:r>
        <w:rPr>
          <w:rFonts w:ascii="Times New Roman" w:cs="Times New Roman" w:eastAsia="Times New Roman" w:hAnsi="Times New Roman"/>
          <w:sz w:val="16"/>
          <w:szCs w:val="16"/>
          <w:b w:val="1"/>
          <w:bCs w:val="1"/>
          <w:color w:val="auto"/>
        </w:rPr>
        <w:t>Issuance Date</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firstLine="591"/>
        <w:spacing w:after="0" w:line="262" w:lineRule="auto"/>
        <w:rPr>
          <w:sz w:val="20"/>
          <w:szCs w:val="20"/>
          <w:color w:val="auto"/>
        </w:rPr>
      </w:pPr>
      <w:r>
        <w:rPr>
          <w:rFonts w:ascii="Times New Roman" w:cs="Times New Roman" w:eastAsia="Times New Roman" w:hAnsi="Times New Roman"/>
          <w:sz w:val="16"/>
          <w:szCs w:val="16"/>
          <w:color w:val="auto"/>
        </w:rPr>
        <w:t>Agrify Corporation, a corporation organized under the laws of Nevada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hereby certifies that, for good and valuable consideration, the receipt and sufficiency of which are hereby acknowledged, High Trail Special Situations LLC, the registered holder hereof or its permitted assigns (the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is entitled, subject to the terms set forth below, to purchase from the Company, at the Exercise Price (as defined below) then in effect, at any time or times on or after the Issuance Date (the “</w:t>
      </w:r>
      <w:r>
        <w:rPr>
          <w:rFonts w:ascii="Times New Roman" w:cs="Times New Roman" w:eastAsia="Times New Roman" w:hAnsi="Times New Roman"/>
          <w:sz w:val="16"/>
          <w:szCs w:val="16"/>
          <w:b w:val="1"/>
          <w:bCs w:val="1"/>
          <w:color w:val="auto"/>
        </w:rPr>
        <w:t>Initial Exercisability Date</w:t>
      </w:r>
      <w:r>
        <w:rPr>
          <w:rFonts w:ascii="Times New Roman" w:cs="Times New Roman" w:eastAsia="Times New Roman" w:hAnsi="Times New Roman"/>
          <w:sz w:val="16"/>
          <w:szCs w:val="16"/>
          <w:color w:val="auto"/>
        </w:rPr>
        <w:t>”), but not after 11:59 p.m., New York time, on the Expiration Date (as defined below), fourteen million two hundred twenty-seven thousand six hundred forty-three (14,227,643) duly authorized, validly issued, fully paid and non-assessable shares of Common Stock (as defined below), subject to adjustment as provided herein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Except as otherwise defined herein, capitalized terms in this Warrant to Purchase Common Stock (including any Warrants to Purchase Common Stock issued in exchange, transfer or replacement hereof, this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xml:space="preserve">”), shall have the meanings set forth in </w:t>
      </w:r>
      <w:r>
        <w:rPr>
          <w:rFonts w:ascii="Times New Roman" w:cs="Times New Roman" w:eastAsia="Times New Roman" w:hAnsi="Times New Roman"/>
          <w:sz w:val="16"/>
          <w:szCs w:val="16"/>
          <w:u w:val="single" w:color="auto"/>
          <w:color w:val="auto"/>
        </w:rPr>
        <w:t>Section 19</w:t>
      </w:r>
      <w:r>
        <w:rPr>
          <w:rFonts w:ascii="Times New Roman" w:cs="Times New Roman" w:eastAsia="Times New Roman" w:hAnsi="Times New Roman"/>
          <w:sz w:val="16"/>
          <w:szCs w:val="16"/>
          <w:color w:val="auto"/>
        </w:rPr>
        <w:t>. This Warrant is one of the Warrants to Purchase Common Stock (the “</w:t>
      </w:r>
      <w:r>
        <w:rPr>
          <w:rFonts w:ascii="Times New Roman" w:cs="Times New Roman" w:eastAsia="Times New Roman" w:hAnsi="Times New Roman"/>
          <w:sz w:val="16"/>
          <w:szCs w:val="16"/>
          <w:b w:val="1"/>
          <w:bCs w:val="1"/>
          <w:color w:val="auto"/>
        </w:rPr>
        <w:t>Warrants</w:t>
      </w:r>
      <w:r>
        <w:rPr>
          <w:rFonts w:ascii="Times New Roman" w:cs="Times New Roman" w:eastAsia="Times New Roman" w:hAnsi="Times New Roman"/>
          <w:sz w:val="16"/>
          <w:szCs w:val="16"/>
          <w:color w:val="auto"/>
        </w:rPr>
        <w:t>”) issued pursuant to that certain Securities Exchange Agreement (the “</w:t>
      </w:r>
      <w:r>
        <w:rPr>
          <w:rFonts w:ascii="Times New Roman" w:cs="Times New Roman" w:eastAsia="Times New Roman" w:hAnsi="Times New Roman"/>
          <w:sz w:val="16"/>
          <w:szCs w:val="16"/>
          <w:b w:val="1"/>
          <w:bCs w:val="1"/>
          <w:color w:val="auto"/>
        </w:rPr>
        <w:t>Securities 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as of August 18, 2022 (the “</w:t>
      </w:r>
      <w:r>
        <w:rPr>
          <w:rFonts w:ascii="Times New Roman" w:cs="Times New Roman" w:eastAsia="Times New Roman" w:hAnsi="Times New Roman"/>
          <w:sz w:val="16"/>
          <w:szCs w:val="16"/>
          <w:b w:val="1"/>
          <w:bCs w:val="1"/>
          <w:color w:val="auto"/>
        </w:rPr>
        <w:t>Subscription Date</w:t>
      </w:r>
      <w:r>
        <w:rPr>
          <w:rFonts w:ascii="Times New Roman" w:cs="Times New Roman" w:eastAsia="Times New Roman" w:hAnsi="Times New Roman"/>
          <w:sz w:val="16"/>
          <w:szCs w:val="16"/>
          <w:color w:val="auto"/>
        </w:rPr>
        <w:t>”) by and among the Company and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14438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ind w:left="1340" w:hanging="158"/>
        <w:spacing w:after="0"/>
        <w:tabs>
          <w:tab w:leader="none" w:pos="134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p>
    <w:p>
      <w:pPr>
        <w:spacing w:after="0" w:line="210" w:lineRule="exact"/>
        <w:rPr>
          <w:rFonts w:ascii="Times New Roman" w:cs="Times New Roman" w:eastAsia="Times New Roman" w:hAnsi="Times New Roman"/>
          <w:sz w:val="16"/>
          <w:szCs w:val="16"/>
          <w:color w:val="auto"/>
        </w:rPr>
      </w:pPr>
    </w:p>
    <w:p>
      <w:pPr>
        <w:jc w:val="both"/>
        <w:ind w:firstLine="1773"/>
        <w:spacing w:after="0" w:line="258" w:lineRule="auto"/>
        <w:tabs>
          <w:tab w:leader="none" w:pos="1998"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Mechanics of Exercise</w:t>
      </w:r>
      <w:r>
        <w:rPr>
          <w:rFonts w:ascii="Times New Roman" w:cs="Times New Roman" w:eastAsia="Times New Roman" w:hAnsi="Times New Roman"/>
          <w:sz w:val="16"/>
          <w:szCs w:val="16"/>
          <w:color w:val="auto"/>
        </w:rPr>
        <w:t xml:space="preserve">. Subject to the terms and conditions hereof (including, without limitation, the limitations set forth in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1(i))</w:t>
      </w:r>
      <w:r>
        <w:rPr>
          <w:rFonts w:ascii="Times New Roman" w:cs="Times New Roman" w:eastAsia="Times New Roman" w:hAnsi="Times New Roman"/>
          <w:sz w:val="16"/>
          <w:szCs w:val="16"/>
          <w:color w:val="auto"/>
        </w:rPr>
        <w:t xml:space="preserve">, this Warrant may be exercised by the Holder at any time or times on or after the Initial Exercisability Date, in whole or in part, by delivery (whether via electronic mail or otherwise) of a duly completed and executed written notice,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Exercise Notice</w:t>
      </w:r>
      <w:r>
        <w:rPr>
          <w:rFonts w:ascii="Times New Roman" w:cs="Times New Roman" w:eastAsia="Times New Roman" w:hAnsi="Times New Roman"/>
          <w:sz w:val="16"/>
          <w:szCs w:val="16"/>
          <w:color w:val="auto"/>
        </w:rPr>
        <w:t>”), of the Holder’s election to exercise this Warrant. Within two (2) Trading Days following the delivery of the Exercise Notice, if a registration statement covering the issuance or resale of the applicable Exercise Notice Warrant Shares (as defined below) is available for the issuance or resale, as applicable, of such Exercise Notice Warrant Shares, the Holder shall make payment to the Company of an amount equal to the Exercise Price in effect on the date of such exercise multiplied by the number of Warrant Shares as to which this Warrant is being exercised (the “</w:t>
      </w:r>
      <w:r>
        <w:rPr>
          <w:rFonts w:ascii="Times New Roman" w:cs="Times New Roman" w:eastAsia="Times New Roman" w:hAnsi="Times New Roman"/>
          <w:sz w:val="16"/>
          <w:szCs w:val="16"/>
          <w:b w:val="1"/>
          <w:bCs w:val="1"/>
          <w:color w:val="auto"/>
        </w:rPr>
        <w:t>Aggregate Exercise Price</w:t>
      </w:r>
      <w:r>
        <w:rPr>
          <w:rFonts w:ascii="Times New Roman" w:cs="Times New Roman" w:eastAsia="Times New Roman" w:hAnsi="Times New Roman"/>
          <w:sz w:val="16"/>
          <w:szCs w:val="16"/>
          <w:color w:val="auto"/>
        </w:rPr>
        <w:t xml:space="preserve">”) in cash by wire transfer of immediately available funds or, if the provisions of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xml:space="preserve"> are applicable, by notifying the Company that this Warrant is being exercised pursuant to a Cashless Exercise (as defined in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The Holder shall not be required to deliver the original Warrant in order to effect an exercise hereunder, nor shall any ink-original signature or medallion guarantee (or other type of guarantee or notarization) with respect to any Exercise Notice be required.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this Warrant has been exercised in full, in which case, the Holder shall surrender this Warrant to the Company for cancellation within three (3) Trading Days of the date on which the final</w:t>
      </w:r>
    </w:p>
    <w:p>
      <w:pPr>
        <w:spacing w:after="0" w:line="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6"/>
          <w:szCs w:val="16"/>
          <w:color w:val="auto"/>
        </w:rPr>
        <w:t>Exercise Notice is delivered to the Company. On or before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the date on which the Holder has delivered the applicable Exercise Notice, the Company shall transmit by electronic mail a duly executed and completed acknowledgment of confirmation of receipt of the Exercise Notice, in the form attached to the Exercise Notice, to the Holder and the Company’s transfer agent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So long as the Holder delivers the Aggregate Exercise Price (or notice of a Cashless Exercise, if applicable)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the date on which the Exercise Notice has been delivered (or deemed to have been</w:t>
      </w:r>
    </w:p>
    <w:p>
      <w:pPr>
        <w:spacing w:after="0" w:line="2"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6"/>
          <w:szCs w:val="16"/>
          <w:color w:val="auto"/>
        </w:rPr>
        <w:t>delivered) to the Company, then on or prior to the earlier of (i)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and (ii) the number of Trading Days comprising the Standard Settlement Period, in each case following the date on which the Exercise Notice has been delivered (or deemed to have been delivered) to the Company, or, if the Holder does not deliver the Aggregate Exercise Price (or notice of a Cashless Exercise, if applicable)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the date on which the Exercise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Notice has been delivered (or deemed to have been delivered) to the Company, then on or prior to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Trading Day following the date on which the Aggregate Exercise Price (or notice of a Cashless Exercise, if applicable) is delivered (such earlier date, or if later, the earliest day on which the Company is required to deliver Warrant Shares pursuant to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Share Delivery Date</w:t>
      </w:r>
      <w:r>
        <w:rPr>
          <w:rFonts w:ascii="Times New Roman" w:cs="Times New Roman" w:eastAsia="Times New Roman" w:hAnsi="Times New Roman"/>
          <w:sz w:val="16"/>
          <w:szCs w:val="16"/>
          <w:color w:val="auto"/>
        </w:rPr>
        <w:t>”), the Company shall (X) provided that the Transfer Agent is participating in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Fast Automated Securities Transfer Program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xml:space="preserve">”), credit such aggregate number of Warrant Shares to which the Holder is entitled pursuant to such exercise to the Holder’s or its designee’s balance account with DTC through its Deposit / Withdrawal At Custodian system, or (Y) if the Transfer Agent is not participating in FAST,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(or deemed delivery) of the Exercise Notice, the Holder shall be deemed for all corporate purposes to have become the holder of record and beneficial owner of the Warrant Shares with respect to which this Warrant has been exercised, irrespective of the date such Warrant Shares are credited to the Holder’s DTC account or the date of delivery of the certificates evidencing such Warrant Shares, as the case may be. If this Warrant is physically delivered to the Company in connection with any exercise pursuant to this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and deliver to the Holder (or its designee) a new Warrant (in accordance with </w:t>
      </w:r>
      <w:r>
        <w:rPr>
          <w:rFonts w:ascii="Times New Roman" w:cs="Times New Roman" w:eastAsia="Times New Roman" w:hAnsi="Times New Roman"/>
          <w:sz w:val="16"/>
          <w:szCs w:val="16"/>
          <w:u w:val="single" w:color="auto"/>
          <w:color w:val="auto"/>
        </w:rPr>
        <w:t>Section 77(d)</w:t>
      </w:r>
      <w:r>
        <w:rPr>
          <w:rFonts w:ascii="Times New Roman" w:cs="Times New Roman" w:eastAsia="Times New Roman" w:hAnsi="Times New Roman"/>
          <w:sz w:val="16"/>
          <w:szCs w:val="16"/>
          <w:color w:val="auto"/>
        </w:rPr>
        <w:t xml:space="preserve">)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to the nearest whole number. The Company shall pay any and all transfer, stamp, issuance and similar taxes, costs and expenses (including, without limitation, fees and expenses of the Transfer Agent) which may be payable with respect to the issuance and delivery of Warrant Shares upon exercise of this Warrant; provided,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the Person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(except for consents and waivers provided pursuant to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the recovery of any judgment against any Person or any action to enforce the same, or any setoff, counterclaim, recoupment, limitation or termination;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Company shall not be required to deliver Warrant Shares with respect to an exercise prior to the Holder’s delivery of the Aggregate Exercise Price (or notice of a Cashless Exercise) with respect to such exercise.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0" w:name="page61"/>
    <w:bookmarkEnd w:id="60"/>
    <w:p>
      <w:pPr>
        <w:ind w:left="2000" w:hanging="227"/>
        <w:spacing w:after="0"/>
        <w:tabs>
          <w:tab w:leader="none" w:pos="2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Price</w:t>
      </w:r>
      <w:r>
        <w:rPr>
          <w:rFonts w:ascii="Times New Roman" w:cs="Times New Roman" w:eastAsia="Times New Roman" w:hAnsi="Times New Roman"/>
          <w:sz w:val="16"/>
          <w:szCs w:val="16"/>
          <w:color w:val="auto"/>
        </w:rPr>
        <w:t>. For purposes of this Warrant, “</w:t>
      </w:r>
      <w:r>
        <w:rPr>
          <w:rFonts w:ascii="Times New Roman" w:cs="Times New Roman" w:eastAsia="Times New Roman" w:hAnsi="Times New Roman"/>
          <w:sz w:val="16"/>
          <w:szCs w:val="16"/>
          <w:b w:val="1"/>
          <w:bCs w:val="1"/>
          <w:color w:val="auto"/>
        </w:rPr>
        <w:t>Exercise Price</w:t>
      </w:r>
      <w:r>
        <w:rPr>
          <w:rFonts w:ascii="Times New Roman" w:cs="Times New Roman" w:eastAsia="Times New Roman" w:hAnsi="Times New Roman"/>
          <w:sz w:val="16"/>
          <w:szCs w:val="16"/>
          <w:color w:val="auto"/>
        </w:rPr>
        <w:t>” means $1.23 per share, subject to adjustment as provided herein.</w:t>
      </w:r>
    </w:p>
    <w:p>
      <w:pPr>
        <w:spacing w:after="0" w:line="214" w:lineRule="exact"/>
        <w:rPr>
          <w:rFonts w:ascii="Times New Roman" w:cs="Times New Roman" w:eastAsia="Times New Roman" w:hAnsi="Times New Roman"/>
          <w:sz w:val="16"/>
          <w:szCs w:val="16"/>
          <w:color w:val="auto"/>
        </w:rPr>
      </w:pPr>
    </w:p>
    <w:p>
      <w:pPr>
        <w:jc w:val="both"/>
        <w:ind w:firstLine="1773"/>
        <w:spacing w:after="0" w:line="258" w:lineRule="auto"/>
        <w:tabs>
          <w:tab w:leader="none" w:pos="199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Company’s Failure to Timely Deliver Securities</w:t>
      </w:r>
      <w:r>
        <w:rPr>
          <w:rFonts w:ascii="Times New Roman" w:cs="Times New Roman" w:eastAsia="Times New Roman" w:hAnsi="Times New Roman"/>
          <w:sz w:val="16"/>
          <w:szCs w:val="16"/>
          <w:color w:val="auto"/>
        </w:rPr>
        <w:t>. If the Company shall fail for any reason or for no reason on or prior to the applicable Share Delivery Date, if (x) the Transfer Agent is not participating in FAST, to issue to the Holder a certificate for the number of shares of Common Stock to which the Holder is entitled and register such Common Stock on the Company’s share register or (y) the Transfer Agent is participating in FAST, to credit the Holder’s balance account with DTC, for such number of shares of Common Stock to which the Holder is entitled upon the Holder’s exercise of this Warrant (such shares to which Holder is entitled being, the “</w:t>
      </w:r>
      <w:r>
        <w:rPr>
          <w:rFonts w:ascii="Times New Roman" w:cs="Times New Roman" w:eastAsia="Times New Roman" w:hAnsi="Times New Roman"/>
          <w:sz w:val="16"/>
          <w:szCs w:val="16"/>
          <w:b w:val="1"/>
          <w:bCs w:val="1"/>
          <w:color w:val="auto"/>
        </w:rPr>
        <w:t>Exercise Notice Warrant Shares</w:t>
      </w:r>
      <w:r>
        <w:rPr>
          <w:rFonts w:ascii="Times New Roman" w:cs="Times New Roman" w:eastAsia="Times New Roman" w:hAnsi="Times New Roman"/>
          <w:sz w:val="16"/>
          <w:szCs w:val="16"/>
          <w:color w:val="auto"/>
        </w:rPr>
        <w:t>”), then, in addition to all other remedies available to the Holder, if on or prior to the applicable Share Delivery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xml:space="preserve">”), then the Company shall, within five (5) Trading Days after the Holder’s request,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the Warrant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written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As of the Issuance Date, the Company’s current transfer agent participates in FAST. In the event that the Company changes transfer agents while this Warrant is outstanding, the Company shall use commercially reasonable efforts to select a transfer agent that participates in FAST. While this Warrant is outstanding, the Company shall request its transfer agent to participate in FAST with respect to this Warrant. In addition to the foregoing rights, (i) if the Company fails to deliver the applicable number of Warrant Shares upon an exercise pursuant to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w:t>
      </w:r>
      <w:r>
        <w:rPr>
          <w:rFonts w:ascii="Times New Roman" w:cs="Times New Roman" w:eastAsia="Times New Roman" w:hAnsi="Times New Roman"/>
          <w:sz w:val="16"/>
          <w:szCs w:val="16"/>
          <w:u w:val="single" w:color="auto"/>
          <w:color w:val="auto"/>
        </w:rPr>
        <w:t>Section 1(c)</w:t>
      </w:r>
      <w:r>
        <w:rPr>
          <w:rFonts w:ascii="Times New Roman" w:cs="Times New Roman" w:eastAsia="Times New Roman" w:hAnsi="Times New Roman"/>
          <w:sz w:val="16"/>
          <w:szCs w:val="16"/>
          <w:color w:val="auto"/>
        </w:rPr>
        <w:t xml:space="preserve"> or otherwise. In addition to the foregoing, if the Company fails for any reason to deliver to the Holder the Warrant Shares subject to an Exercise Notice by the second Trading Day following the Share Delivery Date, the Company shall pay to the Holder, in cash, as liquidated damages and not as a penalty, for each $1,000 of Warrant Shares subject to such exercise (based on the Weighted Average Price of the Common Stock on the date of the applicable Exercise Notice), $10 per Trading Day (increasing to $20 per Trading Day on the fifth Trading Day after such liquidated damages begin to accrue) for each Trading Day after the Share Delivery Date until such Warrant Shares are delivered or Holder rescinds such exercise.</w:t>
      </w:r>
    </w:p>
    <w:p>
      <w:pPr>
        <w:spacing w:after="0" w:line="377" w:lineRule="exact"/>
        <w:rPr>
          <w:rFonts w:ascii="Times New Roman" w:cs="Times New Roman" w:eastAsia="Times New Roman" w:hAnsi="Times New Roman"/>
          <w:sz w:val="16"/>
          <w:szCs w:val="16"/>
          <w:color w:val="auto"/>
        </w:rPr>
      </w:pPr>
    </w:p>
    <w:p>
      <w:pPr>
        <w:jc w:val="both"/>
        <w:ind w:firstLine="1773"/>
        <w:spacing w:after="0" w:line="267" w:lineRule="auto"/>
        <w:tabs>
          <w:tab w:leader="none" w:pos="200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Notwithstanding anything contained herein to the contrary, if a registration statement covering the issuance or resale of the applicable Exercise Notice Warrant Shares is not available for the issuance or resale, as applicable, of such Exercise Notice Warrant Shares or (ii) if the Requisite Stockholder Approval (as such term is used in the Securities Exchange Agreement) has not yet been obtained, then in lieu of making the cash payment otherwise contemplated to be made to the Company upon such exercise in payment of the Aggregate Exercise Price, the Holder may elect to receive upon such exercise the “Net Number” of shares of Common Stock determined according to the following formula (a “</w:t>
      </w:r>
      <w:r>
        <w:rPr>
          <w:rFonts w:ascii="Times New Roman" w:cs="Times New Roman" w:eastAsia="Times New Roman" w:hAnsi="Times New Roman"/>
          <w:sz w:val="16"/>
          <w:szCs w:val="16"/>
          <w:b w:val="1"/>
          <w:bCs w:val="1"/>
          <w:color w:val="auto"/>
        </w:rPr>
        <w:t>Cashless Exercise</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 xml:space="preserve">Net Number = </w:t>
      </w:r>
      <w:r>
        <w:rPr>
          <w:rFonts w:ascii="Times New Roman" w:cs="Times New Roman" w:eastAsia="Times New Roman" w:hAnsi="Times New Roman"/>
          <w:sz w:val="16"/>
          <w:szCs w:val="16"/>
          <w:u w:val="single" w:color="auto"/>
          <w:color w:val="auto"/>
        </w:rPr>
        <w:t>(A x B) - (A x C)</w:t>
      </w:r>
    </w:p>
    <w:p>
      <w:pPr>
        <w:spacing w:after="0" w:line="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color w:val="auto"/>
        </w:rPr>
        <w:t>B</w:t>
      </w:r>
    </w:p>
    <w:p>
      <w:pPr>
        <w:spacing w:after="0" w:line="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6"/>
          <w:szCs w:val="16"/>
          <w:color w:val="auto"/>
        </w:rPr>
        <w:t>For purposes of the foregoing formula:</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 the total number of shares with respect to which this Warrant is then being exercised.</w:t>
      </w:r>
    </w:p>
    <w:p>
      <w:pPr>
        <w:spacing w:after="0" w:line="210" w:lineRule="exact"/>
        <w:rPr>
          <w:sz w:val="20"/>
          <w:szCs w:val="20"/>
          <w:color w:val="auto"/>
        </w:rPr>
      </w:pPr>
    </w:p>
    <w:p>
      <w:pPr>
        <w:jc w:val="both"/>
        <w:ind w:left="1480" w:hanging="295"/>
        <w:spacing w:after="0" w:line="261" w:lineRule="auto"/>
        <w:rPr>
          <w:sz w:val="20"/>
          <w:szCs w:val="20"/>
          <w:color w:val="auto"/>
        </w:rPr>
      </w:pPr>
      <w:r>
        <w:rPr>
          <w:rFonts w:ascii="Times New Roman" w:cs="Times New Roman" w:eastAsia="Times New Roman" w:hAnsi="Times New Roman"/>
          <w:sz w:val="16"/>
          <w:szCs w:val="16"/>
          <w:color w:val="auto"/>
        </w:rPr>
        <w:t xml:space="preserve">B= as applicable: (i) the Closing Sale Price of the Common Stock on the Trading Day immediately preceding the date of the applicable Exercise Notice if such Exercise Notice is (1) both executed and delivered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on a day that is not a Trading Day or (2) both executed and delivered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on a Trading Day prior to the opening of “regular trading hours” (as defined in Rule 600(b)(68) of Regulation NMS promulgated under the federal securities laws) on such Trading Day, (ii) at the option of the Holder, either (y) the Weighted Average Price on the Trading Day immediately preceding the date of the applicable Exercise Notice or (z) the Bid Price of the Common Stock as of the time of the Holder’s execution of the applicable Exercise Notice if such Exercise Notice is executed during “regular trading hours” on a Trading Day and is delivered within two (2) hours thereafter (including until two (2) hours after the close of “regular trading hours” on a Trading Day)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or (iii) the Closing Sale Price of the Common Stock on the date of the applicable Exercise Notice if the date of such Exercise Notice is a Trading Day and such Exercise Notice is both executed and delivered pursuant to </w:t>
      </w:r>
      <w:r>
        <w:rPr>
          <w:rFonts w:ascii="Times New Roman" w:cs="Times New Roman" w:eastAsia="Times New Roman" w:hAnsi="Times New Roman"/>
          <w:sz w:val="16"/>
          <w:szCs w:val="16"/>
          <w:u w:val="single" w:color="auto"/>
          <w:color w:val="auto"/>
        </w:rPr>
        <w:t>Section 1(a)</w:t>
      </w:r>
      <w:r>
        <w:rPr>
          <w:rFonts w:ascii="Times New Roman" w:cs="Times New Roman" w:eastAsia="Times New Roman" w:hAnsi="Times New Roman"/>
          <w:sz w:val="16"/>
          <w:szCs w:val="16"/>
          <w:color w:val="auto"/>
        </w:rPr>
        <w:t xml:space="preserve"> hereof after the close of “regular trading hours” on such Trading Day.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61" w:name="page62"/>
    <w:bookmarkEnd w:id="61"/>
    <w:p>
      <w:pPr>
        <w:ind w:left="1180"/>
        <w:spacing w:after="0"/>
        <w:rPr>
          <w:sz w:val="20"/>
          <w:szCs w:val="20"/>
          <w:color w:val="auto"/>
        </w:rPr>
      </w:pPr>
      <w:r>
        <w:rPr>
          <w:rFonts w:ascii="Times New Roman" w:cs="Times New Roman" w:eastAsia="Times New Roman" w:hAnsi="Times New Roman"/>
          <w:sz w:val="16"/>
          <w:szCs w:val="16"/>
          <w:color w:val="auto"/>
        </w:rPr>
        <w:t>C= the Exercise Price then in effect for the applicable Warrant Shares at the time of such exercise.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Warrant Shares are issued in such a cashless exercise, the Company acknowledges and agrees that in accordance with Section 3(a)(9) of the Securities Act of 1933, as amended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xml:space="preserve">”), the Warrant Shares shall take on the registered characteristics of the Warrants being exercised, and the holding period of the Warrants being exercised may be tacked on to the holding period of the Warrant Shares. The Company agrees not to take any position contrary to this </w:t>
      </w:r>
      <w:r>
        <w:rPr>
          <w:rFonts w:ascii="Times New Roman" w:cs="Times New Roman" w:eastAsia="Times New Roman" w:hAnsi="Times New Roman"/>
          <w:sz w:val="16"/>
          <w:szCs w:val="16"/>
          <w:u w:val="single" w:color="auto"/>
          <w:color w:val="auto"/>
        </w:rPr>
        <w:t>Section 1(d)</w:t>
      </w:r>
      <w:r>
        <w:rPr>
          <w:rFonts w:ascii="Times New Roman" w:cs="Times New Roman" w:eastAsia="Times New Roman" w:hAnsi="Times New Roman"/>
          <w:sz w:val="16"/>
          <w:szCs w:val="16"/>
          <w:color w:val="auto"/>
        </w:rPr>
        <w:t xml:space="preserve">. Without limiting the rights of a Holder to receive Warrant Shares on a “cashless exercise,” and to receive the cash payments contemplated pursuant to </w:t>
      </w:r>
      <w:r>
        <w:rPr>
          <w:rFonts w:ascii="Times New Roman" w:cs="Times New Roman" w:eastAsia="Times New Roman" w:hAnsi="Times New Roman"/>
          <w:sz w:val="16"/>
          <w:szCs w:val="16"/>
          <w:u w:val="single" w:color="auto"/>
          <w:color w:val="auto"/>
        </w:rPr>
        <w:t>Sections 1(c)</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4(b)</w:t>
      </w:r>
      <w:r>
        <w:rPr>
          <w:rFonts w:ascii="Times New Roman" w:cs="Times New Roman" w:eastAsia="Times New Roman" w:hAnsi="Times New Roman"/>
          <w:sz w:val="16"/>
          <w:szCs w:val="16"/>
          <w:color w:val="auto"/>
        </w:rPr>
        <w:t>, in no event will the Company be required to net cash settle a Warrant exercise. Any Cashless Exercise of this Warrant shall have the effect of lowering the outstanding number of Warrant Shares purchasable hereunder by an amount equal to the number of Warrant Shares that would be issuable upon exercise of this Warrant in accordance with the terms of this Warrant if such exercise were by means of a cash exercise rather than a Cashless Exercise and not the number of Warrant Shares actually received by the Holder.</w:t>
      </w:r>
    </w:p>
    <w:p>
      <w:pPr>
        <w:spacing w:after="0" w:line="363" w:lineRule="exact"/>
        <w:rPr>
          <w:sz w:val="20"/>
          <w:szCs w:val="20"/>
          <w:color w:val="auto"/>
        </w:rPr>
      </w:pPr>
    </w:p>
    <w:p>
      <w:pPr>
        <w:ind w:firstLine="1773"/>
        <w:spacing w:after="0" w:line="296" w:lineRule="auto"/>
        <w:tabs>
          <w:tab w:leader="none" w:pos="201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xml:space="preserve">. In the case of a dispute as to the determination of the Exercise Price or the arithmetic calculation of the Warrant Shares, the Company shall promptly issue to the Holder the number of Warrant Shares that are not disputed and resolve such dispute in accordance with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firstLine="1773"/>
        <w:spacing w:after="0" w:line="257" w:lineRule="auto"/>
        <w:tabs>
          <w:tab w:leader="none" w:pos="19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Beneficial Ownership Limitation</w:t>
      </w:r>
      <w:r>
        <w:rPr>
          <w:rFonts w:ascii="Times New Roman" w:cs="Times New Roman" w:eastAsia="Times New Roman" w:hAnsi="Times New Roman"/>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the aggregate in excess of 4.99% (the “</w:t>
      </w:r>
      <w:r>
        <w:rPr>
          <w:rFonts w:ascii="Times New Roman" w:cs="Times New Roman" w:eastAsia="Times New Roman" w:hAnsi="Times New Roman"/>
          <w:sz w:val="16"/>
          <w:szCs w:val="16"/>
          <w:b w:val="1"/>
          <w:bCs w:val="1"/>
          <w:color w:val="auto"/>
        </w:rPr>
        <w:t>Maximum Percentage</w:t>
      </w:r>
      <w:r>
        <w:rPr>
          <w:rFonts w:ascii="Times New Roman" w:cs="Times New Roman" w:eastAsia="Times New Roman" w:hAnsi="Times New Roman"/>
          <w:sz w:val="16"/>
          <w:szCs w:val="16"/>
          <w:color w:val="auto"/>
        </w:rPr>
        <w:t xml:space="preserve">”)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beneficial ownership shall be calculated in accordance with Section 13(d) of the Securities Exchange Act of 1934, as amended (the “</w:t>
      </w:r>
      <w:r>
        <w:rPr>
          <w:rFonts w:ascii="Times New Roman" w:cs="Times New Roman" w:eastAsia="Times New Roman" w:hAnsi="Times New Roman"/>
          <w:sz w:val="16"/>
          <w:szCs w:val="16"/>
          <w:b w:val="1"/>
          <w:bCs w:val="1"/>
          <w:color w:val="auto"/>
        </w:rPr>
        <w:t>1934 Act</w:t>
      </w:r>
      <w:r>
        <w:rPr>
          <w:rFonts w:ascii="Times New Roman" w:cs="Times New Roman" w:eastAsia="Times New Roman" w:hAnsi="Times New Roman"/>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Reports on Form 8-K or other public filing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as the case may be, (y) a more recent public announcement by the Company or (z) any other written notice by the Company or the Transfer Agent setting forth the number of shares of Common Stock outstanding (the “</w:t>
      </w:r>
      <w:r>
        <w:rPr>
          <w:rFonts w:ascii="Times New Roman" w:cs="Times New Roman" w:eastAsia="Times New Roman" w:hAnsi="Times New Roman"/>
          <w:sz w:val="16"/>
          <w:szCs w:val="16"/>
          <w:b w:val="1"/>
          <w:bCs w:val="1"/>
          <w:color w:val="auto"/>
        </w:rPr>
        <w:t>Reported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Outstanding Share Number</w:t>
      </w:r>
      <w:r>
        <w:rPr>
          <w:rFonts w:ascii="Times New Roman" w:cs="Times New Roman" w:eastAsia="Times New Roman" w:hAnsi="Times New Roman"/>
          <w:sz w:val="16"/>
          <w:szCs w:val="16"/>
          <w:color w:val="auto"/>
        </w:rPr>
        <w:t>”). If the Company receives an Exercise Notice from the Holder at a time when the actual number of outstanding shares of Common Stock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6"/>
          <w:szCs w:val="16"/>
          <w:b w:val="1"/>
          <w:bCs w:val="1"/>
          <w:color w:val="auto"/>
        </w:rPr>
        <w:t>Reduction Shares</w:t>
      </w:r>
      <w:r>
        <w:rPr>
          <w:rFonts w:ascii="Times New Roman" w:cs="Times New Roman" w:eastAsia="Times New Roman" w:hAnsi="Times New Roman"/>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6"/>
          <w:szCs w:val="16"/>
          <w:b w:val="1"/>
          <w:bCs w:val="1"/>
          <w:color w:val="auto"/>
        </w:rPr>
        <w:t>Excess Shares</w:t>
      </w:r>
      <w:r>
        <w:rPr>
          <w:rFonts w:ascii="Times New Roman" w:cs="Times New Roman" w:eastAsia="Times New Roman" w:hAnsi="Times New Roman"/>
          <w:sz w:val="16"/>
          <w:szCs w:val="16"/>
          <w:color w:val="auto"/>
        </w:rPr>
        <w:t>”)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9.99% as specified in such notice; provided that (i)</w:t>
      </w:r>
    </w:p>
    <w:p>
      <w:pPr>
        <w:spacing w:after="0" w:line="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any such increase in the Maximum Percentage will not be effective until the sixty-first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xml:space="preserve">)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or to make changes or supplements necessary or desirable to properly give effect to such limitation. The limitation contained in this paragraph may not be waived and shall apply to a successor holder of this Warrant. The Holder hereby acknowledges and agrees that the Company shall be entitled to rely on the representations and other information set forth in any Exercise Notice and shall not be required to independently verify whether any exercise of this Warrant would cause the Holder (together with the other Attribution Parties) to collectively beneficially own in excess of the Maximum Percentage of the number of shares of Common Stock outstanding after giving effect to such exercise or otherwise trigger the provisions of this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2" w:name="page63"/>
    <w:bookmarkEnd w:id="62"/>
    <w:p>
      <w:pPr>
        <w:jc w:val="both"/>
        <w:ind w:left="-1120" w:firstLine="1773"/>
        <w:spacing w:after="0" w:line="260" w:lineRule="auto"/>
        <w:tabs>
          <w:tab w:leader="none" w:pos="88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Reserve Amount</w:t>
      </w:r>
      <w:r>
        <w:rPr>
          <w:rFonts w:ascii="Times New Roman" w:cs="Times New Roman" w:eastAsia="Times New Roman" w:hAnsi="Times New Roman"/>
          <w:sz w:val="16"/>
          <w:szCs w:val="16"/>
          <w:color w:val="auto"/>
        </w:rPr>
        <w:t>. 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(without regard to any limitations on exercise) (the “</w:t>
      </w:r>
      <w:r>
        <w:rPr>
          <w:rFonts w:ascii="Times New Roman" w:cs="Times New Roman" w:eastAsia="Times New Roman" w:hAnsi="Times New Roman"/>
          <w:sz w:val="16"/>
          <w:szCs w:val="16"/>
          <w:b w:val="1"/>
          <w:bCs w:val="1"/>
          <w:color w:val="auto"/>
        </w:rPr>
        <w:t>Required Reserve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at no time shall the number of shares of Common Stock reserved pursuant to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1(g)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reduced other than in connection with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exercise of Warrants or such other event covered by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Times New Roman" w:cs="Times New Roman" w:eastAsia="Times New Roman" w:hAnsi="Times New Roman"/>
          <w:sz w:val="16"/>
          <w:szCs w:val="16"/>
          <w:b w:val="1"/>
          <w:bCs w:val="1"/>
          <w:color w:val="auto"/>
        </w:rPr>
        <w:t>Authorized Share Allocation</w:t>
      </w:r>
      <w:r>
        <w:rPr>
          <w:rFonts w:ascii="Times New Roman" w:cs="Times New Roman" w:eastAsia="Times New Roman" w:hAnsi="Times New Roman"/>
          <w:sz w:val="16"/>
          <w:szCs w:val="16"/>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 Each share of Common Stock delivered upon exercise of this Warrant will be a newly issued or treasury 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upon exercise of this Warrant, when delivered upon such exercise, to be admitted for listing on such exchange or quotation on such system.</w:t>
      </w:r>
    </w:p>
    <w:p>
      <w:pPr>
        <w:spacing w:after="0" w:line="167" w:lineRule="exact"/>
        <w:rPr>
          <w:rFonts w:ascii="Times New Roman" w:cs="Times New Roman" w:eastAsia="Times New Roman" w:hAnsi="Times New Roman"/>
          <w:sz w:val="16"/>
          <w:szCs w:val="16"/>
          <w:color w:val="auto"/>
        </w:rPr>
      </w:pPr>
    </w:p>
    <w:p>
      <w:pPr>
        <w:jc w:val="both"/>
        <w:ind w:left="-1120" w:firstLine="1773"/>
        <w:spacing w:after="0" w:line="259" w:lineRule="auto"/>
        <w:tabs>
          <w:tab w:leader="none" w:pos="899"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Insufficient Authorized Shares</w:t>
      </w:r>
      <w:r>
        <w:rPr>
          <w:rFonts w:ascii="Times New Roman" w:cs="Times New Roman" w:eastAsia="Times New Roman" w:hAnsi="Times New Roman"/>
          <w:sz w:val="16"/>
          <w:szCs w:val="16"/>
          <w:color w:val="auto"/>
        </w:rPr>
        <w:t>. If at any time while this Warrant remains outstanding the Company does not have a sufficient number of authorized and unreserved shares of Common Stock to satisfy its obligation to reserve for issuance the Required Reserve Amount (an “</w:t>
      </w:r>
      <w:r>
        <w:rPr>
          <w:rFonts w:ascii="Times New Roman" w:cs="Times New Roman" w:eastAsia="Times New Roman" w:hAnsi="Times New Roman"/>
          <w:sz w:val="16"/>
          <w:szCs w:val="16"/>
          <w:b w:val="1"/>
          <w:bCs w:val="1"/>
          <w:color w:val="auto"/>
        </w:rPr>
        <w:t>Authorized Share Failure</w:t>
      </w:r>
      <w:r>
        <w:rPr>
          <w:rFonts w:ascii="Times New Roman" w:cs="Times New Roman" w:eastAsia="Times New Roman" w:hAnsi="Times New Roman"/>
          <w:sz w:val="16"/>
          <w:szCs w:val="16"/>
          <w:color w:val="auto"/>
        </w:rPr>
        <w:t>”), then the Company shall promptly take all action reasonably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the Company’s management shall recommend to the Company’s Board of Directors that it recommend to the stockholders that they approve such proposal. Notwithstanding the foregoing, if at any such time of an Authorized Share Failure, the Company is able to obtain the written consent of a majority of the shares of its issued and outstanding shares of Common Stock to approve the increase in the number of authorized shares of Common Stock, the Company may satisfy this obligation by obtaining such consent and submitting for filing with the SEC an Information Statement on Schedule 14C. In addition to the foregoing, in the event of any Authorized Share Failure that results in the failure of the Company to deliver any shares of Common Stock that would have otherwise been deliverable pursuant to an Exercise Notice (such shares the “</w:t>
      </w:r>
      <w:r>
        <w:rPr>
          <w:rFonts w:ascii="Times New Roman" w:cs="Times New Roman" w:eastAsia="Times New Roman" w:hAnsi="Times New Roman"/>
          <w:sz w:val="16"/>
          <w:szCs w:val="16"/>
          <w:b w:val="1"/>
          <w:bCs w:val="1"/>
          <w:color w:val="auto"/>
        </w:rPr>
        <w:t>Authorized Shares Failure Shares</w:t>
      </w:r>
      <w:r>
        <w:rPr>
          <w:rFonts w:ascii="Times New Roman" w:cs="Times New Roman" w:eastAsia="Times New Roman" w:hAnsi="Times New Roman"/>
          <w:sz w:val="16"/>
          <w:szCs w:val="16"/>
          <w:color w:val="auto"/>
        </w:rPr>
        <w:t>”), (1) the Company will promptly pay to the Holder, as liquidated damages and not as a penalty, cash in an amount equal (i) to the product of (x) the number of such Authorized Shares Failure Shares; and (y)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 and (2) to the extent the Holder purchases (in an open market transaction or otherwise) shares of Common Stock to deliver in settlement of a sale by the Holder of such Authorized Shares Failure Shares, the Company will reimburse the Holder for (x) any brokerage commissions and other out-of-pocket expenses, if any, of the Holder incurred in connection with such purchases and (y) the excess, if any, of (A) the aggregate purchase price of such purchases over (B) an amount equal to (i) the product of (I) the number of such Authorized Shares Failure Shares purchased by the Holder; and (II) the Daily VWAP per share of Common Stock on the date the Holder delivered the applicable Exercise Notice hereunder (or, if such date is not a VWAP Trading Day, the immediately preceding VWAP Trading Day), minus (ii) if such exercise is not a cashless exercise the Aggregate Exercise Price applicable to such Authorized Shares Failure Shares, to the extent not previously paid.</w:t>
      </w:r>
    </w:p>
    <w:p>
      <w:pPr>
        <w:spacing w:after="0" w:line="363" w:lineRule="exact"/>
        <w:rPr>
          <w:rFonts w:ascii="Times New Roman" w:cs="Times New Roman" w:eastAsia="Times New Roman" w:hAnsi="Times New Roman"/>
          <w:sz w:val="16"/>
          <w:szCs w:val="16"/>
          <w:color w:val="auto"/>
        </w:rPr>
      </w:pPr>
    </w:p>
    <w:p>
      <w:pPr>
        <w:ind w:left="4460" w:hanging="93"/>
        <w:spacing w:after="0"/>
        <w:tabs>
          <w:tab w:leader="none" w:pos="446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63" w:name="page64"/>
    <w:bookmarkEnd w:id="63"/>
    <w:p>
      <w:pPr>
        <w:jc w:val="both"/>
        <w:ind w:firstLine="1773"/>
        <w:spacing w:after="0" w:line="260" w:lineRule="auto"/>
        <w:tabs>
          <w:tab w:leader="none" w:pos="197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Exchange Limitations</w:t>
      </w:r>
      <w:r>
        <w:rPr>
          <w:rFonts w:ascii="Times New Roman" w:cs="Times New Roman" w:eastAsia="Times New Roman" w:hAnsi="Times New Roman"/>
          <w:sz w:val="16"/>
          <w:szCs w:val="16"/>
          <w:color w:val="auto"/>
        </w:rPr>
        <w:t>. Notwithstanding anything to the contrary in this Warrant, if shareholder approval would otherwise be required under Nasdaq Rule 5635(d) with respect to the issuance of this Warrant, until the Requisite Stockholder Approval is obtained, in no event will the number of shares of Common Stock issuable upon exercise of this Warrant, together with all shares of Common Stock issued in respect of the Prior Notes (as defined in the Securities Exchange Agreement), the Exchange Notes (as defined in the Securities Exchange Agreement) and any other Warrant issued pursuant to the Exchange Agreement, exceed 5,308,578 shares in the aggregate. If, commencing one hundred and eighty (180) days following the issuance of any Warrants that require the Requisite Stockholder Approval under Nasdaq Rule 5635(d), one or more shares of Common Stock are not delivered at any time as a result of the operation of the preceding sentence (such shares, the “</w:t>
      </w:r>
      <w:r>
        <w:rPr>
          <w:rFonts w:ascii="Times New Roman" w:cs="Times New Roman" w:eastAsia="Times New Roman" w:hAnsi="Times New Roman"/>
          <w:sz w:val="16"/>
          <w:szCs w:val="16"/>
          <w:b w:val="1"/>
          <w:bCs w:val="1"/>
          <w:color w:val="auto"/>
        </w:rPr>
        <w:t>Withheld Shares</w:t>
      </w:r>
      <w:r>
        <w:rPr>
          <w:rFonts w:ascii="Times New Roman" w:cs="Times New Roman" w:eastAsia="Times New Roman" w:hAnsi="Times New Roman"/>
          <w:sz w:val="16"/>
          <w:szCs w:val="16"/>
          <w:color w:val="auto"/>
        </w:rPr>
        <w:t>”), then (1) the Company will promptly pay to the Holder, as liquidated damages and not as a penalty, cash in an amount equal to the product of (x) the number of such Withheld Shares; and (y) the Daily VWAP per share of Common Stock on the date the Holder delivered the applicable Exercise Notice hereunder (or, if such date is not a VWAP Trading Day, the immediately preceding VWAP Trading Day); and (2) to the extent the Holder purchases (in an open market transaction or otherwise) shares of Common Stock to deliver in settlement of a sale by the Holder of such Withheld Shares, the Company will reimburse the Holder for (x) any brokerage commissions and other out-of-pocket expenses, if any, of the Holder incurred in connection with such purchases and (y) the excess, if any, of (A) the aggregate purchase price of such purchases over (B) the product of (I) the number of such Withheld Shares purchased by the Holder; and (II) the Daily VWAP per share of Common Stock on the date the Holder delivered the applicable Exercise Notice hereunder (or, if such date is not a VWAP Trading Day, the immediately preceding VWAP Trading Day).</w:t>
      </w:r>
    </w:p>
    <w:p>
      <w:pPr>
        <w:spacing w:after="0" w:line="366" w:lineRule="exact"/>
        <w:rPr>
          <w:sz w:val="20"/>
          <w:szCs w:val="20"/>
          <w:color w:val="auto"/>
        </w:rPr>
      </w:pPr>
    </w:p>
    <w:p>
      <w:pPr>
        <w:ind w:firstLine="1183"/>
        <w:spacing w:after="0" w:line="296" w:lineRule="auto"/>
        <w:rPr>
          <w:sz w:val="20"/>
          <w:szCs w:val="20"/>
          <w:color w:val="auto"/>
        </w:rPr>
      </w:pPr>
      <w:r>
        <w:rPr>
          <w:rFonts w:ascii="Times New Roman" w:cs="Times New Roman" w:eastAsia="Times New Roman" w:hAnsi="Times New Roman"/>
          <w:sz w:val="16"/>
          <w:szCs w:val="16"/>
          <w:u w:val="single" w:color="auto"/>
          <w:color w:val="auto"/>
        </w:rPr>
        <w:t>ADJUSTMENT OF EXERCISE PRICE AND NUMBER OF WARRANT SHARES</w:t>
      </w:r>
      <w:r>
        <w:rPr>
          <w:rFonts w:ascii="Times New Roman" w:cs="Times New Roman" w:eastAsia="Times New Roman" w:hAnsi="Times New Roman"/>
          <w:sz w:val="16"/>
          <w:szCs w:val="16"/>
          <w:color w:val="auto"/>
        </w:rPr>
        <w:t>. The Exercise Price and the number of Warrant Shares shall be adjusted from time to time as follows:</w:t>
      </w:r>
    </w:p>
    <w:p>
      <w:pPr>
        <w:spacing w:after="0" w:line="138" w:lineRule="exact"/>
        <w:rPr>
          <w:sz w:val="20"/>
          <w:szCs w:val="20"/>
          <w:color w:val="auto"/>
        </w:rPr>
      </w:pPr>
    </w:p>
    <w:p>
      <w:pPr>
        <w:ind w:firstLine="1773"/>
        <w:spacing w:after="0" w:line="296" w:lineRule="auto"/>
        <w:tabs>
          <w:tab w:leader="none" w:pos="199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Adjustment by Company</w:t>
      </w:r>
      <w:r>
        <w:rPr>
          <w:rFonts w:ascii="Times New Roman" w:cs="Times New Roman" w:eastAsia="Times New Roman" w:hAnsi="Times New Roman"/>
          <w:sz w:val="16"/>
          <w:szCs w:val="16"/>
          <w:color w:val="auto"/>
        </w:rPr>
        <w:t>. The Company may at any time during the term of this Warrant reduce the then-current Exercise Price to any amount and for any period of time deemed appropriate by the Board of Directors of the Company.</w:t>
      </w:r>
    </w:p>
    <w:p>
      <w:pPr>
        <w:spacing w:after="0" w:line="137" w:lineRule="exact"/>
        <w:rPr>
          <w:rFonts w:ascii="Times New Roman" w:cs="Times New Roman" w:eastAsia="Times New Roman" w:hAnsi="Times New Roman"/>
          <w:sz w:val="16"/>
          <w:szCs w:val="16"/>
          <w:color w:val="auto"/>
        </w:rPr>
      </w:pPr>
    </w:p>
    <w:p>
      <w:pPr>
        <w:jc w:val="both"/>
        <w:ind w:firstLine="1773"/>
        <w:spacing w:after="0" w:line="263" w:lineRule="auto"/>
        <w:tabs>
          <w:tab w:leader="none" w:pos="200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 Upon Subdivision or Combination of Common Stock</w:t>
      </w:r>
      <w:r>
        <w:rPr>
          <w:rFonts w:ascii="Times New Roman" w:cs="Times New Roman" w:eastAsia="Times New Roman" w:hAnsi="Times New Roman"/>
          <w:sz w:val="16"/>
          <w:szCs w:val="16"/>
          <w:color w:val="auto"/>
        </w:rPr>
        <w:t xml:space="preserve">. If the Company at any time on or after the Subscription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Subscription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w:t>
      </w:r>
      <w:r>
        <w:rPr>
          <w:rFonts w:ascii="Times New Roman" w:cs="Times New Roman" w:eastAsia="Times New Roman" w:hAnsi="Times New Roman"/>
          <w:sz w:val="16"/>
          <w:szCs w:val="16"/>
          <w:u w:val="single" w:color="auto"/>
          <w:color w:val="auto"/>
        </w:rPr>
        <w:t>Section 2(b)</w:t>
      </w:r>
      <w:r>
        <w:rPr>
          <w:rFonts w:ascii="Times New Roman" w:cs="Times New Roman" w:eastAsia="Times New Roman" w:hAnsi="Times New Roman"/>
          <w:sz w:val="16"/>
          <w:szCs w:val="16"/>
          <w:color w:val="auto"/>
        </w:rPr>
        <w:t xml:space="preserve"> shall become effective at the close of business on the date the subdivision or combination becomes effective.</w:t>
      </w:r>
    </w:p>
    <w:p>
      <w:pPr>
        <w:spacing w:after="0" w:line="166" w:lineRule="exact"/>
        <w:rPr>
          <w:rFonts w:ascii="Times New Roman" w:cs="Times New Roman" w:eastAsia="Times New Roman" w:hAnsi="Times New Roman"/>
          <w:sz w:val="16"/>
          <w:szCs w:val="16"/>
          <w:color w:val="auto"/>
        </w:rPr>
      </w:pPr>
    </w:p>
    <w:p>
      <w:pPr>
        <w:ind w:left="2000" w:hanging="227"/>
        <w:spacing w:after="0"/>
        <w:tabs>
          <w:tab w:leader="none" w:pos="2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Adjustments Prior to Qualified Equity Financing.</w:t>
      </w:r>
    </w:p>
    <w:p>
      <w:pPr>
        <w:spacing w:after="0" w:line="210" w:lineRule="exact"/>
        <w:rPr>
          <w:rFonts w:ascii="Times New Roman" w:cs="Times New Roman" w:eastAsia="Times New Roman" w:hAnsi="Times New Roman"/>
          <w:sz w:val="16"/>
          <w:szCs w:val="16"/>
          <w:color w:val="auto"/>
        </w:rPr>
      </w:pPr>
    </w:p>
    <w:p>
      <w:pPr>
        <w:jc w:val="both"/>
        <w:ind w:firstLine="2365"/>
        <w:spacing w:after="0" w:line="262" w:lineRule="auto"/>
        <w:tabs>
          <w:tab w:leader="none" w:pos="2611"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from the date of this agreement until the Business Day immediate following the completion of a Qualified Equity Financing (as defined in the Securities Exchange Agreement), if the Company or any of its Subsidiaries grants issues or sells (or enters into any agreement to grant, issue or sell), or in accordance with this Section 2(c)(1) is deemed to have granted, issued or sold, any shares of Common Stock (including the issuance or sale of shares of Common Stock owned or held by or for the account of the Company) for a consideration per share (the “</w:t>
      </w:r>
      <w:r>
        <w:rPr>
          <w:rFonts w:ascii="Times New Roman" w:cs="Times New Roman" w:eastAsia="Times New Roman" w:hAnsi="Times New Roman"/>
          <w:sz w:val="16"/>
          <w:szCs w:val="16"/>
          <w:b w:val="1"/>
          <w:bCs w:val="1"/>
          <w:color w:val="auto"/>
        </w:rPr>
        <w:t>Effective Price</w:t>
      </w:r>
      <w:r>
        <w:rPr>
          <w:rFonts w:ascii="Times New Roman" w:cs="Times New Roman" w:eastAsia="Times New Roman" w:hAnsi="Times New Roman"/>
          <w:sz w:val="16"/>
          <w:szCs w:val="16"/>
          <w:color w:val="auto"/>
        </w:rPr>
        <w:t>”) less than a price equal to the Exercise Price in effect immediately prior to such granting, issuance or sale or deemed granting issuance or sale (such Exercise Price then in effect is referred to herein as the “</w:t>
      </w:r>
      <w:r>
        <w:rPr>
          <w:rFonts w:ascii="Times New Roman" w:cs="Times New Roman" w:eastAsia="Times New Roman" w:hAnsi="Times New Roman"/>
          <w:sz w:val="16"/>
          <w:szCs w:val="16"/>
          <w:b w:val="1"/>
          <w:bCs w:val="1"/>
          <w:color w:val="auto"/>
        </w:rPr>
        <w:t>Applicable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16"/>
          <w:szCs w:val="16"/>
          <w:color w:val="auto"/>
        </w:rPr>
        <w:t>”) (the foregoing a “</w:t>
      </w:r>
      <w:r>
        <w:rPr>
          <w:rFonts w:ascii="Times New Roman" w:cs="Times New Roman" w:eastAsia="Times New Roman" w:hAnsi="Times New Roman"/>
          <w:sz w:val="16"/>
          <w:szCs w:val="16"/>
          <w:b w:val="1"/>
          <w:bCs w:val="1"/>
          <w:color w:val="auto"/>
        </w:rPr>
        <w:t>Degressive Issuance</w:t>
      </w:r>
      <w:r>
        <w:rPr>
          <w:rFonts w:ascii="Times New Roman" w:cs="Times New Roman" w:eastAsia="Times New Roman" w:hAnsi="Times New Roman"/>
          <w:sz w:val="16"/>
          <w:szCs w:val="16"/>
          <w:color w:val="auto"/>
        </w:rPr>
        <w:t>”), then immediately after such Degressive Issuance, the Exercise Price will be decreased to an amount equal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Effective Price. For all purposes of the foregoing (including, without limitation, determining the adjusted Exercise Price and the Effective Price under this Section 2(c)(1)), the following shall be applicable:</w:t>
      </w:r>
    </w:p>
    <w:p>
      <w:pPr>
        <w:spacing w:after="0" w:line="167" w:lineRule="exact"/>
        <w:rPr>
          <w:rFonts w:ascii="Times New Roman" w:cs="Times New Roman" w:eastAsia="Times New Roman" w:hAnsi="Times New Roman"/>
          <w:sz w:val="16"/>
          <w:szCs w:val="16"/>
          <w:color w:val="auto"/>
        </w:rPr>
      </w:pPr>
    </w:p>
    <w:p>
      <w:pPr>
        <w:jc w:val="both"/>
        <w:ind w:firstLine="2365"/>
        <w:spacing w:after="0" w:line="259" w:lineRule="auto"/>
        <w:tabs>
          <w:tab w:leader="none" w:pos="2598"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Options</w:t>
      </w:r>
      <w:r>
        <w:rPr>
          <w:rFonts w:ascii="Times New Roman" w:cs="Times New Roman" w:eastAsia="Times New Roman" w:hAnsi="Times New Roman"/>
          <w:sz w:val="16"/>
          <w:szCs w:val="16"/>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or sale of such Option for such price per share. For purposes of this Section 2(c)(2), the “lowest price per share for which one share of Common Stock is at any time issuable upon the exercise of any such Options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upon the granting, issuance or sale of such Option, upon exercise of such Option and upon conversion, exercise or exchange of any Convertible Security issuable upon exercise of such Option or otherwise pursuant to the terms thereof plus the value of any other consideration received or receivable by, or benefit conferred on, the holder of such Option (or any other Person). Except as contemplated below, no further adjustment of the Exercise Price shall be made upon the actual issuance of such shares of Common Stock or of such Convertible Securities upon the exercise of such Options or otherwise pursuant to the terms of or upon the actual issuance of such shares of Common Stock upon conversion, exercise or exchange of such Convertible Securities.</w:t>
      </w:r>
    </w:p>
    <w:p>
      <w:pPr>
        <w:spacing w:after="0" w:line="372" w:lineRule="exact"/>
        <w:rPr>
          <w:rFonts w:ascii="Times New Roman" w:cs="Times New Roman" w:eastAsia="Times New Roman" w:hAnsi="Times New Roman"/>
          <w:sz w:val="16"/>
          <w:szCs w:val="16"/>
          <w:color w:val="auto"/>
        </w:rPr>
      </w:pPr>
    </w:p>
    <w:p>
      <w:pPr>
        <w:ind w:left="5580" w:hanging="93"/>
        <w:spacing w:after="0"/>
        <w:tabs>
          <w:tab w:leader="none" w:pos="5580" w:val="left"/>
        </w:tabs>
        <w:numPr>
          <w:ilvl w:val="2"/>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4" w:name="page65"/>
    <w:bookmarkEnd w:id="64"/>
    <w:p>
      <w:pPr>
        <w:jc w:val="both"/>
        <w:ind w:left="-1120" w:firstLine="2365"/>
        <w:spacing w:after="0" w:line="259" w:lineRule="auto"/>
        <w:tabs>
          <w:tab w:leader="none" w:pos="147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Issuance of Convertible Securities</w:t>
      </w:r>
      <w:r>
        <w:rPr>
          <w:rFonts w:ascii="Times New Roman" w:cs="Times New Roman" w:eastAsia="Times New Roman" w:hAnsi="Times New Roman"/>
          <w:sz w:val="16"/>
          <w:szCs w:val="16"/>
          <w:color w:val="auto"/>
        </w:rPr>
        <w:t>. If the Company in any manner issues or sells (or enters into any agreement to issue or sell)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2(c)(3),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upon the issuance or sale (or the agreement to issue or sell, as applicable) of such Convertible Security plus the value of any other consideration received or receivable by, or benefit conferred on, the holder of such Convertible Security (or any other Person). Except as contemplated below, no further adjustment of the Exercise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an adjustment of the Exercise Price has been or is to be made pursuant to other provisions of this Section 2(c), except as contemplated below, no further adjustment of the Exercise Price shall be made by reason of such issuance or sale. For purposes of this Section 2(c)(3), any re-pricing or amendment of any Convertible Securities (including, for the avoidance of doubt, any Convertible Securities existing as of the date of the Securities Exchange Agreement) will be deemed to be the issuance of additional Convertible Securities, without affecting any prior adjustments theretofore made to the Exercise Price.</w:t>
      </w:r>
    </w:p>
    <w:p>
      <w:pPr>
        <w:spacing w:after="0" w:line="172" w:lineRule="exact"/>
        <w:rPr>
          <w:rFonts w:ascii="Times New Roman" w:cs="Times New Roman" w:eastAsia="Times New Roman" w:hAnsi="Times New Roman"/>
          <w:sz w:val="16"/>
          <w:szCs w:val="16"/>
          <w:color w:val="auto"/>
        </w:rPr>
      </w:pPr>
    </w:p>
    <w:p>
      <w:pPr>
        <w:jc w:val="both"/>
        <w:ind w:left="-1120" w:firstLine="2365"/>
        <w:spacing w:after="0" w:line="261" w:lineRule="auto"/>
        <w:tabs>
          <w:tab w:leader="none" w:pos="150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Option Price or Rate of Conversion</w:t>
      </w:r>
      <w:r>
        <w:rPr>
          <w:rFonts w:ascii="Times New Roman" w:cs="Times New Roman" w:eastAsia="Times New Roman" w:hAnsi="Times New Roman"/>
          <w:sz w:val="16"/>
          <w:szCs w:val="16"/>
          <w:color w:val="auto"/>
        </w:rPr>
        <w:t>. If the purchase or exercise price provided for in any Options, the additional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2(b))</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2(c)(4), if the terms of any Option or Convertible Security that was outstanding as of the date of the Securities Exchange Agreement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2(c)(4) shall be made if such adjustment would result in an increase of the Exercise Price then in effect.</w:t>
      </w:r>
    </w:p>
    <w:p>
      <w:pPr>
        <w:spacing w:after="0" w:line="167" w:lineRule="exact"/>
        <w:rPr>
          <w:rFonts w:ascii="Times New Roman" w:cs="Times New Roman" w:eastAsia="Times New Roman" w:hAnsi="Times New Roman"/>
          <w:sz w:val="16"/>
          <w:szCs w:val="16"/>
          <w:color w:val="auto"/>
        </w:rPr>
      </w:pPr>
    </w:p>
    <w:p>
      <w:pPr>
        <w:jc w:val="both"/>
        <w:ind w:left="-1120" w:firstLine="2365"/>
        <w:spacing w:after="0" w:line="260" w:lineRule="auto"/>
        <w:tabs>
          <w:tab w:leader="none" w:pos="147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Calculation of Consideration Received</w:t>
      </w:r>
      <w:r>
        <w:rPr>
          <w:rFonts w:ascii="Times New Roman" w:cs="Times New Roman" w:eastAsia="Times New Roman" w:hAnsi="Times New Roman"/>
          <w:sz w:val="16"/>
          <w:szCs w:val="16"/>
          <w:color w:val="auto"/>
        </w:rPr>
        <w:t>. If any Option and/or Convertible Security and/or Adjustment Right is issued in connection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the issuance or sale or deemed issuance or sale of any other securities of the Company (as determined by the Holder, the “</w:t>
      </w:r>
      <w:r>
        <w:rPr>
          <w:rFonts w:ascii="Times New Roman" w:cs="Times New Roman" w:eastAsia="Times New Roman" w:hAnsi="Times New Roman"/>
          <w:sz w:val="16"/>
          <w:szCs w:val="16"/>
          <w:b w:val="1"/>
          <w:bCs w:val="1"/>
          <w:color w:val="auto"/>
        </w:rPr>
        <w:t>Primary Security</w:t>
      </w:r>
      <w:r>
        <w:rPr>
          <w:rFonts w:ascii="Times New Roman" w:cs="Times New Roman" w:eastAsia="Times New Roman" w:hAnsi="Times New Roman"/>
          <w:sz w:val="16"/>
          <w:szCs w:val="16"/>
          <w:color w:val="auto"/>
        </w:rPr>
        <w:t>”, and such Option and/or Convertible Security and/or Adjustment Right, the “</w:t>
      </w:r>
      <w:r>
        <w:rPr>
          <w:rFonts w:ascii="Times New Roman" w:cs="Times New Roman" w:eastAsia="Times New Roman" w:hAnsi="Times New Roman"/>
          <w:sz w:val="16"/>
          <w:szCs w:val="16"/>
          <w:b w:val="1"/>
          <w:bCs w:val="1"/>
          <w:color w:val="auto"/>
        </w:rPr>
        <w:t>Secondary Securities</w:t>
      </w:r>
      <w:r>
        <w:rPr>
          <w:rFonts w:ascii="Times New Roman" w:cs="Times New Roman" w:eastAsia="Times New Roman" w:hAnsi="Times New Roman"/>
          <w:sz w:val="16"/>
          <w:szCs w:val="16"/>
          <w:color w:val="auto"/>
        </w:rPr>
        <w:t>” and together with the Primary Security, each a “</w:t>
      </w:r>
      <w:r>
        <w:rPr>
          <w:rFonts w:ascii="Times New Roman" w:cs="Times New Roman" w:eastAsia="Times New Roman" w:hAnsi="Times New Roman"/>
          <w:sz w:val="16"/>
          <w:szCs w:val="16"/>
          <w:b w:val="1"/>
          <w:bCs w:val="1"/>
          <w:color w:val="auto"/>
        </w:rPr>
        <w:t>Unit</w:t>
      </w:r>
      <w:r>
        <w:rPr>
          <w:rFonts w:ascii="Times New Roman" w:cs="Times New Roman" w:eastAsia="Times New Roman" w:hAnsi="Times New Roman"/>
          <w:sz w:val="16"/>
          <w:szCs w:val="16"/>
          <w:color w:val="auto"/>
        </w:rPr>
        <w:t>”), together comprising one integrated transaction, the aggregate consideration per share of Common Stock with respect to such Primary Security shall be deemed to be the lower of (x) the purchase price of such Unit, and (y) if such Primary Security is an Option and/or Convertible Security, the lowest price per share for which one share of Common Stock is at any time issuable upon the exercise or conversion of the Primary Security in accordance with Section 2(c)(2) or Section 2(c)(3) above.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Daily VWAPs of such security for each of the five (5) Trading Days immediately preceding the date of receipt. If such parties are unable to reach agreement within ten (10) days after the occurrence of an event requiring valuation (the “</w:t>
      </w:r>
      <w:r>
        <w:rPr>
          <w:rFonts w:ascii="Times New Roman" w:cs="Times New Roman" w:eastAsia="Times New Roman" w:hAnsi="Times New Roman"/>
          <w:sz w:val="16"/>
          <w:szCs w:val="16"/>
          <w:b w:val="1"/>
          <w:bCs w:val="1"/>
          <w:color w:val="auto"/>
        </w:rPr>
        <w:t>Valuation Event</w:t>
      </w:r>
      <w:r>
        <w:rPr>
          <w:rFonts w:ascii="Times New Roman" w:cs="Times New Roman" w:eastAsia="Times New Roman" w:hAnsi="Times New Roman"/>
          <w:sz w:val="16"/>
          <w:szCs w:val="16"/>
          <w:color w:val="auto"/>
        </w:rPr>
        <w: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69" w:lineRule="exact"/>
        <w:rPr>
          <w:rFonts w:ascii="Times New Roman" w:cs="Times New Roman" w:eastAsia="Times New Roman" w:hAnsi="Times New Roman"/>
          <w:sz w:val="16"/>
          <w:szCs w:val="16"/>
          <w:color w:val="auto"/>
        </w:rPr>
      </w:pPr>
    </w:p>
    <w:p>
      <w:pPr>
        <w:jc w:val="both"/>
        <w:ind w:left="-1120" w:firstLine="2365"/>
        <w:spacing w:after="0" w:line="267" w:lineRule="auto"/>
        <w:tabs>
          <w:tab w:leader="none" w:pos="148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 (1) the Exercise Price will not be adjusted pursuant to this Section 2(c) solely as a result of an Exempt Issuance; (2) in no event will the Exercise Price be increased pursuant to this Section 2(c); and (3) the Company will not effect any Degressive Issuance that would result in an adjustment to the Exercise Price pursuant to this Section 2(c) that requires the approval of the Company’s stockholders pursuant to the listing standards of the Company’s primary (measured in terms of trading volume for its Common Stock) Eligible Exchange (as defined in the Securities Exchange Agreement) on which the Common Stock is traded, unless the Company has obtained such stockholder approval before such Degressive Issuance.</w:t>
      </w:r>
    </w:p>
    <w:p>
      <w:pPr>
        <w:spacing w:after="0" w:line="356" w:lineRule="exact"/>
        <w:rPr>
          <w:rFonts w:ascii="Times New Roman" w:cs="Times New Roman" w:eastAsia="Times New Roman" w:hAnsi="Times New Roman"/>
          <w:sz w:val="16"/>
          <w:szCs w:val="16"/>
          <w:color w:val="auto"/>
        </w:rPr>
      </w:pPr>
    </w:p>
    <w:p>
      <w:pPr>
        <w:ind w:left="4460" w:hanging="93"/>
        <w:spacing w:after="0"/>
        <w:tabs>
          <w:tab w:leader="none" w:pos="4460"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6" w:right="339" w:bottom="1440" w:gutter="0" w:footer="0" w:header="0"/>
        </w:sectPr>
      </w:pPr>
    </w:p>
    <w:bookmarkStart w:id="65" w:name="page66"/>
    <w:bookmarkEnd w:id="65"/>
    <w:p>
      <w:pPr>
        <w:jc w:val="both"/>
        <w:ind w:left="-1120" w:firstLine="2365"/>
        <w:spacing w:after="0" w:line="262" w:lineRule="auto"/>
        <w:tabs>
          <w:tab w:leader="none" w:pos="1487"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2(c)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so as to protect the rights of the Holder; provided that no such adjustment pursuant to this Section 2(c) will increase the Exercise Price as otherwise determined pursuant to this Warrant;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67" w:lineRule="exact"/>
        <w:rPr>
          <w:rFonts w:ascii="Times New Roman" w:cs="Times New Roman" w:eastAsia="Times New Roman" w:hAnsi="Times New Roman"/>
          <w:sz w:val="16"/>
          <w:szCs w:val="16"/>
          <w:color w:val="auto"/>
        </w:rPr>
      </w:pPr>
    </w:p>
    <w:p>
      <w:pPr>
        <w:jc w:val="both"/>
        <w:ind w:left="-1120" w:firstLine="2365"/>
        <w:spacing w:after="0" w:line="277" w:lineRule="auto"/>
        <w:tabs>
          <w:tab w:leader="none" w:pos="1498" w:val="left"/>
        </w:tabs>
        <w:numPr>
          <w:ilvl w:val="2"/>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the avoidance of doubt, in the event the Exercise Price has been adjusted pursuant to this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and the Degressive Issuance that triggered such adjustment is unwound or is cancelled, for any reason whatsoever, in no event shall the Exercise Price be readjusted to the Exercise Price that would have been in effect if such Degressive Issuance had not occurred or been consummated.</w:t>
      </w:r>
    </w:p>
    <w:p>
      <w:pPr>
        <w:spacing w:after="0" w:line="151" w:lineRule="exact"/>
        <w:rPr>
          <w:rFonts w:ascii="Times New Roman" w:cs="Times New Roman" w:eastAsia="Times New Roman" w:hAnsi="Times New Roman"/>
          <w:sz w:val="16"/>
          <w:szCs w:val="16"/>
          <w:color w:val="auto"/>
        </w:rPr>
      </w:pPr>
    </w:p>
    <w:p>
      <w:pPr>
        <w:jc w:val="both"/>
        <w:ind w:left="-1120" w:firstLine="1182"/>
        <w:spacing w:after="0" w:line="260" w:lineRule="auto"/>
        <w:tabs>
          <w:tab w:leader="none" w:pos="22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UPON DISTRIBUTION OF ASSETS</w:t>
      </w:r>
      <w:r>
        <w:rPr>
          <w:rFonts w:ascii="Times New Roman" w:cs="Times New Roman" w:eastAsia="Times New Roman" w:hAnsi="Times New Roman"/>
          <w:sz w:val="16"/>
          <w:szCs w:val="16"/>
          <w:color w:val="auto"/>
        </w:rPr>
        <w:t xml:space="preserve">. In addition to any adjustments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if, on or after the Subscription Date and on or prior to the Expiration Date,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spin-off, reclassification, corporate rearrangement, scheme of arrangement or other similar transaction) (a “</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67" w:lineRule="exact"/>
        <w:rPr>
          <w:rFonts w:ascii="Times New Roman" w:cs="Times New Roman" w:eastAsia="Times New Roman" w:hAnsi="Times New Roman"/>
          <w:sz w:val="16"/>
          <w:szCs w:val="16"/>
          <w:color w:val="auto"/>
        </w:rPr>
      </w:pPr>
    </w:p>
    <w:p>
      <w:pPr>
        <w:ind w:left="220" w:hanging="158"/>
        <w:spacing w:after="0"/>
        <w:tabs>
          <w:tab w:leader="none" w:pos="2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 RIGHTS; FUNDAMENTAL TRANSACTIONS.</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60" w:lineRule="auto"/>
        <w:tabs>
          <w:tab w:leader="none" w:pos="878"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 Rights</w:t>
      </w:r>
      <w:r>
        <w:rPr>
          <w:rFonts w:ascii="Times New Roman" w:cs="Times New Roman" w:eastAsia="Times New Roman" w:hAnsi="Times New Roman"/>
          <w:sz w:val="16"/>
          <w:szCs w:val="16"/>
          <w:color w:val="auto"/>
        </w:rPr>
        <w:t xml:space="preserve">. In addition to any adjustments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if at any time on or after the Subscription Date and on or prior to the Expiration Date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6"/>
          <w:szCs w:val="16"/>
          <w:b w:val="1"/>
          <w:bCs w:val="1"/>
          <w:color w:val="auto"/>
        </w:rPr>
        <w:t>Purchase Rights</w:t>
      </w:r>
      <w:r>
        <w:rPr>
          <w:rFonts w:ascii="Times New Roman" w:cs="Times New Roman" w:eastAsia="Times New Roman" w:hAnsi="Times New Roman"/>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issuance or sale of such Purchase Rights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200" w:lineRule="exact"/>
        <w:rPr>
          <w:rFonts w:ascii="Times New Roman" w:cs="Times New Roman" w:eastAsia="Times New Roman" w:hAnsi="Times New Roman"/>
          <w:sz w:val="16"/>
          <w:szCs w:val="16"/>
          <w:color w:val="auto"/>
        </w:rPr>
      </w:pPr>
    </w:p>
    <w:p>
      <w:pPr>
        <w:spacing w:after="0" w:line="365" w:lineRule="exact"/>
        <w:rPr>
          <w:rFonts w:ascii="Times New Roman" w:cs="Times New Roman" w:eastAsia="Times New Roman" w:hAnsi="Times New Roman"/>
          <w:sz w:val="16"/>
          <w:szCs w:val="16"/>
          <w:color w:val="auto"/>
        </w:rPr>
      </w:pPr>
    </w:p>
    <w:p>
      <w:pPr>
        <w:ind w:left="4460" w:hanging="93"/>
        <w:spacing w:after="0"/>
        <w:tabs>
          <w:tab w:leader="none" w:pos="4460" w:val="left"/>
        </w:tabs>
        <w:numPr>
          <w:ilvl w:val="3"/>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66" w:name="page67"/>
    <w:bookmarkEnd w:id="66"/>
    <w:p>
      <w:pPr>
        <w:jc w:val="both"/>
        <w:ind w:left="-1120" w:firstLine="1773"/>
        <w:spacing w:after="0" w:line="258" w:lineRule="auto"/>
        <w:tabs>
          <w:tab w:leader="none" w:pos="887"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Fundamental Transaction</w:t>
      </w:r>
      <w:r>
        <w:rPr>
          <w:rFonts w:ascii="Times New Roman" w:cs="Times New Roman" w:eastAsia="Times New Roman" w:hAnsi="Times New Roman"/>
          <w:sz w:val="16"/>
          <w:szCs w:val="16"/>
          <w:color w:val="auto"/>
        </w:rPr>
        <w:t xml:space="preserve">. The Company shall not enter into or be party to a Fundamental Transaction unless the Successor Entity assumes in writing all of the obligations of the Company under this Warrant in accordance with the provisions of this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the Company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w:t>
      </w:r>
      <w:r>
        <w:rPr>
          <w:rFonts w:ascii="Times New Roman" w:cs="Times New Roman" w:eastAsia="Times New Roman" w:hAnsi="Times New Roman"/>
          <w:sz w:val="16"/>
          <w:szCs w:val="16"/>
          <w:u w:val="single" w:color="auto"/>
          <w:color w:val="auto"/>
        </w:rPr>
        <w:t>Sections 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4(a)</w:t>
      </w:r>
      <w:r>
        <w:rPr>
          <w:rFonts w:ascii="Times New Roman" w:cs="Times New Roman" w:eastAsia="Times New Roman" w:hAnsi="Times New Roman"/>
          <w:sz w:val="16"/>
          <w:szCs w:val="16"/>
          <w:color w:val="auto"/>
        </w:rPr>
        <w:t xml:space="preserve">, which shall continue to be receivable thereafter)) issuable upon the exercise of this Warrant prior to the applicable Fundamental Transaction, such shares of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hereof, the Holder may elect, at its sole option, by delivery of written notice to the Company to waive this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to permit the Fundamental Transaction without the assumption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6"/>
          <w:szCs w:val="16"/>
          <w:b w:val="1"/>
          <w:bCs w:val="1"/>
          <w:color w:val="auto"/>
        </w:rPr>
        <w:t>Corporate Event</w:t>
      </w:r>
      <w:r>
        <w:rPr>
          <w:rFonts w:ascii="Times New Roman" w:cs="Times New Roman" w:eastAsia="Times New Roman" w:hAnsi="Times New Roman"/>
          <w:sz w:val="16"/>
          <w:szCs w:val="16"/>
          <w:color w:val="auto"/>
        </w:rPr>
        <w:t xml:space="preserve">”),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w:t>
      </w:r>
      <w:r>
        <w:rPr>
          <w:rFonts w:ascii="Times New Roman" w:cs="Times New Roman" w:eastAsia="Times New Roman" w:hAnsi="Times New Roman"/>
          <w:sz w:val="16"/>
          <w:szCs w:val="16"/>
          <w:u w:val="single" w:color="auto"/>
          <w:color w:val="auto"/>
        </w:rPr>
        <w:t>Sections 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4(a)</w:t>
      </w:r>
      <w:r>
        <w:rPr>
          <w:rFonts w:ascii="Times New Roman" w:cs="Times New Roman" w:eastAsia="Times New Roman" w:hAnsi="Times New Roman"/>
          <w:sz w:val="16"/>
          <w:szCs w:val="16"/>
          <w:color w:val="auto"/>
        </w:rPr>
        <w:t xml:space="preser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The provision made pursuant to the preceding sentence shall be in a form and substance reasonably satisfactory to the Holder. The provisions of this </w:t>
      </w:r>
      <w:r>
        <w:rPr>
          <w:rFonts w:ascii="Times New Roman" w:cs="Times New Roman" w:eastAsia="Times New Roman" w:hAnsi="Times New Roman"/>
          <w:sz w:val="16"/>
          <w:szCs w:val="16"/>
          <w:u w:val="single" w:color="auto"/>
          <w:color w:val="auto"/>
        </w:rPr>
        <w:t>Section 4(b)</w:t>
      </w:r>
      <w:r>
        <w:rPr>
          <w:rFonts w:ascii="Times New Roman" w:cs="Times New Roman" w:eastAsia="Times New Roman" w:hAnsi="Times New Roman"/>
          <w:sz w:val="16"/>
          <w:szCs w:val="16"/>
          <w:color w:val="auto"/>
        </w:rPr>
        <w:t xml:space="preserve"> shall apply similarly and equally to successive Fundamental Transactions and Corporate Events. Notwithstanding the foregoing, in the event of a Change of Control, at the request of the Holder delivered before the 30th day after such Change of Control, the Company (or the Successor Entity) shall purchase this Warrant from the Holder by paying to the Holder, within five (5) Business Days after such request (or, if later, on the effective date of the Change of Control), an amount equal to the Black Scholes Value of the remaining unexercised portion of this Warrant on the effective date of such Change of Control, payable in cash; provided, however, that, if the Change of Control is not within the Company’s control, including not approved by the Company’s Board of Directors, Holder shall only be entitled to receive from the Company or any Successor Entity, as of the date of consummation of such Change of Control, the same type or form of consideration (and in the same proportion), at the Black Scholes Value of the unexercised portion of this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 provided, further, that if holders of Common Stock are not offered or paid any consideration in such Change of Control, such holders of Common Stock will be deemed to have received common stock of the Successor Entity (which entity may be the Company following such Change of Control) in such Change of Control.</w:t>
      </w:r>
    </w:p>
    <w:p>
      <w:pPr>
        <w:spacing w:after="0" w:line="371" w:lineRule="exact"/>
        <w:rPr>
          <w:rFonts w:ascii="Times New Roman" w:cs="Times New Roman" w:eastAsia="Times New Roman" w:hAnsi="Times New Roman"/>
          <w:sz w:val="16"/>
          <w:szCs w:val="16"/>
          <w:color w:val="auto"/>
        </w:rPr>
      </w:pPr>
    </w:p>
    <w:p>
      <w:pPr>
        <w:jc w:val="both"/>
        <w:ind w:left="-1120" w:firstLine="1182"/>
        <w:spacing w:after="0" w:line="262" w:lineRule="auto"/>
        <w:tabs>
          <w:tab w:leader="none" w:pos="22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NONCIRCUMVENTION</w:t>
      </w:r>
      <w:r>
        <w:rPr>
          <w:rFonts w:ascii="Times New Roman" w:cs="Times New Roman" w:eastAsia="Times New Roman" w:hAnsi="Times New Roman"/>
          <w:sz w:val="16"/>
          <w:szCs w:val="16"/>
          <w:color w:val="auto"/>
        </w:rPr>
        <w:t>. The Company hereby covenants and agrees that the Company will not, by amendment of its Certificate of Incorporation or Bylaws,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action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361" w:lineRule="exact"/>
        <w:rPr>
          <w:rFonts w:ascii="Times New Roman" w:cs="Times New Roman" w:eastAsia="Times New Roman" w:hAnsi="Times New Roman"/>
          <w:sz w:val="16"/>
          <w:szCs w:val="16"/>
          <w:color w:val="auto"/>
        </w:rPr>
      </w:pPr>
    </w:p>
    <w:p>
      <w:pPr>
        <w:ind w:left="4460" w:hanging="93"/>
        <w:spacing w:after="0"/>
        <w:tabs>
          <w:tab w:leader="none" w:pos="4460" w:val="left"/>
        </w:tabs>
        <w:numPr>
          <w:ilvl w:val="2"/>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67" w:name="page68"/>
    <w:bookmarkEnd w:id="67"/>
    <w:p>
      <w:pPr>
        <w:jc w:val="both"/>
        <w:ind w:left="-1120" w:firstLine="1182"/>
        <w:spacing w:after="0" w:line="262" w:lineRule="auto"/>
        <w:tabs>
          <w:tab w:leader="none" w:pos="24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WARRANT HOLDER NOT DEEMED A STOCKHOLDER</w:t>
      </w:r>
      <w:r>
        <w:rPr>
          <w:rFonts w:ascii="Times New Roman" w:cs="Times New Roman" w:eastAsia="Times New Roman" w:hAnsi="Times New Roman"/>
          <w:sz w:val="16"/>
          <w:szCs w:val="16"/>
          <w:color w:val="auto"/>
        </w:rPr>
        <w:t xml:space="preserve">.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the Company shall provide the Holder with copies of the same notices and other information given to the stockholders of the Company generally, contemporaneously with the giving thereof to the stockholders.</w:t>
      </w:r>
    </w:p>
    <w:p>
      <w:pPr>
        <w:spacing w:after="0" w:line="164" w:lineRule="exact"/>
        <w:rPr>
          <w:rFonts w:ascii="Times New Roman" w:cs="Times New Roman" w:eastAsia="Times New Roman" w:hAnsi="Times New Roman"/>
          <w:sz w:val="16"/>
          <w:szCs w:val="16"/>
          <w:color w:val="auto"/>
        </w:rPr>
      </w:pPr>
    </w:p>
    <w:p>
      <w:pPr>
        <w:ind w:left="220" w:hanging="158"/>
        <w:spacing w:after="0"/>
        <w:tabs>
          <w:tab w:leader="none" w:pos="2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REISSUANCE OF WARRANTS.</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65" w:lineRule="auto"/>
        <w:tabs>
          <w:tab w:leader="none" w:pos="87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of Warrant</w:t>
      </w:r>
      <w:r>
        <w:rPr>
          <w:rFonts w:ascii="Times New Roman" w:cs="Times New Roman" w:eastAsia="Times New Roman" w:hAnsi="Times New Roman"/>
          <w:sz w:val="16"/>
          <w:szCs w:val="16"/>
          <w:color w:val="auto"/>
        </w:rPr>
        <w:t xml:space="preserve">. If this Warrant is to be transferred, the Holder shall notify the Company and surrender this Warrant to the Company, whereupon the Company will forthwith issue and deliver upon the order of the Holder a new Warrant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xml:space="preserve">), registered as the Holder may request, representing the right to purchase the number of Warrant Shares being transferred by the Holder and, if less than the total number of Warrant Shares then underlying this Warrant is being transferred, a new Warrant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to the Holder representing the right to purchase the number of Warrant Shares not being transferred. The Company shall not be obligated to pay any tax which may be payable with respect to any transfer (or deemed transfer) arising in connection with the registration of any certificates for Warrant Shares or Warrants in the name of any Person other than the Holder.</w:t>
      </w:r>
    </w:p>
    <w:p>
      <w:pPr>
        <w:spacing w:after="0" w:line="161" w:lineRule="exact"/>
        <w:rPr>
          <w:rFonts w:ascii="Times New Roman" w:cs="Times New Roman" w:eastAsia="Times New Roman" w:hAnsi="Times New Roman"/>
          <w:sz w:val="16"/>
          <w:szCs w:val="16"/>
          <w:color w:val="auto"/>
        </w:rPr>
      </w:pPr>
    </w:p>
    <w:p>
      <w:pPr>
        <w:jc w:val="both"/>
        <w:ind w:left="-1120" w:firstLine="1773"/>
        <w:spacing w:after="0" w:line="270" w:lineRule="auto"/>
        <w:tabs>
          <w:tab w:leader="none" w:pos="899"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Lost, Stolen or Mutilated Warrant</w:t>
      </w:r>
      <w:r>
        <w:rPr>
          <w:rFonts w:ascii="Times New Roman" w:cs="Times New Roman" w:eastAsia="Times New Roman" w:hAnsi="Times New Roman"/>
          <w:sz w:val="16"/>
          <w:szCs w:val="16"/>
          <w:color w:val="auto"/>
        </w:rPr>
        <w:t xml:space="preserve">. Upon receipt by the Company of evidence reasonably satisfactory to the Company of the loss, theft, destruction or mutilation of this Warrant, and, in the case of loss, theft or destruction, of any indemnification undertaking by the Holder to the Company in customary form (but without the obligation to post a bond) and, in the case of mutilation, upon surrender and cancellation of this Warrant, the Company shall execute and deliver to the Holder a new Warrant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representing the right to purchase the Warrant Shares then underlying this Warrant.</w:t>
      </w:r>
    </w:p>
    <w:p>
      <w:pPr>
        <w:spacing w:after="0" w:line="157" w:lineRule="exact"/>
        <w:rPr>
          <w:rFonts w:ascii="Times New Roman" w:cs="Times New Roman" w:eastAsia="Times New Roman" w:hAnsi="Times New Roman"/>
          <w:sz w:val="16"/>
          <w:szCs w:val="16"/>
          <w:color w:val="auto"/>
        </w:rPr>
      </w:pPr>
    </w:p>
    <w:p>
      <w:pPr>
        <w:jc w:val="both"/>
        <w:ind w:left="-1120" w:firstLine="1773"/>
        <w:spacing w:after="0" w:line="274" w:lineRule="auto"/>
        <w:tabs>
          <w:tab w:leader="none" w:pos="87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Exchangeable for Multiple Warrants</w:t>
      </w:r>
      <w:r>
        <w:rPr>
          <w:rFonts w:ascii="Times New Roman" w:cs="Times New Roman" w:eastAsia="Times New Roman" w:hAnsi="Times New Roman"/>
          <w:sz w:val="16"/>
          <w:szCs w:val="16"/>
          <w:color w:val="auto"/>
        </w:rPr>
        <w:t xml:space="preserve">. This Warrant is exchangeable, upon the surrender hereof by the Holder at the principal office of the Company, for a new Warrant or Warrants (in accordance with </w:t>
      </w:r>
      <w:r>
        <w:rPr>
          <w:rFonts w:ascii="Times New Roman" w:cs="Times New Roman" w:eastAsia="Times New Roman" w:hAnsi="Times New Roman"/>
          <w:sz w:val="16"/>
          <w:szCs w:val="16"/>
          <w:u w:val="single" w:color="auto"/>
          <w:color w:val="auto"/>
        </w:rPr>
        <w:t>Section 7(d)</w:t>
      </w:r>
      <w:r>
        <w:rPr>
          <w:rFonts w:ascii="Times New Roman" w:cs="Times New Roman" w:eastAsia="Times New Roman" w:hAnsi="Times New Roman"/>
          <w:sz w:val="16"/>
          <w:szCs w:val="16"/>
          <w:color w:val="auto"/>
        </w:rPr>
        <w:t>)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355" w:lineRule="exact"/>
        <w:rPr>
          <w:rFonts w:ascii="Times New Roman" w:cs="Times New Roman" w:eastAsia="Times New Roman" w:hAnsi="Times New Roman"/>
          <w:sz w:val="16"/>
          <w:szCs w:val="16"/>
          <w:color w:val="auto"/>
        </w:rPr>
      </w:pPr>
    </w:p>
    <w:p>
      <w:pPr>
        <w:jc w:val="both"/>
        <w:ind w:left="-1120" w:firstLine="1773"/>
        <w:spacing w:after="0" w:line="265" w:lineRule="auto"/>
        <w:tabs>
          <w:tab w:leader="none" w:pos="899"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New Warrants</w:t>
      </w:r>
      <w:r>
        <w:rPr>
          <w:rFonts w:ascii="Times New Roman" w:cs="Times New Roman" w:eastAsia="Times New Roman" w:hAnsi="Times New Roman"/>
          <w:sz w:val="16"/>
          <w:szCs w:val="16"/>
          <w:color w:val="auto"/>
        </w:rPr>
        <w:t xml:space="preserve">.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7(c)</w:t>
      </w:r>
      <w:r>
        <w:rPr>
          <w:rFonts w:ascii="Times New Roman" w:cs="Times New Roman" w:eastAsia="Times New Roman" w:hAnsi="Times New Roman"/>
          <w:sz w:val="16"/>
          <w:szCs w:val="16"/>
          <w:color w:val="auto"/>
        </w:rPr>
        <w:t>,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61" w:lineRule="exact"/>
        <w:rPr>
          <w:rFonts w:ascii="Times New Roman" w:cs="Times New Roman" w:eastAsia="Times New Roman" w:hAnsi="Times New Roman"/>
          <w:sz w:val="16"/>
          <w:szCs w:val="16"/>
          <w:color w:val="auto"/>
        </w:rPr>
      </w:pPr>
    </w:p>
    <w:p>
      <w:pPr>
        <w:jc w:val="both"/>
        <w:ind w:left="-1120" w:firstLine="1182"/>
        <w:spacing w:after="0" w:line="262" w:lineRule="auto"/>
        <w:tabs>
          <w:tab w:leader="none" w:pos="227"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Warrants.</w:t>
      </w:r>
      <w:r>
        <w:rPr>
          <w:rFonts w:ascii="Times New Roman" w:cs="Times New Roman" w:eastAsia="Times New Roman" w:hAnsi="Times New Roman"/>
          <w:sz w:val="16"/>
          <w:szCs w:val="16"/>
          <w:color w:val="auto"/>
        </w:rPr>
        <w:t xml:space="preserve"> The Company agrees that for a period commencing on the date hereof and ending on the Business Day immediately following the completion of a Qualified Equity Financing (the “</w:t>
      </w:r>
      <w:r>
        <w:rPr>
          <w:rFonts w:ascii="Times New Roman" w:cs="Times New Roman" w:eastAsia="Times New Roman" w:hAnsi="Times New Roman"/>
          <w:sz w:val="16"/>
          <w:szCs w:val="16"/>
          <w:b w:val="1"/>
          <w:bCs w:val="1"/>
          <w:color w:val="auto"/>
        </w:rPr>
        <w:t>Restricted Period</w:t>
      </w:r>
      <w:r>
        <w:rPr>
          <w:rFonts w:ascii="Times New Roman" w:cs="Times New Roman" w:eastAsia="Times New Roman" w:hAnsi="Times New Roman"/>
          <w:sz w:val="16"/>
          <w:szCs w:val="16"/>
          <w:color w:val="auto"/>
        </w:rPr>
        <w:t>”), the Company is prohibited from issuing, or entering into an agreement, directly or indirectly, to issue, any warrants, that contain terms or provisions that are more favorable or preferable to the terms of this Warrant; provided that the determination of whether such terms or provisions are more favorable or preferable to the terms of this Warrant shall be in the sole discretion of the Holder. In the event that the Company desires to issue, or enter into an agreement to issue, warrants during the Restricted Period (the “</w:t>
      </w:r>
      <w:r>
        <w:rPr>
          <w:rFonts w:ascii="Times New Roman" w:cs="Times New Roman" w:eastAsia="Times New Roman" w:hAnsi="Times New Roman"/>
          <w:sz w:val="16"/>
          <w:szCs w:val="16"/>
          <w:b w:val="1"/>
          <w:bCs w:val="1"/>
          <w:color w:val="auto"/>
        </w:rPr>
        <w:t>Other Warrants</w:t>
      </w:r>
      <w:r>
        <w:rPr>
          <w:rFonts w:ascii="Times New Roman" w:cs="Times New Roman" w:eastAsia="Times New Roman" w:hAnsi="Times New Roman"/>
          <w:sz w:val="16"/>
          <w:szCs w:val="16"/>
          <w:color w:val="auto"/>
        </w:rPr>
        <w:t>”), the Company shall provide the Holder with written notice thereof, together with a copy of all documentation relating to such Other Warrants and, upon request of the Holder, any additional information related to such Other Warrants as may be reasonably requested by the Holder. In the sole discretion of the Holder, if the Holder determines that any terms or provisions of the Other Warrants are more favorable or preferable to the terms of this Warrant, the Holder will notify the Company in writing of the specific terms and/or provisions of the Other Warrants they have determined to be more favorable or preferable and all such terms and/or provisions shall be prohibited from inclusion in the Other Warrants.</w:t>
      </w:r>
    </w:p>
    <w:p>
      <w:pPr>
        <w:spacing w:after="0" w:line="361"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2"/>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68" w:name="page69"/>
    <w:bookmarkEnd w:id="68"/>
    <w:p>
      <w:pPr>
        <w:jc w:val="both"/>
        <w:ind w:firstLine="1182"/>
        <w:spacing w:after="0" w:line="262" w:lineRule="auto"/>
        <w:tabs>
          <w:tab w:leader="none" w:pos="134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or electronic mail or (b) from outside the United States, by International Federal Express or electronic mail, and (ii) will be deemed given (A) if delivered by first-class registered or certified mail domestic, three (3) Business Days after so mailed, (B) if delivered by nationally recognized overnight carrier, one (1) Business Day after so mailed, (C) if delivered by International Federal Express, two (2) Business Days after so mailed and (D) at the time of transmission, if delivered by electronic mail to each of the email addresses specified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prior to 5:00 p.m. (New York time) on a Trading Day and (E) the next Trading Day after the date of transmission, if delivered by electronic mail to each of the email addresses specified in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on a day that is not a Trading Day or later than 5:00 p.m. (New York time) on any Trading Day, and will be delivered and addressed as follows:</w:t>
      </w:r>
    </w:p>
    <w:p>
      <w:pPr>
        <w:spacing w:after="0" w:line="16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(i) if to the Company, to:</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76 Treble Cove Road, Building 3</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Billerica, MA 01862</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(919) 619-7346</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Joshua Savitz, Esq., Associate General Counsel</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josh.savitz@agrify.com</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19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125 High Street</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Boston, MA 02110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(617) 345-3000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Frank A. Segall, Esq.</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fsegall@burnslev.com</w:t>
      </w:r>
    </w:p>
    <w:p>
      <w:pPr>
        <w:spacing w:after="0" w:line="193" w:lineRule="exact"/>
        <w:rPr>
          <w:sz w:val="20"/>
          <w:szCs w:val="20"/>
          <w:color w:val="auto"/>
        </w:rPr>
      </w:pPr>
    </w:p>
    <w:p>
      <w:pPr>
        <w:ind w:firstLine="1182"/>
        <w:spacing w:after="0" w:line="296" w:lineRule="auto"/>
        <w:tabs>
          <w:tab w:leader="none" w:pos="142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Holder, at such address or other contact information delivered by the Holder to Company or as is on the books and records of the Company (provided that, with respect to the Holder, such notice may only be delivered via electronic mail),</w:t>
      </w:r>
    </w:p>
    <w:p>
      <w:pPr>
        <w:spacing w:after="0" w:line="13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2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3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12670 High Bluff Drive</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San Diego, CA 92130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Telephone: (858) 523-5400</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Attention: Michael E. Sullivan, Esq.</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Email: michael.sullivan@lw.com</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 xml:space="preserve">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promptly upon any adjustment of the Exercise Price, setting forth in reasonable detail, and certifying, the calculation of such adjustment,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pro rata to holders of shares of Common Stock or (C) for determining rights to vote with respect to any Fundamental Transaction, dissolution or liquidation and (iii) ten (10) Business Days (or such shorter period as is reasonably practicable under the circumstances if the Company does not have 10 Business Days’ prior notice) prior to the consummation of any Fundamental Transaction;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in each case that such information shall be made known to the public prior to or in conjunction with such notice being provided to the Holder but only to the extent the information in such notice constitutes material non-public information regarding the Company. It is expressly understood and agreed that the time of exercise specified by the Holder in each Exercise Notice shall be definitive and may not be disputed or challenged by the Company.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9" w:name="page70"/>
    <w:bookmarkEnd w:id="69"/>
    <w:p>
      <w:pPr>
        <w:jc w:val="both"/>
        <w:ind w:firstLine="1182"/>
        <w:spacing w:after="0" w:line="265" w:lineRule="auto"/>
        <w:tabs>
          <w:tab w:leader="none" w:pos="142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rights, remedy, power or privilege arising from this Warrant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61" w:lineRule="exact"/>
        <w:rPr>
          <w:rFonts w:ascii="Times New Roman" w:cs="Times New Roman" w:eastAsia="Times New Roman" w:hAnsi="Times New Roman"/>
          <w:sz w:val="16"/>
          <w:szCs w:val="16"/>
          <w:color w:val="auto"/>
        </w:rPr>
      </w:pPr>
    </w:p>
    <w:p>
      <w:pPr>
        <w:jc w:val="both"/>
        <w:ind w:firstLine="1182"/>
        <w:spacing w:after="0" w:line="258" w:lineRule="auto"/>
        <w:tabs>
          <w:tab w:leader="none" w:pos="1423"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JURY TRIAL</w:t>
      </w:r>
      <w:r>
        <w:rPr>
          <w:rFonts w:ascii="Times New Roman" w:cs="Times New Roman" w:eastAsia="Times New Roman" w:hAnsi="Times New Roman"/>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hereto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such party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set forth with respect to such party in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or such other address as such party subsequently delivers to the other party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 party hereto from bringing suit or taking other legal action against the other party in any other jurisdiction to collect on its obligations to the other party, to realize on any collateral or any other security for such obligations, or to enforce a judgment or other court ruling in favor of the other party.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Times New Roman" w:cs="Times New Roman" w:eastAsia="Times New Roman" w:hAnsi="Times New Roman"/>
          <w:sz w:val="16"/>
          <w:szCs w:val="16"/>
          <w:b w:val="1"/>
          <w:bCs w:val="1"/>
          <w:color w:val="auto"/>
        </w:rPr>
        <w:t>EACH PARTY HERETO HEREBY IRREVOCABLY WAIVES ANY RIGHT IT MAY</w:t>
      </w:r>
    </w:p>
    <w:p>
      <w:pPr>
        <w:spacing w:after="0" w:line="7" w:lineRule="exact"/>
        <w:rPr>
          <w:rFonts w:ascii="Times New Roman" w:cs="Times New Roman" w:eastAsia="Times New Roman" w:hAnsi="Times New Roman"/>
          <w:sz w:val="16"/>
          <w:szCs w:val="16"/>
          <w:color w:val="auto"/>
        </w:rPr>
      </w:pPr>
    </w:p>
    <w:p>
      <w:pPr>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HAVE, AND AGREES NOT TO REQUEST, A JURY TRIAL FOR THE ADJUDICATION OF ANY DISPUTE HEREUNDER OR IN CONNECTION WITH OR ARISING OUT OF THIS WARRANT OR ANY TRANSACTION CONTEMPLATED HEREBY</w:t>
      </w:r>
      <w:r>
        <w:rPr>
          <w:rFonts w:ascii="Times New Roman" w:cs="Times New Roman" w:eastAsia="Times New Roman" w:hAnsi="Times New Roman"/>
          <w:sz w:val="16"/>
          <w:szCs w:val="16"/>
          <w:color w:val="auto"/>
        </w:rPr>
        <w:t>.</w:t>
      </w:r>
    </w:p>
    <w:p>
      <w:pPr>
        <w:spacing w:after="0" w:line="154" w:lineRule="exact"/>
        <w:rPr>
          <w:rFonts w:ascii="Times New Roman" w:cs="Times New Roman" w:eastAsia="Times New Roman" w:hAnsi="Times New Roman"/>
          <w:sz w:val="16"/>
          <w:szCs w:val="16"/>
          <w:color w:val="auto"/>
        </w:rPr>
      </w:pPr>
    </w:p>
    <w:p>
      <w:pPr>
        <w:jc w:val="both"/>
        <w:ind w:firstLine="1182"/>
        <w:spacing w:after="0" w:line="262" w:lineRule="auto"/>
        <w:tabs>
          <w:tab w:leader="none" w:pos="1429" w:val="left"/>
        </w:tabs>
        <w:numPr>
          <w:ilvl w:val="0"/>
          <w:numId w:val="66"/>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DISPUTE RESOLUTION</w:t>
      </w:r>
      <w:r>
        <w:rPr>
          <w:rFonts w:ascii="Times New Roman" w:cs="Times New Roman" w:eastAsia="Times New Roman" w:hAnsi="Times New Roman"/>
          <w:sz w:val="16"/>
          <w:szCs w:val="16"/>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361" w:lineRule="exact"/>
        <w:rPr>
          <w:rFonts w:ascii="Times New Roman" w:cs="Times New Roman" w:eastAsia="Times New Roman" w:hAnsi="Times New Roman"/>
          <w:sz w:val="16"/>
          <w:szCs w:val="16"/>
          <w:u w:val="single" w:color="auto"/>
          <w:color w:val="auto"/>
        </w:rPr>
      </w:pPr>
    </w:p>
    <w:p>
      <w:pPr>
        <w:ind w:left="5540" w:hanging="94"/>
        <w:spacing w:after="0"/>
        <w:tabs>
          <w:tab w:leader="none" w:pos="554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0" w:name="page71"/>
    <w:bookmarkEnd w:id="70"/>
    <w:p>
      <w:pPr>
        <w:jc w:val="both"/>
        <w:ind w:left="-1120" w:firstLine="1182"/>
        <w:spacing w:after="0" w:line="263" w:lineRule="auto"/>
        <w:tabs>
          <w:tab w:leader="none" w:pos="30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 OTHER OBLIGATIONS, BREACHES AND INJUNCTIVE RELIEF</w:t>
      </w:r>
      <w:r>
        <w:rPr>
          <w:rFonts w:ascii="Times New Roman" w:cs="Times New Roman" w:eastAsia="Times New Roman" w:hAnsi="Times New Roman"/>
          <w:sz w:val="16"/>
          <w:szCs w:val="16"/>
          <w:color w:val="auto"/>
        </w:rPr>
        <w:t>. The remedies provided in this Warrant shall be cumulative and in addition to all other remedies available under this Warrant and any other Transaction Documents, at law or in equity (including a decree of specific performance and/or other injunctive relief), and nothing herein shall limit the right of the Holder or the Company to pursue actual damages for any failure by the other party to comply with the terms of this Warrant. Each of the Company and the Holder acknowledges that a breach by such party of its obligations hereunder will cause irreparable harm to the other party and that the remedy at law for any such breach may be inadequate. The Company and the Holder therefore agree that, in the event of any such breach or threatened breach, the other party shall be entitled, in addition to all other available remedies, to an injunction restraining any breach, without the necessity of showing economic loss and without any bond or other security being required.</w:t>
      </w:r>
    </w:p>
    <w:p>
      <w:pPr>
        <w:spacing w:after="0" w:line="166" w:lineRule="exact"/>
        <w:rPr>
          <w:rFonts w:ascii="Times New Roman" w:cs="Times New Roman" w:eastAsia="Times New Roman" w:hAnsi="Times New Roman"/>
          <w:sz w:val="16"/>
          <w:szCs w:val="16"/>
          <w:color w:val="auto"/>
        </w:rPr>
      </w:pPr>
    </w:p>
    <w:p>
      <w:pPr>
        <w:ind w:left="-1120" w:firstLine="1182"/>
        <w:spacing w:after="0" w:line="296" w:lineRule="auto"/>
        <w:tabs>
          <w:tab w:leader="none" w:pos="322"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Subject to the transfer conditions referred to in the legend hereon and compliance with </w:t>
      </w:r>
      <w:r>
        <w:rPr>
          <w:rFonts w:ascii="Times New Roman" w:cs="Times New Roman" w:eastAsia="Times New Roman" w:hAnsi="Times New Roman"/>
          <w:sz w:val="16"/>
          <w:szCs w:val="16"/>
          <w:u w:val="single" w:color="auto"/>
          <w:color w:val="auto"/>
        </w:rPr>
        <w:t>Section 7(a)</w:t>
      </w:r>
      <w:r>
        <w:rPr>
          <w:rFonts w:ascii="Times New Roman" w:cs="Times New Roman" w:eastAsia="Times New Roman" w:hAnsi="Times New Roman"/>
          <w:sz w:val="16"/>
          <w:szCs w:val="16"/>
          <w:color w:val="auto"/>
        </w:rPr>
        <w:t>, this Warrant and the Warrant Shares may be offered for sale, sold, transferred, pledged or assigned without the consent of the Company.</w:t>
      </w:r>
    </w:p>
    <w:p>
      <w:pPr>
        <w:spacing w:after="0" w:line="137" w:lineRule="exact"/>
        <w:rPr>
          <w:rFonts w:ascii="Times New Roman" w:cs="Times New Roman" w:eastAsia="Times New Roman" w:hAnsi="Times New Roman"/>
          <w:sz w:val="16"/>
          <w:szCs w:val="16"/>
          <w:color w:val="auto"/>
        </w:rPr>
      </w:pPr>
    </w:p>
    <w:p>
      <w:pPr>
        <w:ind w:left="300" w:hanging="238"/>
        <w:spacing w:after="0"/>
        <w:tabs>
          <w:tab w:leader="none" w:pos="3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THE SECURITIES ACT.</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67" w:lineRule="auto"/>
        <w:tabs>
          <w:tab w:leader="none" w:pos="878"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Comply with the Securities Act; Legend</w:t>
      </w:r>
      <w:r>
        <w:rPr>
          <w:rFonts w:ascii="Times New Roman" w:cs="Times New Roman" w:eastAsia="Times New Roman" w:hAnsi="Times New Roman"/>
          <w:sz w:val="16"/>
          <w:szCs w:val="16"/>
          <w:color w:val="auto"/>
        </w:rPr>
        <w:t xml:space="preserve">. The Holder, by acceptance of this Warrant, agrees to comply in all respects with the provisions of this </w:t>
      </w: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and the restrictive legend requirements set forth on the face of this Warrant and further agrees that such Holder shall not offer, sell or otherwise dispose of this Warrant or any Warrant Shares to be issued upon exercise hereof except under circumstances that will not result in a violation of the Securities Act. This Warrant and all Warrant Shares issued upon exercise of this Warrant (unless registered under the Securities Act) shall be stamped or imprinted with a legend in substantially the following form:</w:t>
      </w:r>
    </w:p>
    <w:p>
      <w:pPr>
        <w:spacing w:after="0" w:line="160" w:lineRule="exact"/>
        <w:rPr>
          <w:sz w:val="20"/>
          <w:szCs w:val="20"/>
          <w:color w:val="auto"/>
        </w:rPr>
      </w:pPr>
    </w:p>
    <w:p>
      <w:pPr>
        <w:jc w:val="both"/>
        <w:ind w:left="60" w:right="1100"/>
        <w:spacing w:after="0" w:line="263" w:lineRule="auto"/>
        <w:rPr>
          <w:sz w:val="20"/>
          <w:szCs w:val="20"/>
          <w:color w:val="auto"/>
        </w:rPr>
      </w:pPr>
      <w:r>
        <w:rPr>
          <w:rFonts w:ascii="Times New Roman" w:cs="Times New Roman" w:eastAsia="Times New Roman" w:hAnsi="Times New Roman"/>
          <w:sz w:val="16"/>
          <w:szCs w:val="16"/>
          <w:color w:val="auto"/>
        </w:rPr>
        <w:t>“THE SECURITIES REPRESENTED BY THIS WARRANT, AND THE SECURITIES ISSUABLE UPON EXERCISE THEREOF,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166" w:lineRule="exact"/>
        <w:rPr>
          <w:sz w:val="20"/>
          <w:szCs w:val="20"/>
          <w:color w:val="auto"/>
        </w:rPr>
      </w:pPr>
    </w:p>
    <w:p>
      <w:pPr>
        <w:ind w:left="-1120" w:firstLine="1773"/>
        <w:spacing w:after="0" w:line="296" w:lineRule="auto"/>
        <w:tabs>
          <w:tab w:leader="none" w:pos="8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of the Holder</w:t>
      </w:r>
      <w:r>
        <w:rPr>
          <w:rFonts w:ascii="Times New Roman" w:cs="Times New Roman" w:eastAsia="Times New Roman" w:hAnsi="Times New Roman"/>
          <w:sz w:val="16"/>
          <w:szCs w:val="16"/>
          <w:color w:val="auto"/>
        </w:rPr>
        <w:t>. In connection with the issuance of this Warrant, the Holder specifically represents, as of the date hereof, to the Company by acceptance of this Warrant as follows:</w:t>
      </w:r>
    </w:p>
    <w:p>
      <w:pPr>
        <w:spacing w:after="0" w:line="137" w:lineRule="exact"/>
        <w:rPr>
          <w:rFonts w:ascii="Times New Roman" w:cs="Times New Roman" w:eastAsia="Times New Roman" w:hAnsi="Times New Roman"/>
          <w:sz w:val="16"/>
          <w:szCs w:val="16"/>
          <w:color w:val="auto"/>
        </w:rPr>
      </w:pPr>
    </w:p>
    <w:p>
      <w:pPr>
        <w:jc w:val="both"/>
        <w:ind w:left="-1120" w:firstLine="2365"/>
        <w:spacing w:after="0" w:line="277" w:lineRule="auto"/>
        <w:tabs>
          <w:tab w:leader="none" w:pos="1503"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is an “accredited investor” as defined in Rule 501(a) of Regulation D promulgated under the Securities Act. The Holder is acquiring this Warrant and the shares of Common Stock to be issued upon exercise hereof for investment for its own account and not with a view towards, or for resale in connection with, the public sale or distribution of this Warrant or the Warrant Shares, except pursuant to sales registered or exempted under the Securities Act.</w:t>
      </w:r>
    </w:p>
    <w:p>
      <w:pPr>
        <w:spacing w:after="0" w:line="151" w:lineRule="exact"/>
        <w:rPr>
          <w:rFonts w:ascii="Times New Roman" w:cs="Times New Roman" w:eastAsia="Times New Roman" w:hAnsi="Times New Roman"/>
          <w:sz w:val="16"/>
          <w:szCs w:val="16"/>
          <w:color w:val="auto"/>
        </w:rPr>
      </w:pPr>
    </w:p>
    <w:p>
      <w:pPr>
        <w:jc w:val="both"/>
        <w:ind w:left="-1120" w:firstLine="2365"/>
        <w:spacing w:after="0" w:line="267" w:lineRule="auto"/>
        <w:tabs>
          <w:tab w:leader="none" w:pos="1479"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understands and acknowledges that this Warrant and the shares of Common Stock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Rule 144 under the Securities Act, as presently in effect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and understands the resale limitations imposed thereby and by the Securities Act.</w:t>
      </w:r>
    </w:p>
    <w:p>
      <w:pPr>
        <w:spacing w:after="0" w:line="159" w:lineRule="exact"/>
        <w:rPr>
          <w:rFonts w:ascii="Times New Roman" w:cs="Times New Roman" w:eastAsia="Times New Roman" w:hAnsi="Times New Roman"/>
          <w:sz w:val="16"/>
          <w:szCs w:val="16"/>
          <w:color w:val="auto"/>
        </w:rPr>
      </w:pPr>
    </w:p>
    <w:p>
      <w:pPr>
        <w:jc w:val="both"/>
        <w:ind w:left="-1120" w:firstLine="2365"/>
        <w:spacing w:after="0" w:line="270" w:lineRule="auto"/>
        <w:tabs>
          <w:tab w:leader="none" w:pos="1487"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acknowledges that it can bear the economic and financial risk of its investment for an indefinite period, and has such knowledge and experience in financial or business matters that it is capable of evaluating the merits and risks of the investment in the Warrant and the Warrant Shares. The Holder has had an opportunity to ask questions and receive answers from the Company regarding the terms and conditions of the offering of the Warrant and the business, properties, prospects and financial condition of the Company.</w:t>
      </w:r>
    </w:p>
    <w:p>
      <w:pPr>
        <w:spacing w:after="0" w:line="355"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2"/>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71" w:name="page72"/>
    <w:bookmarkEnd w:id="71"/>
    <w:p>
      <w:pPr>
        <w:jc w:val="both"/>
        <w:ind w:left="-1120" w:firstLine="1773"/>
        <w:spacing w:after="0" w:line="263" w:lineRule="auto"/>
        <w:tabs>
          <w:tab w:leader="none" w:pos="89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 of the Company</w:t>
      </w:r>
      <w:r>
        <w:rPr>
          <w:rFonts w:ascii="Times New Roman" w:cs="Times New Roman" w:eastAsia="Times New Roman" w:hAnsi="Times New Roman"/>
          <w:sz w:val="16"/>
          <w:szCs w:val="16"/>
          <w:color w:val="auto"/>
        </w:rPr>
        <w:t>. The Company acknowledges and agrees that the Holder may from time to time pledge pursuant to a bona fide margin agreement with a registered broker-dealer or grant a security interest in some or all of this Warrant or the Warrant Shares to a financial institution that is an “accredited investor” as defined in Rule 501(a) under the Securities Act and, if required under the terms of such arrangement, Holder may transfer any pledged or secured Warrant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Holder’s expense, the Company will execute and deliver such reasonable documentation as a pledgee or secured party of this Warrants or any Warrant Shares may reasonably request in connection with a pledge or transfer of this Warrant or any Warrant Shares.</w:t>
      </w:r>
    </w:p>
    <w:p>
      <w:pPr>
        <w:spacing w:after="0" w:line="166" w:lineRule="exact"/>
        <w:rPr>
          <w:rFonts w:ascii="Times New Roman" w:cs="Times New Roman" w:eastAsia="Times New Roman" w:hAnsi="Times New Roman"/>
          <w:sz w:val="16"/>
          <w:szCs w:val="16"/>
          <w:color w:val="auto"/>
        </w:rPr>
      </w:pPr>
    </w:p>
    <w:p>
      <w:pPr>
        <w:jc w:val="both"/>
        <w:ind w:left="-1120" w:firstLine="1773"/>
        <w:spacing w:after="0" w:line="259" w:lineRule="auto"/>
        <w:tabs>
          <w:tab w:leader="none" w:pos="887"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 of Legends</w:t>
      </w:r>
      <w:r>
        <w:rPr>
          <w:rFonts w:ascii="Times New Roman" w:cs="Times New Roman" w:eastAsia="Times New Roman" w:hAnsi="Times New Roman"/>
          <w:sz w:val="16"/>
          <w:szCs w:val="16"/>
          <w:color w:val="auto"/>
        </w:rPr>
        <w:t xml:space="preserve">. This Warrant and the Warrant Shares shall not be required to contain the legend set forth in </w:t>
      </w:r>
      <w:r>
        <w:rPr>
          <w:rFonts w:ascii="Times New Roman" w:cs="Times New Roman" w:eastAsia="Times New Roman" w:hAnsi="Times New Roman"/>
          <w:sz w:val="16"/>
          <w:szCs w:val="16"/>
          <w:u w:val="single" w:color="auto"/>
          <w:color w:val="auto"/>
        </w:rPr>
        <w:t>Section 14(a)</w:t>
      </w:r>
      <w:r>
        <w:rPr>
          <w:rFonts w:ascii="Times New Roman" w:cs="Times New Roman" w:eastAsia="Times New Roman" w:hAnsi="Times New Roman"/>
          <w:sz w:val="16"/>
          <w:szCs w:val="16"/>
          <w:color w:val="auto"/>
        </w:rPr>
        <w:t xml:space="preserve"> or any other legend (i) following any sale of the Warrant or Warrant Shares pursuant to Rule 144 (assuming the transferor is not an affiliate of the Company), provided that the Holder furnishes the Company with reasonable assurances that such Warrant or Warrant Shares are eligible for sale, assignment or transfer under Rule 144 which shall not include an opinion of the Holder’s counsel, (ii) in connection with a sale, assignment or other transfer (other than under Rule 144), provided that the Holder provides the Company with an opinion in a form reasonably acceptable to the Company to the effect that such sale, assignment or transfer of the Warrant or Warrant Shares may be made without registration under the applicable requirements of the Securities Act or (iii) if such legend is not required or customarily included under applicable provisions of the Securities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the Holder delivers notice to the Company with respect to this Warrant or any Warrant Shares issued in the form of book-entries or, if applicable, delivers a legended certificate representing Warrant Shares to the Company) following the delivery by the Holder to the Company or the Transfer Agent (with notice to the Company) of notice with respect to this Warrant or any Warrant Shares issued in the form of book-entries or, if applicable, a legended certificate representing any Warrant Shares (endorsed or with stock powers attached, signatures guaranteed, and otherwise in form necessary to affect the reissuance and/or transfer, if applicable), together with any other deliveries from the Holder as may be reasonably required above in this </w:t>
      </w:r>
      <w:r>
        <w:rPr>
          <w:rFonts w:ascii="Times New Roman" w:cs="Times New Roman" w:eastAsia="Times New Roman" w:hAnsi="Times New Roman"/>
          <w:sz w:val="16"/>
          <w:szCs w:val="16"/>
          <w:u w:val="single" w:color="auto"/>
          <w:color w:val="auto"/>
        </w:rPr>
        <w:t>Section 14(c)</w:t>
      </w:r>
      <w:r>
        <w:rPr>
          <w:rFonts w:ascii="Times New Roman" w:cs="Times New Roman" w:eastAsia="Times New Roman" w:hAnsi="Times New Roman"/>
          <w:sz w:val="16"/>
          <w:szCs w:val="16"/>
          <w:color w:val="auto"/>
        </w:rPr>
        <w:t xml:space="preserve"> (such date, the “</w:t>
      </w:r>
      <w:r>
        <w:rPr>
          <w:rFonts w:ascii="Times New Roman" w:cs="Times New Roman" w:eastAsia="Times New Roman" w:hAnsi="Times New Roman"/>
          <w:sz w:val="16"/>
          <w:szCs w:val="16"/>
          <w:b w:val="1"/>
          <w:bCs w:val="1"/>
          <w:color w:val="auto"/>
        </w:rPr>
        <w:t>Legend Removal Date</w:t>
      </w:r>
      <w:r>
        <w:rPr>
          <w:rFonts w:ascii="Times New Roman" w:cs="Times New Roman" w:eastAsia="Times New Roman" w:hAnsi="Times New Roman"/>
          <w:sz w:val="16"/>
          <w:szCs w:val="16"/>
          <w:color w:val="auto"/>
        </w:rPr>
        <w:t>”), as directed by the Holder, either: (A) provided that the Transfer Agent is participating in FAST, credit the applicable number of Warrant Shares to the Holder’s or its designee’s balance account with DTC through its Deposit/Withdrawal at Custodian system or (B) with respect to this Warrant or if the Transfer Agent is not participating in FAST, issue and deliver (via reputable overnight courier) to the Holder, an updated form of this Warrant or a certificate representing Warrant Shares, as applicable, in the case of each of clauses (A) and (B) above, free from all restrictive and other legends, registered in the name of the Holder or its designee. The Company shall be responsible for any transfer agent fees or DTC fees with respect to any issuance of Warrant Shares or the removal of any legends with respect to this Warrant or any Warrant Shares in accordance herewith.</w:t>
      </w:r>
    </w:p>
    <w:p>
      <w:pPr>
        <w:spacing w:after="0" w:line="369" w:lineRule="exact"/>
        <w:rPr>
          <w:rFonts w:ascii="Times New Roman" w:cs="Times New Roman" w:eastAsia="Times New Roman" w:hAnsi="Times New Roman"/>
          <w:sz w:val="16"/>
          <w:szCs w:val="16"/>
          <w:color w:val="auto"/>
        </w:rPr>
      </w:pPr>
    </w:p>
    <w:p>
      <w:pPr>
        <w:jc w:val="both"/>
        <w:ind w:left="-1120" w:firstLine="1773"/>
        <w:spacing w:after="0" w:line="260" w:lineRule="auto"/>
        <w:tabs>
          <w:tab w:leader="none" w:pos="90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addition to the Holder’s other available remedies hereunder, the Company shall pay to the Holder, in cash, (i) as partial liquidated damages and not as a penalty, for each $1,000 of Warrant Shares (based on the Weighted Average Price of the Common Stock on the date the Holder delivers notice or a legended certificate, as applicable, to the Company or the Transfer Agent with respect to such Warrant Shares pursuant to </w:t>
      </w:r>
      <w:r>
        <w:rPr>
          <w:rFonts w:ascii="Times New Roman" w:cs="Times New Roman" w:eastAsia="Times New Roman" w:hAnsi="Times New Roman"/>
          <w:sz w:val="16"/>
          <w:szCs w:val="16"/>
          <w:u w:val="single" w:color="auto"/>
          <w:color w:val="auto"/>
        </w:rPr>
        <w:t>Section 14(d)</w:t>
      </w:r>
      <w:r>
        <w:rPr>
          <w:rFonts w:ascii="Times New Roman" w:cs="Times New Roman" w:eastAsia="Times New Roman" w:hAnsi="Times New Roman"/>
          <w:sz w:val="16"/>
          <w:szCs w:val="16"/>
          <w:color w:val="auto"/>
        </w:rPr>
        <w:t xml:space="preserve">) delivered for removal of the restrictive legend and subject to </w:t>
      </w:r>
      <w:r>
        <w:rPr>
          <w:rFonts w:ascii="Times New Roman" w:cs="Times New Roman" w:eastAsia="Times New Roman" w:hAnsi="Times New Roman"/>
          <w:sz w:val="16"/>
          <w:szCs w:val="16"/>
          <w:u w:val="single" w:color="auto"/>
          <w:color w:val="auto"/>
        </w:rPr>
        <w:t>Section 14(d)</w:t>
      </w:r>
      <w:r>
        <w:rPr>
          <w:rFonts w:ascii="Times New Roman" w:cs="Times New Roman" w:eastAsia="Times New Roman" w:hAnsi="Times New Roman"/>
          <w:sz w:val="16"/>
          <w:szCs w:val="16"/>
          <w:color w:val="auto"/>
        </w:rPr>
        <w:t xml:space="preserve">, $10 per Trading Day (increasing to $20 per Trading Day five (5) Trading Days after such damages have begun to accrue) for each Trading Day after the Legend Removal Date until such Warrant Shares are delivered without a legend and (ii) if the Company is obligated to remove the restrictive legends pursuant to </w:t>
      </w:r>
      <w:r>
        <w:rPr>
          <w:rFonts w:ascii="Times New Roman" w:cs="Times New Roman" w:eastAsia="Times New Roman" w:hAnsi="Times New Roman"/>
          <w:sz w:val="16"/>
          <w:szCs w:val="16"/>
          <w:u w:val="single" w:color="auto"/>
          <w:color w:val="auto"/>
        </w:rPr>
        <w:t>Section 14(d)</w:t>
      </w:r>
      <w:r>
        <w:rPr>
          <w:rFonts w:ascii="Times New Roman" w:cs="Times New Roman" w:eastAsia="Times New Roman" w:hAnsi="Times New Roman"/>
          <w:sz w:val="16"/>
          <w:szCs w:val="16"/>
          <w:color w:val="auto"/>
        </w:rPr>
        <w:t xml:space="preserve"> but fails to (a) issue and deliver (or cause to be delivered) Warrant Shares to the Holder by the Legend Removal Date that are free from all restrictive and other legends and (b) if after the Legend Removal Date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Warrant Shares that the Company was required to deliver to the Holder by the Legend Removal Date multiplied by (B) the price at which the sell order giving rise to such purchase obligation was executed.</w:t>
      </w:r>
    </w:p>
    <w:p>
      <w:pPr>
        <w:spacing w:after="0" w:line="171" w:lineRule="exact"/>
        <w:rPr>
          <w:rFonts w:ascii="Times New Roman" w:cs="Times New Roman" w:eastAsia="Times New Roman" w:hAnsi="Times New Roman"/>
          <w:sz w:val="16"/>
          <w:szCs w:val="16"/>
          <w:color w:val="auto"/>
        </w:rPr>
      </w:pPr>
    </w:p>
    <w:p>
      <w:pPr>
        <w:jc w:val="both"/>
        <w:ind w:left="-1120" w:firstLine="1773"/>
        <w:spacing w:after="0" w:line="277" w:lineRule="auto"/>
        <w:tabs>
          <w:tab w:leader="none" w:pos="86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facilitate the Company filing a registration statement covering the issuance or resale of any Warrant Shares issued and issuable upon exercise of this Warrant, the Holder hereby agrees to provide the Company with, following reasonable advance written request by the Company, an executed selling stockholder questionnaire in a form reasonably acceptable to the Holder and the Company as is customary under the circumstances.</w:t>
      </w:r>
    </w:p>
    <w:p>
      <w:pPr>
        <w:spacing w:after="0" w:line="348"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72" w:name="page73"/>
    <w:bookmarkEnd w:id="72"/>
    <w:p>
      <w:pPr>
        <w:jc w:val="both"/>
        <w:ind w:left="-1120" w:firstLine="1182"/>
        <w:spacing w:after="0" w:line="262" w:lineRule="auto"/>
        <w:tabs>
          <w:tab w:leader="none" w:pos="30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CONSTRUCTION; HEADINGS</w:t>
      </w:r>
      <w:r>
        <w:rPr>
          <w:rFonts w:ascii="Times New Roman" w:cs="Times New Roman" w:eastAsia="Times New Roman" w:hAnsi="Times New Roman"/>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64" w:lineRule="exact"/>
        <w:rPr>
          <w:rFonts w:ascii="Times New Roman" w:cs="Times New Roman" w:eastAsia="Times New Roman" w:hAnsi="Times New Roman"/>
          <w:sz w:val="16"/>
          <w:szCs w:val="16"/>
          <w:color w:val="auto"/>
        </w:rPr>
      </w:pPr>
    </w:p>
    <w:p>
      <w:pPr>
        <w:jc w:val="both"/>
        <w:ind w:left="-1120" w:firstLine="1182"/>
        <w:spacing w:after="0" w:line="262" w:lineRule="auto"/>
        <w:tabs>
          <w:tab w:leader="none" w:pos="32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xml:space="preserve">.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w:t>
      </w: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xml:space="preserve"> shall limit any obligations of the Company, or any rights of the Holder, under any other agreement by and between the Company and the Holder.</w:t>
      </w:r>
    </w:p>
    <w:p>
      <w:pPr>
        <w:spacing w:after="0" w:line="164" w:lineRule="exact"/>
        <w:rPr>
          <w:rFonts w:ascii="Times New Roman" w:cs="Times New Roman" w:eastAsia="Times New Roman" w:hAnsi="Times New Roman"/>
          <w:sz w:val="16"/>
          <w:szCs w:val="16"/>
          <w:color w:val="auto"/>
        </w:rPr>
      </w:pPr>
    </w:p>
    <w:p>
      <w:pPr>
        <w:jc w:val="both"/>
        <w:ind w:left="-1120" w:firstLine="1182"/>
        <w:spacing w:after="0" w:line="265" w:lineRule="auto"/>
        <w:tabs>
          <w:tab w:leader="none" w:pos="322"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TRADING AND DISCLOSURE RESTRICTIONS</w:t>
      </w:r>
      <w:r>
        <w:rPr>
          <w:rFonts w:ascii="Times New Roman" w:cs="Times New Roman" w:eastAsia="Times New Roman" w:hAnsi="Times New Roman"/>
          <w:sz w:val="16"/>
          <w:szCs w:val="16"/>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61" w:lineRule="exact"/>
        <w:rPr>
          <w:rFonts w:ascii="Times New Roman" w:cs="Times New Roman" w:eastAsia="Times New Roman" w:hAnsi="Times New Roman"/>
          <w:sz w:val="16"/>
          <w:szCs w:val="16"/>
          <w:color w:val="auto"/>
        </w:rPr>
      </w:pPr>
    </w:p>
    <w:p>
      <w:pPr>
        <w:jc w:val="both"/>
        <w:ind w:left="-1120" w:firstLine="1182"/>
        <w:spacing w:after="0" w:line="267" w:lineRule="auto"/>
        <w:tabs>
          <w:tab w:leader="none" w:pos="30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ELECTRONIC SIGNATURES</w:t>
      </w:r>
      <w:r>
        <w:rPr>
          <w:rFonts w:ascii="Times New Roman" w:cs="Times New Roman" w:eastAsia="Times New Roman" w:hAnsi="Times New Roman"/>
          <w:sz w:val="16"/>
          <w:szCs w:val="16"/>
          <w:color w:val="auto"/>
        </w:rPr>
        <w:t>. This Warrant may be executed in counterparts, each of which shall be deemed an original, but all of which together shall be deemed to be one and the same agreement. A signed copy of this Warrant delivered by facsimile, e-mail or other means of electronic transmission shall be deemed to have the same legal effect as delivery of an original signed copy of this Warrant.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356"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73" w:name="page74"/>
    <w:bookmarkEnd w:id="73"/>
    <w:p>
      <w:pPr>
        <w:ind w:left="300" w:hanging="238"/>
        <w:spacing w:after="0"/>
        <w:tabs>
          <w:tab w:leader="none" w:pos="3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For purposes of this Warrant, the following terms shall have the following meanings:</w:t>
      </w:r>
    </w:p>
    <w:p>
      <w:pPr>
        <w:spacing w:after="0" w:line="206" w:lineRule="exact"/>
        <w:rPr>
          <w:rFonts w:ascii="Times New Roman" w:cs="Times New Roman" w:eastAsia="Times New Roman" w:hAnsi="Times New Roman"/>
          <w:sz w:val="16"/>
          <w:szCs w:val="16"/>
          <w:color w:val="auto"/>
        </w:rPr>
      </w:pPr>
    </w:p>
    <w:p>
      <w:pPr>
        <w:jc w:val="both"/>
        <w:ind w:left="-1120" w:firstLine="1773"/>
        <w:spacing w:after="0" w:line="279" w:lineRule="auto"/>
        <w:tabs>
          <w:tab w:leader="none" w:pos="87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Adjustment Right</w:t>
      </w:r>
      <w:r>
        <w:rPr>
          <w:rFonts w:ascii="Times New Roman" w:cs="Times New Roman" w:eastAsia="Times New Roman" w:hAnsi="Times New Roman"/>
          <w:sz w:val="16"/>
          <w:szCs w:val="16"/>
          <w:color w:val="auto"/>
        </w:rPr>
        <w:t xml:space="preserve">” means any right granted with respect to any securities issued in connection with, or with respect to, any issuance or sale (or deemed issuance or sale in accordance with </w:t>
      </w:r>
      <w:r>
        <w:rPr>
          <w:rFonts w:ascii="Times New Roman" w:cs="Times New Roman" w:eastAsia="Times New Roman" w:hAnsi="Times New Roman"/>
          <w:sz w:val="16"/>
          <w:szCs w:val="16"/>
          <w:u w:val="single" w:color="auto"/>
          <w:color w:val="auto"/>
        </w:rPr>
        <w:t>Section 2(c)</w:t>
      </w:r>
      <w:r>
        <w:rPr>
          <w:rFonts w:ascii="Times New Roman" w:cs="Times New Roman" w:eastAsia="Times New Roman" w:hAnsi="Times New Roman"/>
          <w:sz w:val="16"/>
          <w:szCs w:val="16"/>
          <w:color w:val="auto"/>
        </w:rPr>
        <w:t xml:space="preserve"> ) of shares of Common Stock that could result in a decrease in the net consideration received by the Company in connection with, or with respect to, such securities (including, without limitation, any cash settlement rights, cash adjustment or other similar rights).</w:t>
      </w:r>
    </w:p>
    <w:p>
      <w:pPr>
        <w:spacing w:after="0" w:line="147" w:lineRule="exact"/>
        <w:rPr>
          <w:rFonts w:ascii="Times New Roman" w:cs="Times New Roman" w:eastAsia="Times New Roman" w:hAnsi="Times New Roman"/>
          <w:sz w:val="16"/>
          <w:szCs w:val="16"/>
          <w:color w:val="auto"/>
        </w:rPr>
      </w:pPr>
    </w:p>
    <w:p>
      <w:pPr>
        <w:jc w:val="both"/>
        <w:ind w:left="-1120" w:firstLine="1773"/>
        <w:spacing w:after="0" w:line="272" w:lineRule="auto"/>
        <w:tabs>
          <w:tab w:leader="none" w:pos="899"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151" w:lineRule="exact"/>
        <w:rPr>
          <w:rFonts w:ascii="Times New Roman" w:cs="Times New Roman" w:eastAsia="Times New Roman" w:hAnsi="Times New Roman"/>
          <w:sz w:val="16"/>
          <w:szCs w:val="16"/>
          <w:color w:val="auto"/>
        </w:rPr>
      </w:pPr>
    </w:p>
    <w:p>
      <w:pPr>
        <w:jc w:val="both"/>
        <w:ind w:left="-1120" w:firstLine="1773"/>
        <w:spacing w:after="0" w:line="266" w:lineRule="auto"/>
        <w:tabs>
          <w:tab w:leader="none" w:pos="87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Attribution Parties</w:t>
      </w:r>
      <w:r>
        <w:rPr>
          <w:rFonts w:ascii="Times New Roman" w:cs="Times New Roman" w:eastAsia="Times New Roman" w:hAnsi="Times New Roman"/>
          <w:sz w:val="16"/>
          <w:szCs w:val="16"/>
          <w:color w:val="auto"/>
        </w:rPr>
        <w:t>” means, collectively, the following Persons and entities: (i) any investment vehicle, including, any funds, feeder funds or managed accounts, currently, or from time to time after the Subscription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56" w:lineRule="exact"/>
        <w:rPr>
          <w:rFonts w:ascii="Times New Roman" w:cs="Times New Roman" w:eastAsia="Times New Roman" w:hAnsi="Times New Roman"/>
          <w:sz w:val="16"/>
          <w:szCs w:val="16"/>
          <w:color w:val="auto"/>
        </w:rPr>
      </w:pPr>
    </w:p>
    <w:p>
      <w:pPr>
        <w:jc w:val="both"/>
        <w:ind w:left="-1120" w:firstLine="1773"/>
        <w:spacing w:after="0" w:line="262" w:lineRule="auto"/>
        <w:tabs>
          <w:tab w:leader="none" w:pos="899"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Bid Price</w:t>
      </w:r>
      <w:r>
        <w:rPr>
          <w:rFonts w:ascii="Times New Roman" w:cs="Times New Roman" w:eastAsia="Times New Roman" w:hAnsi="Times New Roman"/>
          <w:sz w:val="16"/>
          <w:szCs w:val="16"/>
          <w:color w:val="auto"/>
        </w:rPr>
        <w:t xml:space="preserve">”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All such determinations shall be appropriately adjusted for any stock dividend, stock split, stock combination or other similar transaction during such period.</w:t>
      </w:r>
    </w:p>
    <w:p>
      <w:pPr>
        <w:spacing w:after="0" w:line="160" w:lineRule="exact"/>
        <w:rPr>
          <w:rFonts w:ascii="Times New Roman" w:cs="Times New Roman" w:eastAsia="Times New Roman" w:hAnsi="Times New Roman"/>
          <w:sz w:val="16"/>
          <w:szCs w:val="16"/>
          <w:color w:val="auto"/>
        </w:rPr>
      </w:pPr>
    </w:p>
    <w:p>
      <w:pPr>
        <w:jc w:val="both"/>
        <w:ind w:left="-1120" w:firstLine="1773"/>
        <w:spacing w:after="0" w:line="262" w:lineRule="auto"/>
        <w:tabs>
          <w:tab w:leader="none" w:pos="87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Black Scholes Value</w:t>
      </w:r>
      <w:r>
        <w:rPr>
          <w:rFonts w:ascii="Times New Roman" w:cs="Times New Roman" w:eastAsia="Times New Roman" w:hAnsi="Times New Roman"/>
          <w:sz w:val="16"/>
          <w:szCs w:val="16"/>
          <w:color w:val="auto"/>
        </w:rPr>
        <w:t>” means the value of this Warrant based on the Black-Scholes Option Pricing Model obtained from the “OV” function on Bloomberg determined as of the day immediately following the first public announcement of the applicable Change of Control, or, if the Change of Control is not publicly announced, the date the Change of Control is consummated, for pricing purposes and reflecting (i) a risk-free interest rate corresponding to the U.S. Treasury rate for a period equal to the remaining term of this Warrant as of such date of request, (ii) an expected volatility equal to 75%, (iii) the underlying price per share used in such calculation shall be the greater of (a) the sum of the price per share being offered in cash, if any, plus the value of any non-cash consideration, if any, being offered in such Change of Control and (b) the greater of (1) the last Weighted Average Price immediately prior to the announcement of such Change of Control, (2) the Weighted Average Price immediately after the announcement of such Change of Control and (3) the last Weighted Average Price immediately prior to the consummation of such Change of Control, (iv) a remaining option time equal to the time between the date of the public announcement of the applicable Change of Control and the Expiration Date and (v) a zero cost of borrow.</w:t>
      </w:r>
    </w:p>
    <w:p>
      <w:pPr>
        <w:spacing w:after="0" w:line="365"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2"/>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74" w:name="page75"/>
    <w:bookmarkEnd w:id="74"/>
    <w:p>
      <w:pPr>
        <w:ind w:left="860" w:hanging="207"/>
        <w:spacing w:after="0"/>
        <w:tabs>
          <w:tab w:leader="none" w:pos="8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Bloomberg</w:t>
      </w:r>
      <w:r>
        <w:rPr>
          <w:rFonts w:ascii="Times New Roman" w:cs="Times New Roman" w:eastAsia="Times New Roman" w:hAnsi="Times New Roman"/>
          <w:sz w:val="16"/>
          <w:szCs w:val="16"/>
          <w:color w:val="auto"/>
        </w:rPr>
        <w:t>” means Bloomberg Financial Markets.</w:t>
      </w:r>
    </w:p>
    <w:p>
      <w:pPr>
        <w:spacing w:after="0" w:line="210" w:lineRule="exact"/>
        <w:rPr>
          <w:rFonts w:ascii="Times New Roman" w:cs="Times New Roman" w:eastAsia="Times New Roman" w:hAnsi="Times New Roman"/>
          <w:sz w:val="16"/>
          <w:szCs w:val="16"/>
          <w:color w:val="auto"/>
        </w:rPr>
      </w:pPr>
    </w:p>
    <w:p>
      <w:pPr>
        <w:ind w:left="-1120" w:firstLine="1773"/>
        <w:spacing w:after="0" w:line="302" w:lineRule="auto"/>
        <w:tabs>
          <w:tab w:leader="none" w:pos="912"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other day on which commercial banks in The City of New York are authorized or required by law to remain closed.</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61" w:lineRule="auto"/>
        <w:tabs>
          <w:tab w:leader="none" w:pos="912"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 pursuant to a migratory merger effected solely for the purpose of changing the jurisdiction of incorporation of the Company or (iii) a merger in connection with a bona fide acquisition by the Company of any Person in which (x) the gross consideration paid, directly or indirectly, by the Company in such acquisition is not equal to or greater than 50% of the Company’s market capitalization as calculated on the date of the announcement of such merger and the date of the consummation of such merger and (y) such merger does not contemplate a change to the identity of a majority of the Board of Directors of the Company. Notwithstanding anything herein to the contrary, any transaction or series of transaction that, directly or indirectly, results in the Company or the Successor Entity not having Common Stock or common stock, as applicable, registered under the 1934 Act and listed on an Eligible Market shall be deemed a Change of Control.</w:t>
      </w:r>
    </w:p>
    <w:p>
      <w:pPr>
        <w:spacing w:after="0" w:line="365" w:lineRule="exact"/>
        <w:rPr>
          <w:rFonts w:ascii="Times New Roman" w:cs="Times New Roman" w:eastAsia="Times New Roman" w:hAnsi="Times New Roman"/>
          <w:sz w:val="16"/>
          <w:szCs w:val="16"/>
          <w:color w:val="auto"/>
        </w:rPr>
      </w:pPr>
    </w:p>
    <w:p>
      <w:pPr>
        <w:jc w:val="both"/>
        <w:ind w:left="-1120" w:firstLine="1773"/>
        <w:spacing w:after="0" w:line="261" w:lineRule="auto"/>
        <w:tabs>
          <w:tab w:leader="none" w:pos="86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Sale Price</w:t>
      </w:r>
      <w:r>
        <w:rPr>
          <w:rFonts w:ascii="Times New Roman" w:cs="Times New Roman" w:eastAsia="Times New Roman" w:hAnsi="Times New Roman"/>
          <w:sz w:val="16"/>
          <w:szCs w:val="16"/>
          <w:color w:val="auto"/>
        </w:rPr>
        <w:t xml:space="preserve">” means, for any security as of any date, the last closing trade price, respectively,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bid prices, or the ask prices, respectively, of any market makers for such security as reported in the OTC Link or on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All such determinations to be appropriately adjusted for any stock dividend, stock split, stock combination, reclassification or other similar transaction during the applicable calculation period.</w:t>
      </w:r>
    </w:p>
    <w:p>
      <w:pPr>
        <w:spacing w:after="0" w:line="165" w:lineRule="exact"/>
        <w:rPr>
          <w:rFonts w:ascii="Times New Roman" w:cs="Times New Roman" w:eastAsia="Times New Roman" w:hAnsi="Times New Roman"/>
          <w:sz w:val="16"/>
          <w:szCs w:val="16"/>
          <w:color w:val="auto"/>
        </w:rPr>
      </w:pPr>
    </w:p>
    <w:p>
      <w:pPr>
        <w:ind w:left="-1120" w:firstLine="1773"/>
        <w:spacing w:after="0" w:line="302" w:lineRule="auto"/>
        <w:tabs>
          <w:tab w:leader="none" w:pos="85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means (i) the Company’s Common Stock, par value $0.001 per share, and (ii) any capital stock into which such Common Stock shall have been changed or any capital stock resulting from a reclassification of such Common Stock.</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79" w:lineRule="auto"/>
        <w:tabs>
          <w:tab w:leader="none" w:pos="887"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Convertible Securities</w:t>
      </w:r>
      <w:r>
        <w:rPr>
          <w:rFonts w:ascii="Times New Roman" w:cs="Times New Roman" w:eastAsia="Times New Roman" w:hAnsi="Times New Roman"/>
          <w:sz w:val="16"/>
          <w:szCs w:val="16"/>
          <w:color w:val="auto"/>
        </w:rPr>
        <w:t>” means any capital stock or other security of the Company or any of its subsidiaries (other than Options) that is at any time and under any circumstances directly or indirectly convertible into, exercisable or exchangeable for, or which otherwise entitles the holder thereof to acquire, any capital stock or other security of the Company (including, without limitation, shares of Common Stock) or any of its subsidiaries.</w:t>
      </w:r>
    </w:p>
    <w:p>
      <w:pPr>
        <w:spacing w:after="0" w:line="147" w:lineRule="exact"/>
        <w:rPr>
          <w:rFonts w:ascii="Times New Roman" w:cs="Times New Roman" w:eastAsia="Times New Roman" w:hAnsi="Times New Roman"/>
          <w:sz w:val="16"/>
          <w:szCs w:val="16"/>
          <w:color w:val="auto"/>
        </w:rPr>
      </w:pPr>
    </w:p>
    <w:p>
      <w:pPr>
        <w:jc w:val="both"/>
        <w:ind w:left="-1120" w:firstLine="1773"/>
        <w:spacing w:after="0" w:line="266" w:lineRule="auto"/>
        <w:tabs>
          <w:tab w:leader="none" w:pos="851"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Daily VWAP</w:t>
      </w:r>
      <w:r>
        <w:rPr>
          <w:rFonts w:ascii="Times New Roman" w:cs="Times New Roman" w:eastAsia="Times New Roman" w:hAnsi="Times New Roman"/>
          <w:sz w:val="16"/>
          <w:szCs w:val="16"/>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56" w:lineRule="exact"/>
        <w:rPr>
          <w:rFonts w:ascii="Times New Roman" w:cs="Times New Roman" w:eastAsia="Times New Roman" w:hAnsi="Times New Roman"/>
          <w:sz w:val="16"/>
          <w:szCs w:val="16"/>
          <w:color w:val="auto"/>
        </w:rPr>
      </w:pPr>
    </w:p>
    <w:p>
      <w:pPr>
        <w:ind w:left="-1120" w:firstLine="1773"/>
        <w:spacing w:after="0" w:line="302" w:lineRule="auto"/>
        <w:tabs>
          <w:tab w:leader="none" w:pos="933"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Eligible Market</w:t>
      </w:r>
      <w:r>
        <w:rPr>
          <w:rFonts w:ascii="Times New Roman" w:cs="Times New Roman" w:eastAsia="Times New Roman" w:hAnsi="Times New Roman"/>
          <w:sz w:val="16"/>
          <w:szCs w:val="16"/>
          <w:color w:val="auto"/>
        </w:rPr>
        <w:t>” means The Nasdaq Capital Market, the NYSE American LLC, The Nasdaq Global Select Market, The Nasdaq Global Market or The New York Stock Exchange, Inc.</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65" w:lineRule="auto"/>
        <w:tabs>
          <w:tab w:leader="none" w:pos="899"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Exempt Issuance</w:t>
      </w:r>
      <w:r>
        <w:rPr>
          <w:rFonts w:ascii="Times New Roman" w:cs="Times New Roman" w:eastAsia="Times New Roman" w:hAnsi="Times New Roman"/>
          <w:sz w:val="16"/>
          <w:szCs w:val="16"/>
          <w:color w:val="auto"/>
        </w:rPr>
        <w:t>” means the issuance of (i) Common Stock, options, restricted stock awards, restricted stock units, stock appreciation rights or other equity awards to employees, officers, directors of the Company pursuant to an Approved Stock Plan (as defined in the Securities Exchange Agreement) or any stock or option plan or other agreement duly adopted by the Board of Directors of the Company or the compensation committee thereof and approved by the stockholders of the Company for the purposes of providing compensation for services provided to the Company in their capacity as such, or the Board of Directors of the Company or the compensation committee thereof as an inducement grant in accordance with Nasdaq Listing Rule 5635(c)(4) (or such similar rule of the principal, in terms of volume, Eligible Exchange on which the Common Stock is listed for trading); (ii) shares of Common Stock issued by the Company pursuant to an “at-the-market” offering.</w:t>
      </w:r>
    </w:p>
    <w:p>
      <w:pPr>
        <w:spacing w:after="0" w:line="200" w:lineRule="exact"/>
        <w:rPr>
          <w:rFonts w:ascii="Times New Roman" w:cs="Times New Roman" w:eastAsia="Times New Roman" w:hAnsi="Times New Roman"/>
          <w:sz w:val="16"/>
          <w:szCs w:val="16"/>
          <w:color w:val="auto"/>
        </w:rPr>
      </w:pPr>
    </w:p>
    <w:p>
      <w:pPr>
        <w:spacing w:after="0" w:line="359"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4" w:right="339" w:bottom="1440" w:gutter="0" w:footer="0" w:header="0"/>
        </w:sectPr>
      </w:pPr>
    </w:p>
    <w:bookmarkStart w:id="75" w:name="page76"/>
    <w:bookmarkEnd w:id="75"/>
    <w:p>
      <w:pPr>
        <w:ind w:left="-1120" w:firstLine="1773"/>
        <w:spacing w:after="0" w:line="302" w:lineRule="auto"/>
        <w:tabs>
          <w:tab w:leader="none" w:pos="88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Expiration Date</w:t>
      </w:r>
      <w:r>
        <w:rPr>
          <w:rFonts w:ascii="Times New Roman" w:cs="Times New Roman" w:eastAsia="Times New Roman" w:hAnsi="Times New Roman"/>
          <w:sz w:val="16"/>
          <w:szCs w:val="16"/>
          <w:color w:val="auto"/>
        </w:rPr>
        <w:t>” means the date that is five (5) years and six (6) months after the Issuance Date or, if such date falls on a day other than a Business Day or on which trading does not take place on the Principal Market (a “</w:t>
      </w:r>
      <w:r>
        <w:rPr>
          <w:rFonts w:ascii="Times New Roman" w:cs="Times New Roman" w:eastAsia="Times New Roman" w:hAnsi="Times New Roman"/>
          <w:sz w:val="16"/>
          <w:szCs w:val="16"/>
          <w:b w:val="1"/>
          <w:bCs w:val="1"/>
          <w:color w:val="auto"/>
        </w:rPr>
        <w:t>Holiday</w:t>
      </w:r>
      <w:r>
        <w:rPr>
          <w:rFonts w:ascii="Times New Roman" w:cs="Times New Roman" w:eastAsia="Times New Roman" w:hAnsi="Times New Roman"/>
          <w:sz w:val="16"/>
          <w:szCs w:val="16"/>
          <w:color w:val="auto"/>
        </w:rPr>
        <w:t>”), the next day that is not a Holiday.</w:t>
      </w:r>
    </w:p>
    <w:p>
      <w:pPr>
        <w:spacing w:after="0" w:line="128" w:lineRule="exact"/>
        <w:rPr>
          <w:rFonts w:ascii="Times New Roman" w:cs="Times New Roman" w:eastAsia="Times New Roman" w:hAnsi="Times New Roman"/>
          <w:sz w:val="16"/>
          <w:szCs w:val="16"/>
          <w:color w:val="auto"/>
        </w:rPr>
      </w:pPr>
    </w:p>
    <w:p>
      <w:pPr>
        <w:jc w:val="both"/>
        <w:ind w:left="-1120" w:firstLine="1773"/>
        <w:spacing w:after="0" w:line="258" w:lineRule="auto"/>
        <w:tabs>
          <w:tab w:leader="none" w:pos="92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Transaction</w:t>
      </w:r>
      <w:r>
        <w:rPr>
          <w:rFonts w:ascii="Times New Roman" w:cs="Times New Roman" w:eastAsia="Times New Roman" w:hAnsi="Times New Roman"/>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(ii) sell, assign, transfer, convey or otherwise dispose of all or substantially all of the properties or assets of the Company or any of its “significant subsidiaries” (as defined in Rule 1-02 of Regulation S-X) to one or more Subject Entities, (iii) make, or allow one or more Subject Entities to make, or allow the Company to be subject to or have its shares of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(iv) consummate a stock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shares of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shares of Common Stock, (y) at least 50% of the aggregate ordinary voting power represented by issued and outstanding shares of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377" w:lineRule="exact"/>
        <w:rPr>
          <w:rFonts w:ascii="Times New Roman" w:cs="Times New Roman" w:eastAsia="Times New Roman" w:hAnsi="Times New Roman"/>
          <w:sz w:val="16"/>
          <w:szCs w:val="16"/>
          <w:color w:val="auto"/>
        </w:rPr>
      </w:pPr>
    </w:p>
    <w:p>
      <w:pPr>
        <w:ind w:left="880" w:hanging="227"/>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means a “group” as that term is used in Section 13(d) of the 1934 Act and as defined in Rule 13d-5 thereunder.</w:t>
      </w:r>
    </w:p>
    <w:p>
      <w:pPr>
        <w:spacing w:after="0" w:line="210" w:lineRule="exact"/>
        <w:rPr>
          <w:rFonts w:ascii="Times New Roman" w:cs="Times New Roman" w:eastAsia="Times New Roman" w:hAnsi="Times New Roman"/>
          <w:sz w:val="16"/>
          <w:szCs w:val="16"/>
          <w:color w:val="auto"/>
        </w:rPr>
      </w:pPr>
    </w:p>
    <w:p>
      <w:pPr>
        <w:ind w:left="860" w:hanging="207"/>
        <w:spacing w:after="0"/>
        <w:tabs>
          <w:tab w:leader="none" w:pos="8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means any rights, warrants or options to subscribe for or purchase shares of Common Stock or Convertible Securities.</w:t>
      </w:r>
    </w:p>
    <w:p>
      <w:pPr>
        <w:spacing w:after="0" w:line="210" w:lineRule="exact"/>
        <w:rPr>
          <w:rFonts w:ascii="Times New Roman" w:cs="Times New Roman" w:eastAsia="Times New Roman" w:hAnsi="Times New Roman"/>
          <w:sz w:val="16"/>
          <w:szCs w:val="16"/>
          <w:color w:val="auto"/>
        </w:rPr>
      </w:pPr>
    </w:p>
    <w:p>
      <w:pPr>
        <w:jc w:val="both"/>
        <w:ind w:left="-1120" w:firstLine="1773"/>
        <w:spacing w:after="0" w:line="272" w:lineRule="auto"/>
        <w:tabs>
          <w:tab w:leader="none" w:pos="86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Parent Entity</w:t>
      </w:r>
      <w:r>
        <w:rPr>
          <w:rFonts w:ascii="Times New Roman" w:cs="Times New Roman" w:eastAsia="Times New Roman" w:hAnsi="Times New Roman"/>
          <w:sz w:val="16"/>
          <w:szCs w:val="16"/>
          <w:color w:val="auto"/>
        </w:rPr>
        <w:t>” of a Person means an entity that, directly or indirectly, controls the applicable Person, including such entity whose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 or Change of Control.</w:t>
      </w:r>
    </w:p>
    <w:p>
      <w:pPr>
        <w:spacing w:after="0" w:line="151" w:lineRule="exact"/>
        <w:rPr>
          <w:rFonts w:ascii="Times New Roman" w:cs="Times New Roman" w:eastAsia="Times New Roman" w:hAnsi="Times New Roman"/>
          <w:sz w:val="16"/>
          <w:szCs w:val="16"/>
          <w:color w:val="auto"/>
        </w:rPr>
      </w:pPr>
    </w:p>
    <w:p>
      <w:pPr>
        <w:ind w:left="-1120" w:firstLine="1773"/>
        <w:spacing w:after="0" w:line="302" w:lineRule="auto"/>
        <w:tabs>
          <w:tab w:leader="none" w:pos="88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limited liability company, a partnership, a joint venture, a corporation, a trust, an unincorporated organization, any other entity and a government or any department or agency thereof.</w:t>
      </w:r>
    </w:p>
    <w:p>
      <w:pPr>
        <w:spacing w:after="0" w:line="128" w:lineRule="exact"/>
        <w:rPr>
          <w:rFonts w:ascii="Times New Roman" w:cs="Times New Roman" w:eastAsia="Times New Roman" w:hAnsi="Times New Roman"/>
          <w:sz w:val="16"/>
          <w:szCs w:val="16"/>
          <w:color w:val="auto"/>
        </w:rPr>
      </w:pPr>
    </w:p>
    <w:p>
      <w:pPr>
        <w:ind w:left="880" w:hanging="227"/>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Principal Market</w:t>
      </w:r>
      <w:r>
        <w:rPr>
          <w:rFonts w:ascii="Times New Roman" w:cs="Times New Roman" w:eastAsia="Times New Roman" w:hAnsi="Times New Roman"/>
          <w:sz w:val="16"/>
          <w:szCs w:val="16"/>
          <w:color w:val="auto"/>
        </w:rPr>
        <w:t>” means The Nasdaq Capital Market.</w:t>
      </w:r>
    </w:p>
    <w:p>
      <w:pPr>
        <w:spacing w:after="0" w:line="210" w:lineRule="exact"/>
        <w:rPr>
          <w:rFonts w:ascii="Times New Roman" w:cs="Times New Roman" w:eastAsia="Times New Roman" w:hAnsi="Times New Roman"/>
          <w:sz w:val="16"/>
          <w:szCs w:val="16"/>
          <w:color w:val="auto"/>
        </w:rPr>
      </w:pPr>
    </w:p>
    <w:p>
      <w:pPr>
        <w:ind w:left="-1120" w:firstLine="1773"/>
        <w:spacing w:after="0" w:line="302" w:lineRule="auto"/>
        <w:tabs>
          <w:tab w:leader="none" w:pos="887"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“Standard Settlement Period” </w:t>
      </w:r>
      <w:r>
        <w:rPr>
          <w:rFonts w:ascii="Times New Roman" w:cs="Times New Roman" w:eastAsia="Times New Roman" w:hAnsi="Times New Roman"/>
          <w:sz w:val="16"/>
          <w:szCs w:val="16"/>
          <w:color w:val="auto"/>
        </w:rPr>
        <w:t>means the standard settlement period, expressed in a number of Trading Days, for the Company’s primary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trading market or quotation system with respect to the Common Stock that is in effect on the date of receipt of an applicable Exercise Notice.</w:t>
      </w:r>
    </w:p>
    <w:p>
      <w:pPr>
        <w:spacing w:after="0" w:line="128" w:lineRule="exact"/>
        <w:rPr>
          <w:rFonts w:ascii="Times New Roman" w:cs="Times New Roman" w:eastAsia="Times New Roman" w:hAnsi="Times New Roman"/>
          <w:sz w:val="16"/>
          <w:szCs w:val="16"/>
          <w:color w:val="auto"/>
        </w:rPr>
      </w:pPr>
    </w:p>
    <w:p>
      <w:pPr>
        <w:ind w:left="920" w:hanging="267"/>
        <w:spacing w:after="0"/>
        <w:tabs>
          <w:tab w:leader="none" w:pos="9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Subject Entity</w:t>
      </w:r>
      <w:r>
        <w:rPr>
          <w:rFonts w:ascii="Times New Roman" w:cs="Times New Roman" w:eastAsia="Times New Roman" w:hAnsi="Times New Roman"/>
          <w:sz w:val="16"/>
          <w:szCs w:val="16"/>
          <w:color w:val="auto"/>
        </w:rPr>
        <w:t>” means any Person, Persons or Group or any Affiliate or associate of any such Person, Persons or Group.</w:t>
      </w:r>
    </w:p>
    <w:p>
      <w:pPr>
        <w:spacing w:after="0" w:line="200" w:lineRule="exact"/>
        <w:rPr>
          <w:rFonts w:ascii="Times New Roman" w:cs="Times New Roman" w:eastAsia="Times New Roman" w:hAnsi="Times New Roman"/>
          <w:sz w:val="16"/>
          <w:szCs w:val="16"/>
          <w:color w:val="auto"/>
        </w:rPr>
      </w:pPr>
    </w:p>
    <w:p>
      <w:pPr>
        <w:spacing w:after="0" w:line="211" w:lineRule="exact"/>
        <w:rPr>
          <w:rFonts w:ascii="Times New Roman" w:cs="Times New Roman" w:eastAsia="Times New Roman" w:hAnsi="Times New Roman"/>
          <w:sz w:val="16"/>
          <w:szCs w:val="16"/>
          <w:color w:val="auto"/>
        </w:rPr>
      </w:pPr>
    </w:p>
    <w:p>
      <w:pPr>
        <w:ind w:left="4420" w:hanging="94"/>
        <w:spacing w:after="0"/>
        <w:tabs>
          <w:tab w:leader="none" w:pos="4420"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4" w:right="339" w:bottom="1440" w:gutter="0" w:footer="0" w:header="0"/>
        </w:sectPr>
      </w:pPr>
    </w:p>
    <w:bookmarkStart w:id="76" w:name="page77"/>
    <w:bookmarkEnd w:id="76"/>
    <w:p>
      <w:pPr>
        <w:jc w:val="both"/>
        <w:ind w:firstLine="1773"/>
        <w:spacing w:after="0" w:line="279" w:lineRule="auto"/>
        <w:tabs>
          <w:tab w:leader="none" w:pos="2019"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Successor Entity</w:t>
      </w:r>
      <w:r>
        <w:rPr>
          <w:rFonts w:ascii="Times New Roman" w:cs="Times New Roman" w:eastAsia="Times New Roman" w:hAnsi="Times New Roman"/>
          <w:sz w:val="16"/>
          <w:szCs w:val="16"/>
          <w:color w:val="auto"/>
        </w:rPr>
        <w:t>” means one or more Person or Persons (or, if so elected by the Holder, the Company or Parent Entity) formed by, resulting from or surviving any Fundamental Transaction or Change of Control or one or more Person or Persons (or, if so elected by the Holder, the Company or the Parent Entity) with which such Fundamental Transaction or Change of Control shall have been entered into.</w:t>
      </w:r>
    </w:p>
    <w:p>
      <w:pPr>
        <w:spacing w:after="0" w:line="147" w:lineRule="exact"/>
        <w:rPr>
          <w:rFonts w:ascii="Times New Roman" w:cs="Times New Roman" w:eastAsia="Times New Roman" w:hAnsi="Times New Roman"/>
          <w:sz w:val="16"/>
          <w:szCs w:val="16"/>
          <w:color w:val="auto"/>
        </w:rPr>
      </w:pPr>
    </w:p>
    <w:p>
      <w:pPr>
        <w:ind w:firstLine="1773"/>
        <w:spacing w:after="0" w:line="302" w:lineRule="auto"/>
        <w:tabs>
          <w:tab w:leader="none" w:pos="2032"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128" w:lineRule="exact"/>
        <w:rPr>
          <w:rFonts w:ascii="Times New Roman" w:cs="Times New Roman" w:eastAsia="Times New Roman" w:hAnsi="Times New Roman"/>
          <w:sz w:val="16"/>
          <w:szCs w:val="16"/>
          <w:color w:val="auto"/>
        </w:rPr>
      </w:pPr>
    </w:p>
    <w:p>
      <w:pPr>
        <w:ind w:firstLine="1773"/>
        <w:spacing w:after="0" w:line="302" w:lineRule="auto"/>
        <w:tabs>
          <w:tab w:leader="none" w:pos="201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means any agreement entered into by and between the Company and the Holder, as applicable, in connection with or pursuant to this Warrant.</w:t>
      </w:r>
    </w:p>
    <w:p>
      <w:pPr>
        <w:spacing w:after="0" w:line="128" w:lineRule="exact"/>
        <w:rPr>
          <w:sz w:val="20"/>
          <w:szCs w:val="20"/>
          <w:color w:val="auto"/>
        </w:rPr>
      </w:pPr>
    </w:p>
    <w:p>
      <w:pPr>
        <w:jc w:val="both"/>
        <w:ind w:firstLine="1773"/>
        <w:spacing w:after="0" w:line="266" w:lineRule="auto"/>
        <w:tabs>
          <w:tab w:leader="none" w:pos="2071"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Market Disruption Event</w:t>
      </w:r>
      <w:r>
        <w:rPr>
          <w:rFonts w:ascii="Times New Roman" w:cs="Times New Roman" w:eastAsia="Times New Roman" w:hAnsi="Times New Roman"/>
          <w:sz w:val="16"/>
          <w:szCs w:val="16"/>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56" w:lineRule="exact"/>
        <w:rPr>
          <w:rFonts w:ascii="Times New Roman" w:cs="Times New Roman" w:eastAsia="Times New Roman" w:hAnsi="Times New Roman"/>
          <w:sz w:val="16"/>
          <w:szCs w:val="16"/>
          <w:color w:val="auto"/>
        </w:rPr>
      </w:pPr>
    </w:p>
    <w:p>
      <w:pPr>
        <w:jc w:val="both"/>
        <w:ind w:firstLine="1773"/>
        <w:spacing w:after="0" w:line="272" w:lineRule="auto"/>
        <w:tabs>
          <w:tab w:leader="none" w:pos="208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VWAP Trading Day</w:t>
      </w:r>
      <w:r>
        <w:rPr>
          <w:rFonts w:ascii="Times New Roman" w:cs="Times New Roman" w:eastAsia="Times New Roman" w:hAnsi="Times New Roman"/>
          <w:sz w:val="16"/>
          <w:szCs w:val="16"/>
          <w:color w:val="auto"/>
        </w:rPr>
        <w:t>” means a day on which (A) there is no VWAP Market Disruption Event; provided that the Holder, by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51" w:lineRule="exact"/>
        <w:rPr>
          <w:rFonts w:ascii="Times New Roman" w:cs="Times New Roman" w:eastAsia="Times New Roman" w:hAnsi="Times New Roman"/>
          <w:sz w:val="16"/>
          <w:szCs w:val="16"/>
          <w:color w:val="auto"/>
        </w:rPr>
      </w:pPr>
    </w:p>
    <w:p>
      <w:pPr>
        <w:jc w:val="both"/>
        <w:ind w:firstLine="1773"/>
        <w:spacing w:after="0" w:line="261" w:lineRule="auto"/>
        <w:tabs>
          <w:tab w:leader="none" w:pos="208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Weighted Average Price</w:t>
      </w:r>
      <w:r>
        <w:rPr>
          <w:rFonts w:ascii="Times New Roman" w:cs="Times New Roman" w:eastAsia="Times New Roman" w:hAnsi="Times New Roman"/>
          <w:sz w:val="16"/>
          <w:szCs w:val="16"/>
          <w:color w:val="auto"/>
        </w:rPr>
        <w:t xml:space="preserve">”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 Page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7" w:name="page78"/>
    <w:bookmarkEnd w:id="77"/>
    <w:p>
      <w:pPr>
        <w:ind w:firstLine="59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of the Company and the Holder has caused this Warrant to Purchase Common Stock to be duly executed as of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set out above.</w:t>
      </w:r>
    </w:p>
    <w:p>
      <w:pPr>
        <w:spacing w:after="0" w:line="1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19050</wp:posOffset>
            </wp:positionV>
            <wp:extent cx="249618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1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tab/>
        <w:t>Raymond Chang</w:t>
      </w:r>
    </w:p>
    <w:p>
      <w:pPr>
        <w:spacing w:after="0" w:line="3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714438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8" w:name="page79"/>
    <w:bookmarkEnd w:id="78"/>
    <w:p>
      <w:pPr>
        <w:ind w:firstLine="59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of the Company and the Holder has caused this Warrant to Purchase Common Stock to be duly executed as of the Issuance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 set out above.</w:t>
      </w:r>
    </w:p>
    <w:p>
      <w:pPr>
        <w:spacing w:after="0" w:line="1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HIGH TRAIL SPECIAL SITUATIONS LLC</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19050</wp:posOffset>
            </wp:positionV>
            <wp:extent cx="249618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1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tab/>
        <w:t>Eric Helenek</w:t>
      </w:r>
    </w:p>
    <w:p>
      <w:pPr>
        <w:spacing w:after="0" w:line="3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438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EXERCISE NOTICE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BE EXECUTED BY THE REGISTERED HOLDER TO EXERCISE THIS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 TO PURCHASE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undersigned holder hereby exercises the right to purchase _________________ shares of Common Stock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of Agrify Corporation, a</w:t>
      </w:r>
    </w:p>
    <w:p>
      <w:pPr>
        <w:spacing w:after="0" w:line="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corporation organized under the laws of Delaware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evidenced by the attached Warrant to Purchase Common Stock (the “</w:t>
      </w:r>
      <w:r>
        <w:rPr>
          <w:rFonts w:ascii="Times New Roman" w:cs="Times New Roman" w:eastAsia="Times New Roman" w:hAnsi="Times New Roman"/>
          <w:sz w:val="16"/>
          <w:szCs w:val="16"/>
          <w:b w:val="1"/>
          <w:bCs w:val="1"/>
          <w:color w:val="auto"/>
        </w:rPr>
        <w:t>Warrant</w:t>
      </w:r>
      <w:r>
        <w:rPr>
          <w:rFonts w:ascii="Times New Roman" w:cs="Times New Roman" w:eastAsia="Times New Roman" w:hAnsi="Times New Roman"/>
          <w:sz w:val="16"/>
          <w:szCs w:val="16"/>
          <w:color w:val="auto"/>
        </w:rPr>
        <w:t>”). Capitalized terms used herein and not otherwise defined shall have the respective meanings set forth in the Warrant.</w:t>
      </w:r>
    </w:p>
    <w:p>
      <w:pPr>
        <w:spacing w:after="0" w:line="154" w:lineRule="exact"/>
        <w:rPr>
          <w:sz w:val="20"/>
          <w:szCs w:val="20"/>
          <w:color w:val="auto"/>
        </w:rPr>
      </w:pPr>
    </w:p>
    <w:p>
      <w:pPr>
        <w:ind w:left="760" w:hanging="170"/>
        <w:spacing w:after="0"/>
        <w:tabs>
          <w:tab w:leader="none" w:pos="7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of Exercise Price. The Holder intends that payment of the Exercise Price shall be made as:</w:t>
      </w:r>
    </w:p>
    <w:p>
      <w:pPr>
        <w:spacing w:after="0" w:line="210"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____________ a “</w:t>
      </w:r>
      <w:r>
        <w:rPr>
          <w:rFonts w:ascii="Times New Roman" w:cs="Times New Roman" w:eastAsia="Times New Roman" w:hAnsi="Times New Roman"/>
          <w:sz w:val="16"/>
          <w:szCs w:val="16"/>
          <w:u w:val="single" w:color="auto"/>
          <w:color w:val="auto"/>
        </w:rPr>
        <w:t>Cash Exercise”</w:t>
      </w:r>
      <w:r>
        <w:rPr>
          <w:rFonts w:ascii="Times New Roman" w:cs="Times New Roman" w:eastAsia="Times New Roman" w:hAnsi="Times New Roman"/>
          <w:sz w:val="16"/>
          <w:szCs w:val="16"/>
          <w:color w:val="auto"/>
        </w:rPr>
        <w:t xml:space="preserve"> with respect to _________________ Warrant Shares; and/or</w:t>
      </w:r>
    </w:p>
    <w:p>
      <w:pPr>
        <w:spacing w:after="0" w:line="210"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____________ a </w:t>
      </w:r>
      <w:r>
        <w:rPr>
          <w:rFonts w:ascii="Times New Roman" w:cs="Times New Roman" w:eastAsia="Times New Roman" w:hAnsi="Times New Roman"/>
          <w:sz w:val="16"/>
          <w:szCs w:val="16"/>
          <w:u w:val="single" w:color="auto"/>
          <w:color w:val="auto"/>
        </w:rPr>
        <w:t>“Cashless Exercise”</w:t>
      </w:r>
      <w:r>
        <w:rPr>
          <w:rFonts w:ascii="Times New Roman" w:cs="Times New Roman" w:eastAsia="Times New Roman" w:hAnsi="Times New Roman"/>
          <w:sz w:val="16"/>
          <w:szCs w:val="16"/>
          <w:color w:val="auto"/>
        </w:rPr>
        <w:t xml:space="preserve"> with respect to _______________ Warrant Shares.</w:t>
      </w:r>
    </w:p>
    <w:p>
      <w:pPr>
        <w:spacing w:after="0" w:line="210" w:lineRule="exact"/>
        <w:rPr>
          <w:rFonts w:ascii="Times New Roman" w:cs="Times New Roman" w:eastAsia="Times New Roman" w:hAnsi="Times New Roman"/>
          <w:sz w:val="16"/>
          <w:szCs w:val="16"/>
          <w:color w:val="auto"/>
        </w:rPr>
      </w:pPr>
    </w:p>
    <w:p>
      <w:pPr>
        <w:ind w:firstLine="590"/>
        <w:spacing w:after="0" w:line="296" w:lineRule="auto"/>
        <w:tabs>
          <w:tab w:leader="none" w:pos="76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37" w:lineRule="exact"/>
        <w:rPr>
          <w:rFonts w:ascii="Times New Roman" w:cs="Times New Roman" w:eastAsia="Times New Roman" w:hAnsi="Times New Roman"/>
          <w:sz w:val="16"/>
          <w:szCs w:val="16"/>
          <w:color w:val="auto"/>
        </w:rPr>
      </w:pPr>
    </w:p>
    <w:p>
      <w:pPr>
        <w:ind w:left="760" w:hanging="170"/>
        <w:spacing w:after="0"/>
        <w:tabs>
          <w:tab w:leader="none" w:pos="7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of Warrant Shares. The Company shall deliver to the holder __________ Warrant Shares in accordance with the terms of the Warrant.</w:t>
      </w:r>
    </w:p>
    <w:p>
      <w:pPr>
        <w:spacing w:after="0" w:line="210" w:lineRule="exact"/>
        <w:rPr>
          <w:rFonts w:ascii="Times New Roman" w:cs="Times New Roman" w:eastAsia="Times New Roman" w:hAnsi="Times New Roman"/>
          <w:sz w:val="16"/>
          <w:szCs w:val="16"/>
          <w:color w:val="auto"/>
        </w:rPr>
      </w:pPr>
    </w:p>
    <w:p>
      <w:pPr>
        <w:jc w:val="both"/>
        <w:ind w:firstLine="590"/>
        <w:spacing w:after="0" w:line="270" w:lineRule="auto"/>
        <w:tabs>
          <w:tab w:leader="none" w:pos="76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Maximum Percentage Representation. Notwithstanding anything to the contrary contained herein, this Exercise Notice shall constitute a representation by the Holder of the Warrant submitting this Exercise Notice that, after giving effect to the exercise provided for in this Exercise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w:t>
      </w:r>
      <w:r>
        <w:rPr>
          <w:rFonts w:ascii="Times New Roman" w:cs="Times New Roman" w:eastAsia="Times New Roman" w:hAnsi="Times New Roman"/>
          <w:sz w:val="16"/>
          <w:szCs w:val="16"/>
          <w:u w:val="single" w:color="auto"/>
          <w:color w:val="auto"/>
        </w:rPr>
        <w:t>Section 1(f)</w:t>
      </w:r>
      <w:r>
        <w:rPr>
          <w:rFonts w:ascii="Times New Roman" w:cs="Times New Roman" w:eastAsia="Times New Roman" w:hAnsi="Times New Roman"/>
          <w:sz w:val="16"/>
          <w:szCs w:val="16"/>
          <w:color w:val="auto"/>
        </w:rPr>
        <w:t xml:space="preserve"> of the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243332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33320" cy="158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Registered Holder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19050</wp:posOffset>
            </wp:positionV>
            <wp:extent cx="257429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4290" cy="15875"/>
                    </a:xfrm>
                    <a:prstGeom prst="rect">
                      <a:avLst/>
                    </a:prstGeom>
                    <a:noFill/>
                  </pic:spPr>
                </pic:pic>
              </a:graphicData>
            </a:graphic>
          </wp:anchor>
        </w:drawing>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Name:</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14438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ACKNOWLEDGMENT</w:t>
      </w:r>
    </w:p>
    <w:p>
      <w:pPr>
        <w:spacing w:after="0" w:line="214" w:lineRule="exact"/>
        <w:rPr>
          <w:sz w:val="20"/>
          <w:szCs w:val="20"/>
          <w:color w:val="auto"/>
        </w:rPr>
      </w:pPr>
    </w:p>
    <w:p>
      <w:pPr>
        <w:ind w:firstLine="591"/>
        <w:spacing w:after="0" w:line="296" w:lineRule="auto"/>
        <w:rPr>
          <w:sz w:val="20"/>
          <w:szCs w:val="20"/>
          <w:color w:val="auto"/>
        </w:rPr>
      </w:pPr>
      <w:r>
        <w:rPr>
          <w:rFonts w:ascii="Times New Roman" w:cs="Times New Roman" w:eastAsia="Times New Roman" w:hAnsi="Times New Roman"/>
          <w:sz w:val="16"/>
          <w:szCs w:val="16"/>
          <w:color w:val="auto"/>
        </w:rPr>
        <w:t>The Company hereby acknowledges this Exercise Notice and hereby directs Broadridge Corporate Issuer Solutions, Inc. to issue the above indicated number of shares of Common Stock on or prior to the applicable Share Delivery Date.</w:t>
      </w:r>
    </w:p>
    <w:p>
      <w:pPr>
        <w:spacing w:after="0" w:line="1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19050</wp:posOffset>
            </wp:positionV>
            <wp:extent cx="249618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6185" cy="15875"/>
                    </a:xfrm>
                    <a:prstGeom prst="rect">
                      <a:avLst/>
                    </a:prstGeom>
                    <a:noFill/>
                  </pic:spPr>
                </pic:pic>
              </a:graphicData>
            </a:graphic>
          </wp:anchor>
        </w:drawing>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14438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AGREEMENT</w:t>
      </w:r>
    </w:p>
    <w:p>
      <w:pPr>
        <w:spacing w:after="0" w:line="210" w:lineRule="exact"/>
        <w:rPr>
          <w:sz w:val="20"/>
          <w:szCs w:val="20"/>
          <w:color w:val="auto"/>
        </w:rPr>
      </w:pPr>
    </w:p>
    <w:p>
      <w:pPr>
        <w:jc w:val="both"/>
        <w:ind w:firstLine="591"/>
        <w:spacing w:after="0" w:line="279" w:lineRule="auto"/>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SECURITIES EXCHANGE AGREEMENT</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as of August 18, 2022, is by and among Agrify Corporation, a Nevada corporation with offices located at 76 Treble Cove Road, Building 3, Billerica, MA 01862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each of the investors listed on the Schedule of Holders attached hereto (individually, a “</w:t>
      </w:r>
      <w:r>
        <w:rPr>
          <w:rFonts w:ascii="Times New Roman" w:cs="Times New Roman" w:eastAsia="Times New Roman" w:hAnsi="Times New Roman"/>
          <w:sz w:val="16"/>
          <w:szCs w:val="16"/>
          <w:b w:val="1"/>
          <w:bCs w:val="1"/>
          <w:color w:val="auto"/>
        </w:rPr>
        <w:t>Holder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Holders</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RECITALS</w:t>
      </w:r>
    </w:p>
    <w:p>
      <w:pPr>
        <w:spacing w:after="0" w:line="214" w:lineRule="exact"/>
        <w:rPr>
          <w:sz w:val="20"/>
          <w:szCs w:val="20"/>
          <w:color w:val="auto"/>
        </w:rPr>
      </w:pPr>
    </w:p>
    <w:p>
      <w:pPr>
        <w:jc w:val="both"/>
        <w:ind w:firstLine="591"/>
        <w:spacing w:after="0" w:line="296" w:lineRule="auto"/>
        <w:rPr>
          <w:sz w:val="20"/>
          <w:szCs w:val="20"/>
          <w:color w:val="auto"/>
        </w:rPr>
      </w:pPr>
      <w:r>
        <w:rPr>
          <w:rFonts w:ascii="Times New Roman" w:cs="Times New Roman" w:eastAsia="Times New Roman" w:hAnsi="Times New Roman"/>
          <w:sz w:val="16"/>
          <w:szCs w:val="16"/>
          <w:color w:val="auto"/>
        </w:rPr>
        <w:t>A. The Company and each Holder are executing and delivering this Agreement in reliance upon the exemption from securities registration afforded by Section 3(a)(9) of the Securities Act of 1933, as amended (the “</w:t>
      </w:r>
      <w:r>
        <w:rPr>
          <w:rFonts w:ascii="Times New Roman" w:cs="Times New Roman" w:eastAsia="Times New Roman" w:hAnsi="Times New Roman"/>
          <w:sz w:val="16"/>
          <w:szCs w:val="16"/>
          <w:b w:val="1"/>
          <w:bCs w:val="1"/>
          <w:color w:val="auto"/>
        </w:rPr>
        <w:t>1933 Act</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xml:space="preserve">B. The Company has authorized a new series of Senior Secured Notes in the form attached hereto as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Exchange Notes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591"/>
        <w:spacing w:after="0" w:line="265" w:lineRule="auto"/>
        <w:rPr>
          <w:sz w:val="20"/>
          <w:szCs w:val="20"/>
          <w:color w:val="auto"/>
        </w:rPr>
      </w:pPr>
      <w:r>
        <w:rPr>
          <w:rFonts w:ascii="Times New Roman" w:cs="Times New Roman" w:eastAsia="Times New Roman" w:hAnsi="Times New Roman"/>
          <w:sz w:val="16"/>
          <w:szCs w:val="16"/>
          <w:color w:val="auto"/>
        </w:rPr>
        <w:t>C. The Company has also authorized the issuance of the Note Exchange Warrants to purchase the Company’s common stock, par value $0.001 per share (together with any capital stock into which such common stock shall have been changed or any share capital resulting from a reclassification of such common stock, the “</w:t>
      </w:r>
      <w:r>
        <w:rPr>
          <w:rFonts w:ascii="Times New Roman" w:cs="Times New Roman" w:eastAsia="Times New Roman" w:hAnsi="Times New Roman"/>
          <w:sz w:val="16"/>
          <w:szCs w:val="16"/>
          <w:b w:val="1"/>
          <w:bCs w:val="1"/>
          <w:color w:val="auto"/>
        </w:rPr>
        <w:t>Common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Stock</w:t>
      </w:r>
      <w:r>
        <w:rPr>
          <w:rFonts w:ascii="Times New Roman" w:cs="Times New Roman" w:eastAsia="Times New Roman" w:hAnsi="Times New Roman"/>
          <w:sz w:val="16"/>
          <w:szCs w:val="16"/>
          <w:color w:val="auto"/>
        </w:rPr>
        <w:t>”) in the form attached hereto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Note Exchange Warrants</w:t>
      </w:r>
      <w:r>
        <w:rPr>
          <w:rFonts w:ascii="Times New Roman" w:cs="Times New Roman" w:eastAsia="Times New Roman" w:hAnsi="Times New Roman"/>
          <w:sz w:val="16"/>
          <w:szCs w:val="16"/>
          <w:color w:val="auto"/>
        </w:rPr>
        <w:t>”) and the Warrant Exchange Warrants to purchase the Company’s Common Stock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form attached hereto as </w:t>
      </w:r>
      <w:r>
        <w:rPr>
          <w:rFonts w:ascii="Times New Roman" w:cs="Times New Roman" w:eastAsia="Times New Roman" w:hAnsi="Times New Roman"/>
          <w:sz w:val="16"/>
          <w:szCs w:val="16"/>
          <w:b w:val="1"/>
          <w:bCs w:val="1"/>
          <w:u w:val="single" w:color="auto"/>
          <w:color w:val="auto"/>
        </w:rPr>
        <w:t>Exhibit C</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Warrant Exchange Warrants</w:t>
      </w:r>
      <w:r>
        <w:rPr>
          <w:rFonts w:ascii="Times New Roman" w:cs="Times New Roman" w:eastAsia="Times New Roman" w:hAnsi="Times New Roman"/>
          <w:sz w:val="16"/>
          <w:szCs w:val="16"/>
          <w:color w:val="auto"/>
        </w:rPr>
        <w:t>” and together with the Note Exchange Warrants, the “</w:t>
      </w:r>
      <w:r>
        <w:rPr>
          <w:rFonts w:ascii="Times New Roman" w:cs="Times New Roman" w:eastAsia="Times New Roman" w:hAnsi="Times New Roman"/>
          <w:sz w:val="16"/>
          <w:szCs w:val="16"/>
          <w:b w:val="1"/>
          <w:bCs w:val="1"/>
          <w:color w:val="auto"/>
        </w:rPr>
        <w:t>Exchange Warrants</w:t>
      </w:r>
      <w:r>
        <w:rPr>
          <w:rFonts w:ascii="Times New Roman" w:cs="Times New Roman" w:eastAsia="Times New Roman" w:hAnsi="Times New Roman"/>
          <w:sz w:val="16"/>
          <w:szCs w:val="16"/>
          <w:color w:val="auto"/>
        </w:rPr>
        <w:t>” and the Exchange Warrants together with the Exchange Notes, the “</w:t>
      </w:r>
      <w:r>
        <w:rPr>
          <w:rFonts w:ascii="Times New Roman" w:cs="Times New Roman" w:eastAsia="Times New Roman" w:hAnsi="Times New Roman"/>
          <w:sz w:val="16"/>
          <w:szCs w:val="16"/>
          <w:b w:val="1"/>
          <w:bCs w:val="1"/>
          <w:color w:val="auto"/>
        </w:rPr>
        <w:t>Exchange Securities</w:t>
      </w:r>
      <w:r>
        <w:rPr>
          <w:rFonts w:ascii="Times New Roman" w:cs="Times New Roman" w:eastAsia="Times New Roman" w:hAnsi="Times New Roman"/>
          <w:sz w:val="16"/>
          <w:szCs w:val="16"/>
          <w:color w:val="auto"/>
        </w:rPr>
        <w:t>”) (such underlying shares of Common Stock issuable upon exercise of the Exchange Warrants, collectively, the “</w:t>
      </w:r>
      <w:r>
        <w:rPr>
          <w:rFonts w:ascii="Times New Roman" w:cs="Times New Roman" w:eastAsia="Times New Roman" w:hAnsi="Times New Roman"/>
          <w:sz w:val="16"/>
          <w:szCs w:val="16"/>
          <w:b w:val="1"/>
          <w:bCs w:val="1"/>
          <w:color w:val="auto"/>
        </w:rPr>
        <w:t>Warrant Shares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Underlying Shares</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firstLine="591"/>
        <w:spacing w:after="0" w:line="270" w:lineRule="auto"/>
        <w:rPr>
          <w:sz w:val="20"/>
          <w:szCs w:val="20"/>
          <w:color w:val="auto"/>
        </w:rPr>
      </w:pPr>
      <w:r>
        <w:rPr>
          <w:rFonts w:ascii="Times New Roman" w:cs="Times New Roman" w:eastAsia="Times New Roman" w:hAnsi="Times New Roman"/>
          <w:sz w:val="16"/>
          <w:szCs w:val="16"/>
          <w:color w:val="auto"/>
        </w:rPr>
        <w:t>D. Each Holder is the beneficial owner of (i) such outstanding principal amount of Senior Secured Notes due 2026 set forth opposite such Holder’s name in column (3) of the Schedule of Holders (each, a “</w:t>
      </w:r>
      <w:r>
        <w:rPr>
          <w:rFonts w:ascii="Times New Roman" w:cs="Times New Roman" w:eastAsia="Times New Roman" w:hAnsi="Times New Roman"/>
          <w:sz w:val="16"/>
          <w:szCs w:val="16"/>
          <w:b w:val="1"/>
          <w:bCs w:val="1"/>
          <w:color w:val="auto"/>
        </w:rPr>
        <w:t>Prior Note</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Prior Notes</w:t>
      </w:r>
      <w:r>
        <w:rPr>
          <w:rFonts w:ascii="Times New Roman" w:cs="Times New Roman" w:eastAsia="Times New Roman" w:hAnsi="Times New Roman"/>
          <w:sz w:val="16"/>
          <w:szCs w:val="16"/>
          <w:color w:val="auto"/>
        </w:rPr>
        <w:t>”) and (ii) such certain warrants exercisable for the aggregate number of warrant shares set forth opposite such Holder’s name in column (9) of the Schedule of Holders (the “</w:t>
      </w:r>
      <w:r>
        <w:rPr>
          <w:rFonts w:ascii="Times New Roman" w:cs="Times New Roman" w:eastAsia="Times New Roman" w:hAnsi="Times New Roman"/>
          <w:sz w:val="16"/>
          <w:szCs w:val="16"/>
          <w:b w:val="1"/>
          <w:bCs w:val="1"/>
          <w:color w:val="auto"/>
        </w:rPr>
        <w:t>Prior Warrants</w:t>
      </w:r>
      <w:r>
        <w:rPr>
          <w:rFonts w:ascii="Times New Roman" w:cs="Times New Roman" w:eastAsia="Times New Roman" w:hAnsi="Times New Roman"/>
          <w:sz w:val="16"/>
          <w:szCs w:val="16"/>
          <w:color w:val="auto"/>
        </w:rPr>
        <w:t>” and together with the Prior Notes, the “</w:t>
      </w:r>
      <w:r>
        <w:rPr>
          <w:rFonts w:ascii="Times New Roman" w:cs="Times New Roman" w:eastAsia="Times New Roman" w:hAnsi="Times New Roman"/>
          <w:sz w:val="16"/>
          <w:szCs w:val="16"/>
          <w:b w:val="1"/>
          <w:bCs w:val="1"/>
          <w:color w:val="auto"/>
        </w:rPr>
        <w:t>Prior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issued by the Company pursuant to that certain Securities Purchase Agreement, dated March 14, 2022 (the “</w:t>
      </w:r>
      <w:r>
        <w:rPr>
          <w:rFonts w:ascii="Times New Roman" w:cs="Times New Roman" w:eastAsia="Times New Roman" w:hAnsi="Times New Roman"/>
          <w:sz w:val="16"/>
          <w:szCs w:val="16"/>
          <w:b w:val="1"/>
          <w:bCs w:val="1"/>
          <w:color w:val="auto"/>
        </w:rPr>
        <w:t>Prior SPA</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firstLine="591"/>
        <w:spacing w:after="0" w:line="262" w:lineRule="auto"/>
        <w:rPr>
          <w:sz w:val="20"/>
          <w:szCs w:val="20"/>
          <w:color w:val="auto"/>
        </w:rPr>
      </w:pPr>
      <w:r>
        <w:rPr>
          <w:rFonts w:ascii="Times New Roman" w:cs="Times New Roman" w:eastAsia="Times New Roman" w:hAnsi="Times New Roman"/>
          <w:sz w:val="16"/>
          <w:szCs w:val="16"/>
          <w:color w:val="auto"/>
        </w:rPr>
        <w:t>E. Pursuant to the Prior SPA, each Holder and the Company entered into certain transaction documents, which included the Prior SPA, the Prior Notes, the Prior Warrants, that certain Security Agreement, dated as of March 23, 2022 (the “</w:t>
      </w:r>
      <w:r>
        <w:rPr>
          <w:rFonts w:ascii="Times New Roman" w:cs="Times New Roman" w:eastAsia="Times New Roman" w:hAnsi="Times New Roman"/>
          <w:sz w:val="16"/>
          <w:szCs w:val="16"/>
          <w:b w:val="1"/>
          <w:bCs w:val="1"/>
          <w:color w:val="auto"/>
        </w:rPr>
        <w:t>Security Agreement</w:t>
      </w:r>
      <w:r>
        <w:rPr>
          <w:rFonts w:ascii="Times New Roman" w:cs="Times New Roman" w:eastAsia="Times New Roman" w:hAnsi="Times New Roman"/>
          <w:sz w:val="16"/>
          <w:szCs w:val="16"/>
          <w:color w:val="auto"/>
        </w:rPr>
        <w:t>”), by and among the Company, each of the subsidiaries of the Company thereto and High Trail Special Situations LLC, a Delaware limited liability company (the “</w:t>
      </w:r>
      <w:r>
        <w:rPr>
          <w:rFonts w:ascii="Times New Roman" w:cs="Times New Roman" w:eastAsia="Times New Roman" w:hAnsi="Times New Roman"/>
          <w:sz w:val="16"/>
          <w:szCs w:val="16"/>
          <w:b w:val="1"/>
          <w:bCs w:val="1"/>
          <w:color w:val="auto"/>
        </w:rPr>
        <w:t>Initial Collateral Agent</w:t>
      </w:r>
      <w:r>
        <w:rPr>
          <w:rFonts w:ascii="Times New Roman" w:cs="Times New Roman" w:eastAsia="Times New Roman" w:hAnsi="Times New Roman"/>
          <w:sz w:val="16"/>
          <w:szCs w:val="16"/>
          <w:color w:val="auto"/>
        </w:rPr>
        <w:t>”), in its capacity as collateral agent for the benefit of the Holders, that certain Intellectual Property Security Agreement, dated as of March 23, 2022 by and among the Company, each of the subsidiaries of the Company thereto and the Initial Collateral Agent (the “</w:t>
      </w:r>
      <w:r>
        <w:rPr>
          <w:rFonts w:ascii="Times New Roman" w:cs="Times New Roman" w:eastAsia="Times New Roman" w:hAnsi="Times New Roman"/>
          <w:sz w:val="16"/>
          <w:szCs w:val="16"/>
          <w:b w:val="1"/>
          <w:bCs w:val="1"/>
          <w:color w:val="auto"/>
        </w:rPr>
        <w:t>IP Security Agreement</w:t>
      </w:r>
      <w:r>
        <w:rPr>
          <w:rFonts w:ascii="Times New Roman" w:cs="Times New Roman" w:eastAsia="Times New Roman" w:hAnsi="Times New Roman"/>
          <w:sz w:val="16"/>
          <w:szCs w:val="16"/>
          <w:color w:val="auto"/>
        </w:rPr>
        <w:t>” and together with the Security Agreement, the “</w:t>
      </w:r>
      <w:r>
        <w:rPr>
          <w:rFonts w:ascii="Times New Roman" w:cs="Times New Roman" w:eastAsia="Times New Roman" w:hAnsi="Times New Roman"/>
          <w:sz w:val="16"/>
          <w:szCs w:val="16"/>
          <w:b w:val="1"/>
          <w:bCs w:val="1"/>
          <w:color w:val="auto"/>
        </w:rPr>
        <w:t>Security Agreements</w:t>
      </w:r>
      <w:r>
        <w:rPr>
          <w:rFonts w:ascii="Times New Roman" w:cs="Times New Roman" w:eastAsia="Times New Roman" w:hAnsi="Times New Roman"/>
          <w:sz w:val="16"/>
          <w:szCs w:val="16"/>
          <w:color w:val="auto"/>
        </w:rPr>
        <w:t>”), the Security Documents (as defined in the Security Agreements), the Stockholder Agreements (as defined in the Prior SPA), the Irrevocable Transfer Agent Instructions (in this instance, as defined in the Prior SPA) and each of the other written agreements and instruments entered into or delivered by any of the parties thereto in connection with the transactions contemplated thereby, as may be amended from time to time (the “</w:t>
      </w:r>
      <w:r>
        <w:rPr>
          <w:rFonts w:ascii="Times New Roman" w:cs="Times New Roman" w:eastAsia="Times New Roman" w:hAnsi="Times New Roman"/>
          <w:sz w:val="16"/>
          <w:szCs w:val="16"/>
          <w:b w:val="1"/>
          <w:bCs w:val="1"/>
          <w:color w:val="auto"/>
        </w:rPr>
        <w:t>Prior Transaction Documents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14438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both"/>
        <w:ind w:left="1" w:firstLine="591"/>
        <w:spacing w:after="0" w:line="296" w:lineRule="auto"/>
        <w:rPr>
          <w:sz w:val="20"/>
          <w:szCs w:val="20"/>
          <w:color w:val="auto"/>
        </w:rPr>
      </w:pPr>
      <w:r>
        <w:rPr>
          <w:rFonts w:ascii="Times New Roman" w:cs="Times New Roman" w:eastAsia="Times New Roman" w:hAnsi="Times New Roman"/>
          <w:sz w:val="16"/>
          <w:szCs w:val="16"/>
          <w:color w:val="auto"/>
        </w:rPr>
        <w:t>F. Each Holder and the Company wish to exchange such outstanding principal amount of Prior Notes set forth opposite such Holder’s name in column (6) of the Schedule of Holders for the Exchange Notes and Note Exchange Warrants.</w:t>
      </w:r>
    </w:p>
    <w:p>
      <w:pPr>
        <w:spacing w:after="0" w:line="138" w:lineRule="exact"/>
        <w:rPr>
          <w:sz w:val="20"/>
          <w:szCs w:val="20"/>
          <w:color w:val="auto"/>
        </w:rPr>
      </w:pPr>
    </w:p>
    <w:p>
      <w:pPr>
        <w:jc w:val="both"/>
        <w:ind w:left="1" w:firstLine="591"/>
        <w:spacing w:after="0" w:line="296" w:lineRule="auto"/>
        <w:rPr>
          <w:sz w:val="20"/>
          <w:szCs w:val="20"/>
          <w:color w:val="auto"/>
        </w:rPr>
      </w:pPr>
      <w:r>
        <w:rPr>
          <w:rFonts w:ascii="Times New Roman" w:cs="Times New Roman" w:eastAsia="Times New Roman" w:hAnsi="Times New Roman"/>
          <w:sz w:val="16"/>
          <w:szCs w:val="16"/>
          <w:color w:val="auto"/>
        </w:rPr>
        <w:t>G. Each Holder and the Company wish to exchange the outstanding Prior Warrants exercisable for the aggregate number of Warrant Shares as set forth opposite such Holder’s name in column (9) on the Schedule of Holders for the Warrant Exchange Warrants.</w:t>
      </w:r>
    </w:p>
    <w:p>
      <w:pPr>
        <w:spacing w:after="0" w:line="138" w:lineRule="exact"/>
        <w:rPr>
          <w:sz w:val="20"/>
          <w:szCs w:val="20"/>
          <w:color w:val="auto"/>
        </w:rPr>
      </w:pPr>
    </w:p>
    <w:p>
      <w:pPr>
        <w:jc w:val="both"/>
        <w:ind w:left="1" w:firstLine="591"/>
        <w:spacing w:after="0" w:line="270" w:lineRule="auto"/>
        <w:rPr>
          <w:sz w:val="20"/>
          <w:szCs w:val="20"/>
          <w:color w:val="auto"/>
        </w:rPr>
      </w:pPr>
      <w:r>
        <w:rPr>
          <w:rFonts w:ascii="Times New Roman" w:cs="Times New Roman" w:eastAsia="Times New Roman" w:hAnsi="Times New Roman"/>
          <w:sz w:val="16"/>
          <w:szCs w:val="16"/>
          <w:color w:val="auto"/>
        </w:rPr>
        <w:t>H. Immediately prior to the Closing (as defined below), both parties agree that, notwithstanding anything to the contrary set forth in the Prior Notes, the Company shall make a payment under the Prior Notes at the Company Redemption Price (as defined in the Prior Notes) in the aggregate cash amount as set forth opposite such Holder’s name in column (4) and such payment shall decrease the principal amount of the Prior Note in the amount as set forth opposite such Holder’s name in column (5) (the “</w:t>
      </w:r>
      <w:r>
        <w:rPr>
          <w:rFonts w:ascii="Times New Roman" w:cs="Times New Roman" w:eastAsia="Times New Roman" w:hAnsi="Times New Roman"/>
          <w:sz w:val="16"/>
          <w:szCs w:val="16"/>
          <w:b w:val="1"/>
          <w:bCs w:val="1"/>
          <w:color w:val="auto"/>
        </w:rPr>
        <w:t>Prior Note Pay Down</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left="1" w:firstLine="591"/>
        <w:spacing w:after="0" w:line="267" w:lineRule="auto"/>
        <w:rPr>
          <w:sz w:val="20"/>
          <w:szCs w:val="20"/>
          <w:color w:val="auto"/>
        </w:rPr>
      </w:pPr>
      <w:r>
        <w:rPr>
          <w:rFonts w:ascii="Times New Roman" w:cs="Times New Roman" w:eastAsia="Times New Roman" w:hAnsi="Times New Roman"/>
          <w:sz w:val="16"/>
          <w:szCs w:val="16"/>
          <w:color w:val="auto"/>
        </w:rPr>
        <w:t xml:space="preserve">I. Furthermore, at the Closing (as defined below), the parties hereto shall execute and deliver amendments to the Security Agreements and that certain Subsidiary Guaranty, dated as of March 23, 2022, by and among the Company, each of the subsidiaries of the Company thereto and the Initial Collateral Agent, in its capacity as collateral agent for the benefit of the Holders, in the forms attached hereto as </w:t>
      </w:r>
      <w:r>
        <w:rPr>
          <w:rFonts w:ascii="Times New Roman" w:cs="Times New Roman" w:eastAsia="Times New Roman" w:hAnsi="Times New Roman"/>
          <w:sz w:val="16"/>
          <w:szCs w:val="16"/>
          <w:b w:val="1"/>
          <w:bCs w:val="1"/>
          <w:color w:val="auto"/>
        </w:rPr>
        <w:t>Exhibit D</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Amendments to Security Documents</w:t>
      </w:r>
      <w:r>
        <w:rPr>
          <w:rFonts w:ascii="Times New Roman" w:cs="Times New Roman" w:eastAsia="Times New Roman" w:hAnsi="Times New Roman"/>
          <w:sz w:val="16"/>
          <w:szCs w:val="16"/>
          <w:color w:val="auto"/>
        </w:rPr>
        <w:t>”), pursuant to which the Company has agreed to grant a first priority security interest to the Collateral Agent (as defined in the Security Agreements), as collateral agent for the holders of the Exchange Notes in all assets of the Company.</w:t>
      </w:r>
    </w:p>
    <w:p>
      <w:pPr>
        <w:spacing w:after="0" w:line="156"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6"/>
          <w:szCs w:val="16"/>
          <w:color w:val="auto"/>
        </w:rPr>
        <w:t>J. The Exchange Notes, Exchange Warrants, and Warrant Shares are collectively referred to herein as the “</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jc w:val="both"/>
        <w:ind w:left="1" w:firstLine="591"/>
        <w:spacing w:after="0" w:line="302" w:lineRule="auto"/>
        <w:rPr>
          <w:sz w:val="20"/>
          <w:szCs w:val="20"/>
          <w:color w:val="auto"/>
        </w:rPr>
      </w:pPr>
      <w:r>
        <w:rPr>
          <w:rFonts w:ascii="Times New Roman" w:cs="Times New Roman" w:eastAsia="Times New Roman" w:hAnsi="Times New Roman"/>
          <w:sz w:val="16"/>
          <w:szCs w:val="16"/>
          <w:color w:val="auto"/>
        </w:rPr>
        <w:t xml:space="preserve">K. At or before the Closing, each of the parties set forth on </w:t>
      </w:r>
      <w:r>
        <w:rPr>
          <w:rFonts w:ascii="Times New Roman" w:cs="Times New Roman" w:eastAsia="Times New Roman" w:hAnsi="Times New Roman"/>
          <w:sz w:val="16"/>
          <w:szCs w:val="16"/>
          <w:b w:val="1"/>
          <w:bCs w:val="1"/>
          <w:color w:val="auto"/>
        </w:rPr>
        <w:t>Exhibit E</w:t>
      </w:r>
      <w:r>
        <w:rPr>
          <w:rFonts w:ascii="Times New Roman" w:cs="Times New Roman" w:eastAsia="Times New Roman" w:hAnsi="Times New Roman"/>
          <w:sz w:val="16"/>
          <w:szCs w:val="16"/>
          <w:color w:val="auto"/>
        </w:rPr>
        <w:t xml:space="preserve"> shall execute and deliver a Stockholder Agreement, in the form attached hereto as </w:t>
      </w:r>
      <w:r>
        <w:rPr>
          <w:rFonts w:ascii="Times New Roman" w:cs="Times New Roman" w:eastAsia="Times New Roman" w:hAnsi="Times New Roman"/>
          <w:sz w:val="16"/>
          <w:szCs w:val="16"/>
          <w:b w:val="1"/>
          <w:bCs w:val="1"/>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F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Stockholder Agreement</w:t>
      </w:r>
      <w:r>
        <w:rPr>
          <w:rFonts w:ascii="Times New Roman" w:cs="Times New Roman" w:eastAsia="Times New Roman" w:hAnsi="Times New Roman"/>
          <w:sz w:val="16"/>
          <w:szCs w:val="16"/>
          <w:color w:val="auto"/>
        </w:rPr>
        <w:t>”), pursuant to which such parties shall agree to certain restrictions on the transfer of their shares of the Company’s Common Stock.</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AGREEMENT</w:t>
      </w:r>
    </w:p>
    <w:p>
      <w:pPr>
        <w:spacing w:after="0" w:line="214" w:lineRule="exact"/>
        <w:rPr>
          <w:sz w:val="20"/>
          <w:szCs w:val="20"/>
          <w:color w:val="auto"/>
        </w:rPr>
      </w:pPr>
    </w:p>
    <w:p>
      <w:pPr>
        <w:jc w:val="both"/>
        <w:ind w:left="1" w:firstLine="591"/>
        <w:spacing w:after="0" w:line="296" w:lineRule="auto"/>
        <w:rPr>
          <w:sz w:val="20"/>
          <w:szCs w:val="20"/>
          <w:color w:val="auto"/>
        </w:rPr>
      </w:pPr>
      <w:r>
        <w:rPr>
          <w:rFonts w:ascii="Times New Roman" w:cs="Times New Roman" w:eastAsia="Times New Roman" w:hAnsi="Times New Roman"/>
          <w:sz w:val="16"/>
          <w:szCs w:val="16"/>
          <w:color w:val="auto"/>
        </w:rPr>
        <w:t>NOW, THEREFORE, in consideration of the premises and the mutual covenants and agreements contained herein and for other good and valuable consideration, the receipt and sufficiency of which are hereby acknowledged, the Company and each Holder hereby agree as follows:</w:t>
      </w:r>
    </w:p>
    <w:p>
      <w:pPr>
        <w:spacing w:after="0" w:line="134" w:lineRule="exact"/>
        <w:rPr>
          <w:sz w:val="20"/>
          <w:szCs w:val="20"/>
          <w:color w:val="auto"/>
        </w:rPr>
      </w:pPr>
    </w:p>
    <w:p>
      <w:pPr>
        <w:ind w:left="601" w:hanging="601"/>
        <w:spacing w:after="0"/>
        <w:tabs>
          <w:tab w:leader="none" w:pos="601"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OF PRIOR SECURITIES.</w:t>
      </w:r>
    </w:p>
    <w:p>
      <w:pPr>
        <w:spacing w:after="0" w:line="214" w:lineRule="exact"/>
        <w:rPr>
          <w:rFonts w:ascii="Times New Roman" w:cs="Times New Roman" w:eastAsia="Times New Roman" w:hAnsi="Times New Roman"/>
          <w:sz w:val="16"/>
          <w:szCs w:val="16"/>
          <w:b w:val="1"/>
          <w:bCs w:val="1"/>
          <w:color w:val="auto"/>
        </w:rPr>
      </w:pPr>
    </w:p>
    <w:p>
      <w:pPr>
        <w:jc w:val="both"/>
        <w:ind w:left="1" w:firstLine="590"/>
        <w:spacing w:after="0" w:line="266" w:lineRule="auto"/>
        <w:tabs>
          <w:tab w:leader="none" w:pos="828"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of Prior Notes for Exchange Securities</w:t>
      </w:r>
      <w:r>
        <w:rPr>
          <w:rFonts w:ascii="Times New Roman" w:cs="Times New Roman" w:eastAsia="Times New Roman" w:hAnsi="Times New Roman"/>
          <w:sz w:val="16"/>
          <w:szCs w:val="16"/>
          <w:color w:val="auto"/>
        </w:rPr>
        <w:t>. Subject to the satisfaction (or waiver) of the conditions set forth in Sections 6 and 7, as applicable, the Company shall, in reliance upon the exemptions from securities registration afforded by Section 3(a)(9) of the 1933 Act, issue to each Holder, in exchange for the Prior Securities, (i) an Exchange Note in the aggregate principal amount of Exchange Notes as set forth opposite such Holder’s name in column (7) on the Schedule of Holders, (ii) a Note Exchange Warrant exercisable for the aggregate number of Warrant Shares as set forth opposite such Holder’s name in column (8) on the Schedule of Holders and (iii) a Warrant Exchange Warrant exercisable for the aggregate number of Warrant Shares as set forth opposite such Holder’s name in column (10) on the Schedule of Holders.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83" w:name="page84"/>
    <w:bookmarkEnd w:id="83"/>
    <w:p>
      <w:pPr>
        <w:jc w:val="both"/>
        <w:ind w:left="1" w:firstLine="590"/>
        <w:spacing w:after="0" w:line="263" w:lineRule="auto"/>
        <w:tabs>
          <w:tab w:leader="none" w:pos="825"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The closing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of the exchange of the Exchange Securities by the Company and the Holders shall occur by electronic transmission or other transmission as mutually acceptable to the parties. The date and time of the Closing (the “</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shall be 10:00 a.m., New York time, on the first (1st) Business Day on which the conditions to the Closing set forth in Sections 6 and 7 are satisfied or waived (or such other date as is mutually agreed to by the Company and each Holder). As used herein “</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a Saturday, a Sunday or any day on which commercial banks in The City of New York are authorized or required by law or executive order to close or be closed; provided, however,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165" w:lineRule="exact"/>
        <w:rPr>
          <w:rFonts w:ascii="Times New Roman" w:cs="Times New Roman" w:eastAsia="Times New Roman" w:hAnsi="Times New Roman"/>
          <w:sz w:val="16"/>
          <w:szCs w:val="16"/>
          <w:color w:val="auto"/>
        </w:rPr>
      </w:pPr>
    </w:p>
    <w:p>
      <w:pPr>
        <w:jc w:val="both"/>
        <w:ind w:left="1" w:firstLine="590"/>
        <w:spacing w:after="0" w:line="262" w:lineRule="auto"/>
        <w:tabs>
          <w:tab w:leader="none" w:pos="816"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of Prior Securities.</w:t>
      </w:r>
      <w:r>
        <w:rPr>
          <w:rFonts w:ascii="Times New Roman" w:cs="Times New Roman" w:eastAsia="Times New Roman" w:hAnsi="Times New Roman"/>
          <w:sz w:val="16"/>
          <w:szCs w:val="16"/>
          <w:color w:val="auto"/>
        </w:rPr>
        <w:t xml:space="preserve"> On the Closing Date, (i) each Holder shall be deemed to have tendered its Prior Securities for exchange, and (ii) the Company shall deliver to each Holder an Exchange Note in the aggregate principal amount as is set forth opposite such Holder’s name in column (7) of the Schedule of Holders, a Note Exchange Warrant exercisable for the aggregate number of Warrant Shares as set forth opposite such Holder’s name in column (8) on the Schedule of Holders and a Warrant Exchange Warrant exercisable for the aggregate number of Warrant Shares as set forth opposite such Holder’s name in column (10) on the Schedule of Holders, all duly executed on behalf of the Company and registered on the books and records of the Company in the name of such Holder or its designee and any interest then accrued on the portion of the Prior Note being redeemed on the Closing Date. For the avoidance of doubt, no prepayment penalties, premiums or default payments shall be applicable or due and owing in connection with the exchange of the Prior Securities for the Exchange Notes. Upon the Closing, each Prior Security shall automatically terminate in all respects, without any further actions by the Company or the applicable Holder that is the holder of such Prior Security.</w:t>
      </w:r>
    </w:p>
    <w:p>
      <w:pPr>
        <w:spacing w:after="0" w:line="163"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HOLDERS’ REPRESENTATIONS AND WARRANTIES.</w:t>
      </w:r>
    </w:p>
    <w:p>
      <w:pPr>
        <w:spacing w:after="0" w:line="214" w:lineRule="exact"/>
        <w:rPr>
          <w:rFonts w:ascii="Times New Roman" w:cs="Times New Roman" w:eastAsia="Times New Roman" w:hAnsi="Times New Roman"/>
          <w:sz w:val="16"/>
          <w:szCs w:val="16"/>
          <w:b w:val="1"/>
          <w:bCs w:val="1"/>
          <w:color w:val="auto"/>
        </w:rPr>
      </w:pPr>
    </w:p>
    <w:p>
      <w:pPr>
        <w:ind w:left="601"/>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Each Holder, severally and not jointly, represents and warrants to the Company with respect to only itself that, as of the date hereof and as of the Closing Date:</w:t>
      </w:r>
    </w:p>
    <w:p>
      <w:pPr>
        <w:spacing w:after="0" w:line="210" w:lineRule="exact"/>
        <w:rPr>
          <w:rFonts w:ascii="Times New Roman" w:cs="Times New Roman" w:eastAsia="Times New Roman" w:hAnsi="Times New Roman"/>
          <w:sz w:val="16"/>
          <w:szCs w:val="16"/>
          <w:b w:val="1"/>
          <w:bCs w:val="1"/>
          <w:color w:val="auto"/>
        </w:rPr>
      </w:pPr>
    </w:p>
    <w:p>
      <w:pPr>
        <w:jc w:val="both"/>
        <w:ind w:left="1" w:firstLine="590"/>
        <w:spacing w:after="0" w:line="277" w:lineRule="auto"/>
        <w:tabs>
          <w:tab w:leader="none" w:pos="81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Authority</w:t>
      </w:r>
      <w:r>
        <w:rPr>
          <w:rFonts w:ascii="Times New Roman" w:cs="Times New Roman" w:eastAsia="Times New Roman" w:hAnsi="Times New Roman"/>
          <w:sz w:val="16"/>
          <w:szCs w:val="16"/>
          <w:color w:val="auto"/>
        </w:rPr>
        <w:t>. Such Holder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84" w:name="page85"/>
    <w:bookmarkEnd w:id="84"/>
    <w:p>
      <w:pPr>
        <w:jc w:val="both"/>
        <w:ind w:firstLine="590"/>
        <w:spacing w:after="0" w:line="262" w:lineRule="auto"/>
        <w:tabs>
          <w:tab w:leader="none" w:pos="83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Public Sale or Distribution.</w:t>
      </w:r>
      <w:r>
        <w:rPr>
          <w:rFonts w:ascii="Times New Roman" w:cs="Times New Roman" w:eastAsia="Times New Roman" w:hAnsi="Times New Roman"/>
          <w:sz w:val="16"/>
          <w:szCs w:val="16"/>
          <w:color w:val="auto"/>
        </w:rPr>
        <w:t xml:space="preserve"> Such Holder (i) is exchanging its Prior Securities for the Exchange Securities, and (ii) upon exercise of, or otherwise in accordance with, its Exchange Securities will acquire the Underlying Shares issuable upon exercise thereof, or otherwise in accordance therewith,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Holder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Holder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a limited liability company, a partnership, a joint venture, a corporation, a trust, an unincorporated organization, any other entity and any Governmental Entity (as defined below) or any department or agency thereof.</w:t>
      </w:r>
    </w:p>
    <w:p>
      <w:pPr>
        <w:spacing w:after="0" w:line="164" w:lineRule="exact"/>
        <w:rPr>
          <w:rFonts w:ascii="Times New Roman" w:cs="Times New Roman" w:eastAsia="Times New Roman" w:hAnsi="Times New Roman"/>
          <w:sz w:val="16"/>
          <w:szCs w:val="16"/>
          <w:color w:val="auto"/>
        </w:rPr>
      </w:pPr>
    </w:p>
    <w:p>
      <w:pPr>
        <w:jc w:val="both"/>
        <w:ind w:firstLine="590"/>
        <w:spacing w:after="0" w:line="265" w:lineRule="auto"/>
        <w:tabs>
          <w:tab w:leader="none" w:pos="81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Good Title; No Liens.</w:t>
      </w:r>
      <w:r>
        <w:rPr>
          <w:rFonts w:ascii="Times New Roman" w:cs="Times New Roman" w:eastAsia="Times New Roman" w:hAnsi="Times New Roman"/>
          <w:sz w:val="16"/>
          <w:szCs w:val="16"/>
          <w:color w:val="auto"/>
        </w:rPr>
        <w:t xml:space="preserve"> Each Holder has good and valid title to its Prior Securities, and owns and holds the entire legal and beneficial right, title, and interest in and to such Prior Securities (including, without limitation, accrued and unpaid interest thereon, as applicable), free and clear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6"/>
          <w:szCs w:val="16"/>
          <w:b w:val="1"/>
          <w:bCs w:val="1"/>
          <w:color w:val="auto"/>
        </w:rPr>
        <w:t>Liens</w:t>
      </w:r>
      <w:r>
        <w:rPr>
          <w:rFonts w:ascii="Times New Roman" w:cs="Times New Roman" w:eastAsia="Times New Roman" w:hAnsi="Times New Roman"/>
          <w:sz w:val="16"/>
          <w:szCs w:val="16"/>
          <w:color w:val="auto"/>
        </w:rPr>
        <w:t>”) and such Prior Securities are not subject to any contract, agreement, arrangement, commitment or understanding restricting or otherwise relating to the disposition of such Prior Securities; good and valid title to such Prior Securities (including, without limitation, accrued and unpaid interest thereon) will pass to the Company upon consummation of the transactions contemplated hereby.</w:t>
      </w:r>
    </w:p>
    <w:p>
      <w:pPr>
        <w:spacing w:after="0" w:line="161" w:lineRule="exact"/>
        <w:rPr>
          <w:rFonts w:ascii="Times New Roman" w:cs="Times New Roman" w:eastAsia="Times New Roman" w:hAnsi="Times New Roman"/>
          <w:sz w:val="16"/>
          <w:szCs w:val="16"/>
          <w:color w:val="auto"/>
        </w:rPr>
      </w:pPr>
    </w:p>
    <w:p>
      <w:pPr>
        <w:ind w:left="820" w:hanging="230"/>
        <w:spacing w:after="0"/>
        <w:tabs>
          <w:tab w:leader="none" w:pos="8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Accredited Investor Status</w:t>
      </w:r>
      <w:r>
        <w:rPr>
          <w:rFonts w:ascii="Times New Roman" w:cs="Times New Roman" w:eastAsia="Times New Roman" w:hAnsi="Times New Roman"/>
          <w:sz w:val="16"/>
          <w:szCs w:val="16"/>
          <w:color w:val="auto"/>
        </w:rPr>
        <w:t>. The Holder qualifies as an “accredited investor” as that term is defined in Rule 501(a) of Regulation D.</w:t>
      </w:r>
    </w:p>
    <w:p>
      <w:pPr>
        <w:spacing w:after="0" w:line="210" w:lineRule="exact"/>
        <w:rPr>
          <w:rFonts w:ascii="Times New Roman" w:cs="Times New Roman" w:eastAsia="Times New Roman" w:hAnsi="Times New Roman"/>
          <w:sz w:val="16"/>
          <w:szCs w:val="16"/>
          <w:color w:val="auto"/>
        </w:rPr>
      </w:pPr>
    </w:p>
    <w:p>
      <w:pPr>
        <w:jc w:val="both"/>
        <w:ind w:firstLine="590"/>
        <w:spacing w:after="0" w:line="270" w:lineRule="auto"/>
        <w:tabs>
          <w:tab w:leader="none" w:pos="852"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Reliance on Exemptions</w:t>
      </w:r>
      <w:r>
        <w:rPr>
          <w:rFonts w:ascii="Times New Roman" w:cs="Times New Roman" w:eastAsia="Times New Roman" w:hAnsi="Times New Roman"/>
          <w:sz w:val="16"/>
          <w:szCs w:val="16"/>
          <w:color w:val="auto"/>
        </w:rPr>
        <w:t>. Such Holder understands that the Prior Securities are being exchanged for the Exchange Securities in reliance on specific exemptions from the registration requirements of United States federal and state securities laws and that the Company is relying in part upon the truth and accuracy of, and such Holder’s compliance with, the representations, warranties, agreements, acknowledgments and understandings of such Holder set forth herein in order to determine the availability of such exemptions and the eligibility of such Holder to acquire the Exchange Securities.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5" w:name="page86"/>
    <w:bookmarkEnd w:id="85"/>
    <w:p>
      <w:pPr>
        <w:jc w:val="both"/>
        <w:ind w:firstLine="590"/>
        <w:spacing w:after="0" w:line="260" w:lineRule="auto"/>
        <w:tabs>
          <w:tab w:leader="none" w:pos="797"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 Such Holder and its advisors, if any, have been furnished with all materials relating to the business, finances and operations of the Company and materials relating to the exchange of the Prior Securities for the Exchange Securities that have been requested by such Holder. Such Holder and its advisors, if any, have had (i) the opportunity to review the Transaction Documents and the SEC Documents (as defined below) and has been afforded the opportunity to ask such questions of the Company as it has deemed necessary of, and to receive answers from, representatives of the Company concerning the terms and conditions of the exchange of the Prior Securities for the Exchange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due diligence investigations conducted by such Holder or its advisors, if any, or its representatives shall modify, amend or affect such Holder’s right to rely on the Company’s representations and warranties contained herein. Such Holder understands that its investment in the Securities involves a high degree of risk. Such Holder acknowledges that it can bear the economic risk and complete loss of its investment in the Securities and has such knowledge and experience in financial or business matters that it is capable of evaluating the merits and risks of the investment contemplated hereby. Such Holder did not learn of the investment in the Securities as a result of any general solicitation or general advertising. Such Holder has sought such accounting, legal and tax advice as it has considered necessary to make an informed investment decision with respect to its acquisition of the Securities. Such Holder is not relying upon, and has not relied upon, any statement, representation or warranty made by any person, except for statements, representations and warranties contained in this Agreement, in making its decision to invest in the Company.</w:t>
      </w:r>
    </w:p>
    <w:p>
      <w:pPr>
        <w:spacing w:after="0" w:line="364" w:lineRule="exact"/>
        <w:rPr>
          <w:rFonts w:ascii="Times New Roman" w:cs="Times New Roman" w:eastAsia="Times New Roman" w:hAnsi="Times New Roman"/>
          <w:sz w:val="16"/>
          <w:szCs w:val="16"/>
          <w:color w:val="auto"/>
        </w:rPr>
      </w:pPr>
    </w:p>
    <w:p>
      <w:pPr>
        <w:jc w:val="both"/>
        <w:ind w:firstLine="590"/>
        <w:spacing w:after="0" w:line="277" w:lineRule="auto"/>
        <w:tabs>
          <w:tab w:leader="none" w:pos="82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Governmental Review</w:t>
      </w:r>
      <w:r>
        <w:rPr>
          <w:rFonts w:ascii="Times New Roman" w:cs="Times New Roman" w:eastAsia="Times New Roman" w:hAnsi="Times New Roman"/>
          <w:sz w:val="16"/>
          <w:szCs w:val="16"/>
          <w:color w:val="auto"/>
        </w:rPr>
        <w:t>. Such Holder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exchange of the Prior Securities for the Exchange Securities.</w:t>
      </w:r>
    </w:p>
    <w:p>
      <w:pPr>
        <w:spacing w:after="0" w:line="151" w:lineRule="exact"/>
        <w:rPr>
          <w:rFonts w:ascii="Times New Roman" w:cs="Times New Roman" w:eastAsia="Times New Roman" w:hAnsi="Times New Roman"/>
          <w:sz w:val="16"/>
          <w:szCs w:val="16"/>
          <w:color w:val="auto"/>
        </w:rPr>
      </w:pPr>
    </w:p>
    <w:p>
      <w:pPr>
        <w:jc w:val="both"/>
        <w:ind w:firstLine="590"/>
        <w:spacing w:after="0" w:line="260" w:lineRule="auto"/>
        <w:tabs>
          <w:tab w:leader="none" w:pos="82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or Resale</w:t>
      </w:r>
      <w:r>
        <w:rPr>
          <w:rFonts w:ascii="Times New Roman" w:cs="Times New Roman" w:eastAsia="Times New Roman" w:hAnsi="Times New Roman"/>
          <w:sz w:val="16"/>
          <w:szCs w:val="16"/>
          <w:color w:val="auto"/>
        </w:rPr>
        <w:t>. Such Holder understands that: (i) the Securities have not been registered under the 1933 Act or any state securities laws, and may not be offered for sale, sold, assigned or transferred by any Holder or any other holder of such Securities unless (A) subsequently registered thereunder, (B) such Holder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Holder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provided, that, from and after September 23, 2022, at the request of any Holder, the Company shall, if the Company is then in compliance with Section 4(c) hereof, deliver to such Holder or the Company’s transfer agent, as applicable, an opinion of counsel to the Company, at the Company’s expense and in a form reasonably acceptable to such Holder, that (A) adequate public information with respect to the Company is then available (within the meaning of Rule 144(c)) and (B) that a sale of the Securities may otherwise be made in accordance with the terms of Rule 144.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(as defined in Section 3(b)), including, without limitation, this Section 2(h).</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6" w:name="page87"/>
    <w:bookmarkEnd w:id="86"/>
    <w:p>
      <w:pPr>
        <w:jc w:val="both"/>
        <w:ind w:left="1" w:firstLine="590"/>
        <w:spacing w:after="0" w:line="270" w:lineRule="auto"/>
        <w:tabs>
          <w:tab w:leader="none" w:pos="789"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Validity; Enforcement</w:t>
      </w:r>
      <w:r>
        <w:rPr>
          <w:rFonts w:ascii="Times New Roman" w:cs="Times New Roman" w:eastAsia="Times New Roman" w:hAnsi="Times New Roman"/>
          <w:sz w:val="16"/>
          <w:szCs w:val="16"/>
          <w:color w:val="auto"/>
        </w:rPr>
        <w:t>. This Agreement and the Amendments to Security Documents have been duly and validly authorized, executed and delivered on behalf of such Holder and shall constitute the legal, valid and binding obligations of such Holder enforceable against such Holder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57" w:lineRule="exact"/>
        <w:rPr>
          <w:rFonts w:ascii="Times New Roman" w:cs="Times New Roman" w:eastAsia="Times New Roman" w:hAnsi="Times New Roman"/>
          <w:sz w:val="16"/>
          <w:szCs w:val="16"/>
          <w:color w:val="auto"/>
        </w:rPr>
      </w:pPr>
    </w:p>
    <w:p>
      <w:pPr>
        <w:jc w:val="both"/>
        <w:ind w:left="1" w:firstLine="590"/>
        <w:spacing w:after="0" w:line="264" w:lineRule="auto"/>
        <w:tabs>
          <w:tab w:leader="none" w:pos="789"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delivery and performance by such Holder of this Agreement and the Amendments to Security Documents and the consummation by such Holder of the transactions contemplated hereby and thereby will not (i) result in a violation of the organizational documents of such Holder, or (ii) conflict with, or constitute a default (or an event which with notice or lapse of time or both would become a default) under, or give to others any rights of termination, amendment, acceleration or cancellation of, any agreement, indenture or instrument to which such Holder is a party, or (iii) result in a violation of any law, rule, regulation, order, judgment or decree (including federal and state securities laws) applicable to such Holder, except in the case of clauses (ii) and (iii) above, for such conflicts, defaults, rights or violations which could not, individually or in the aggregate, reasonably be expected to have a material adverse effect on the ability of such Holder to perform its obligations hereunder.</w:t>
      </w:r>
    </w:p>
    <w:p>
      <w:pPr>
        <w:spacing w:after="0" w:line="363" w:lineRule="exact"/>
        <w:rPr>
          <w:rFonts w:ascii="Times New Roman" w:cs="Times New Roman" w:eastAsia="Times New Roman" w:hAnsi="Times New Roman"/>
          <w:sz w:val="16"/>
          <w:szCs w:val="16"/>
          <w:color w:val="auto"/>
        </w:rPr>
      </w:pPr>
    </w:p>
    <w:p>
      <w:pPr>
        <w:ind w:left="1" w:firstLine="590"/>
        <w:spacing w:after="0" w:line="296" w:lineRule="auto"/>
        <w:tabs>
          <w:tab w:leader="none" w:pos="838"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acknowledges and agrees that neither the Company nor any Subsidiary of the Company makes or has made any representations or warranties with respect to the Company or its Subsidiaries, or transactions contemplated hereby, other than those specifically set forth in Section 3.</w:t>
      </w:r>
    </w:p>
    <w:p>
      <w:pPr>
        <w:spacing w:after="0" w:line="133"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14" w:lineRule="exact"/>
        <w:rPr>
          <w:rFonts w:ascii="Times New Roman" w:cs="Times New Roman" w:eastAsia="Times New Roman" w:hAnsi="Times New Roman"/>
          <w:sz w:val="16"/>
          <w:szCs w:val="16"/>
          <w:b w:val="1"/>
          <w:bCs w:val="1"/>
          <w:color w:val="auto"/>
        </w:rPr>
      </w:pPr>
    </w:p>
    <w:p>
      <w:pPr>
        <w:ind w:left="601"/>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represents and warrants to each of the Holders that, as of the date hereof and as of the Closing Date:</w:t>
      </w:r>
    </w:p>
    <w:p>
      <w:pPr>
        <w:spacing w:after="0" w:line="210" w:lineRule="exact"/>
        <w:rPr>
          <w:rFonts w:ascii="Times New Roman" w:cs="Times New Roman" w:eastAsia="Times New Roman" w:hAnsi="Times New Roman"/>
          <w:sz w:val="16"/>
          <w:szCs w:val="16"/>
          <w:b w:val="1"/>
          <w:bCs w:val="1"/>
          <w:color w:val="auto"/>
        </w:rPr>
      </w:pPr>
    </w:p>
    <w:p>
      <w:pPr>
        <w:jc w:val="both"/>
        <w:ind w:left="1" w:firstLine="590"/>
        <w:spacing w:after="0" w:line="260" w:lineRule="auto"/>
        <w:tabs>
          <w:tab w:leader="none" w:pos="816"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Qualification</w:t>
      </w:r>
      <w:r>
        <w:rPr>
          <w:rFonts w:ascii="Times New Roman" w:cs="Times New Roman" w:eastAsia="Times New Roman" w:hAnsi="Times New Roman"/>
          <w:sz w:val="16"/>
          <w:szCs w:val="16"/>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 xml:space="preserve">” means any material adverse effect on (i) the business, properties, assets, liabilities, operations (including results thereof) or condition (financial or otherwise) of the Company or its Subsidiaries, taken as a whole, (ii) the transactions contemplated hereby or in any of the other Transaction Documents or any other agreements or instruments entered into in connection herewith or therewith or (iii) the authority or ability of the Company or any of its Subsidiaries to perform any of their respective obligations under any of the Transaction Documents. Other than the Persons (as defined below) set forth on </w:t>
      </w:r>
      <w:r>
        <w:rPr>
          <w:rFonts w:ascii="Times New Roman" w:cs="Times New Roman" w:eastAsia="Times New Roman" w:hAnsi="Times New Roman"/>
          <w:sz w:val="16"/>
          <w:szCs w:val="16"/>
          <w:u w:val="single" w:color="auto"/>
          <w:color w:val="auto"/>
        </w:rPr>
        <w:t>Schedule 3(a)</w:t>
      </w:r>
      <w:r>
        <w:rPr>
          <w:rFonts w:ascii="Times New Roman" w:cs="Times New Roman" w:eastAsia="Times New Roman" w:hAnsi="Times New Roman"/>
          <w:sz w:val="16"/>
          <w:szCs w:val="16"/>
          <w:color w:val="auto"/>
        </w:rPr>
        <w:t>, the Company has no significant Subsidiaries within the meaning of Rule 1-02(w) of Regulation S-X. “</w:t>
      </w:r>
      <w:r>
        <w:rPr>
          <w:rFonts w:ascii="Times New Roman" w:cs="Times New Roman" w:eastAsia="Times New Roman" w:hAnsi="Times New Roman"/>
          <w:sz w:val="16"/>
          <w:szCs w:val="16"/>
          <w:b w:val="1"/>
          <w:bCs w:val="1"/>
          <w:color w:val="auto"/>
        </w:rPr>
        <w:t>Subsidiaries</w:t>
      </w:r>
      <w:r>
        <w:rPr>
          <w:rFonts w:ascii="Times New Roman" w:cs="Times New Roman" w:eastAsia="Times New Roman" w:hAnsi="Times New Roman"/>
          <w:sz w:val="16"/>
          <w:szCs w:val="16"/>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87" w:name="page88"/>
    <w:bookmarkEnd w:id="87"/>
    <w:p>
      <w:pPr>
        <w:jc w:val="both"/>
        <w:ind w:firstLine="590"/>
        <w:spacing w:after="0" w:line="259" w:lineRule="auto"/>
        <w:tabs>
          <w:tab w:leader="none" w:pos="82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 Enforcement; Validity</w:t>
      </w:r>
      <w:r>
        <w:rPr>
          <w:rFonts w:ascii="Times New Roman" w:cs="Times New Roman" w:eastAsia="Times New Roman" w:hAnsi="Times New Roman"/>
          <w:sz w:val="16"/>
          <w:szCs w:val="16"/>
          <w:color w:val="auto"/>
        </w:rPr>
        <w:t>. The Company has the requisite power and authority to enter into and perform its obligations under this Agreement and the other Transaction Documents and to issue the Securities in accordance with the terms hereof and thereof. Each Subsidiary has the requisite power and authority to enter into and perform its obligations under the Transaction Documents to which it is a party. The execution and delivery of this Agreement and the other Transaction Documents by the Company, and the consummation by the Company and its Subsidiaries of the transactions contemplated hereby and thereby (including, without limitation, the issuance of the Exchange Notes and the Exchange Warrants and the reservation for issuance and issuance of the Underlying Shares issuable pursuant to the Exchange Warrants), have been duly authorized by the Company’s board of directors (the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and (other than (i) any filings as may be required by any state securities agencies and (ii) a Listing of Additional Shares Notification with the Principal Market (as defined below) (collectively, the “</w:t>
      </w:r>
      <w:r>
        <w:rPr>
          <w:rFonts w:ascii="Times New Roman" w:cs="Times New Roman" w:eastAsia="Times New Roman" w:hAnsi="Times New Roman"/>
          <w:sz w:val="16"/>
          <w:szCs w:val="16"/>
          <w:b w:val="1"/>
          <w:bCs w:val="1"/>
          <w:color w:val="auto"/>
        </w:rPr>
        <w:t>Required Filings</w:t>
      </w:r>
      <w:r>
        <w:rPr>
          <w:rFonts w:ascii="Times New Roman" w:cs="Times New Roman" w:eastAsia="Times New Roman" w:hAnsi="Times New Roman"/>
          <w:sz w:val="16"/>
          <w:szCs w:val="16"/>
          <w:color w:val="auto"/>
        </w:rPr>
        <w:t>”)) no further filing, consent or authorization is required by the Company, its Subsidiaries, their respective boards of directors or their stockholders or other governing body in connection therewith.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means, collectively, this Agreement, the Exchange Notes, the Exchange Warrants, the Amendments to Security Documents, the Stockholder Agreements, the Irrevocable Transfer Agent Instructions (as defined below) and each of the other written agreements and instruments entered into or delivered by any of the parties hereto in connection with the transactions contemplated hereby and thereby, as may be amended from time to time.</w:t>
      </w:r>
    </w:p>
    <w:p>
      <w:pPr>
        <w:spacing w:after="0" w:line="373" w:lineRule="exact"/>
        <w:rPr>
          <w:rFonts w:ascii="Times New Roman" w:cs="Times New Roman" w:eastAsia="Times New Roman" w:hAnsi="Times New Roman"/>
          <w:sz w:val="16"/>
          <w:szCs w:val="16"/>
          <w:color w:val="auto"/>
        </w:rPr>
      </w:pPr>
    </w:p>
    <w:p>
      <w:pPr>
        <w:jc w:val="both"/>
        <w:ind w:firstLine="590"/>
        <w:spacing w:after="0" w:line="260" w:lineRule="auto"/>
        <w:tabs>
          <w:tab w:leader="none" w:pos="82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Securities</w:t>
      </w:r>
      <w:r>
        <w:rPr>
          <w:rFonts w:ascii="Times New Roman" w:cs="Times New Roman" w:eastAsia="Times New Roman" w:hAnsi="Times New Roman"/>
          <w:sz w:val="16"/>
          <w:szCs w:val="16"/>
          <w:color w:val="auto"/>
        </w:rPr>
        <w:t>. The issuance of the Securities is duly authorized and when issued and delivered in accordance with the terms of the Transaction Documents, the Securities shall be validly issued, fully paid and non-assessable and free from all Liens with respect to the issuance thereof. As of the Closing Date, the Company shall have not less than a number of shares of authorized but unissued Common Stock equal to the sum of (x) 100% of the maximum number of shares of Common Stock as shall be necessary to satisfy the Company’s obligation to issue shares of Common Stock under the Exchange Warrants, reserved for the purposes of issuance pursuant to the Exchange Warrants, plus (y) an additional twenty million (20,000,000) unreserved shares of Common Stock. Upon issuance in accordance with the Exchange Warrants, the Underlying Shares will be validly issued, fully paid and nonassessable and free from all preemptive or similar rights or Liens with respect to the issuance thereof, with the holders being entitled to all rights accorded to a holder of Common Stock. Subject to the accuracy of the representations and warranties of the Holders in this Agreement, the offer and issuance by the Company of the Securities is exempt from registration under the 1933 Act. The Company acknowledges that the holding period for purposes of Rule 144(d)(1) with respect to the Exchange Notes and the shares underlying the Exchange Warrants commenced on March 23, 2022 and, therefore, such holding period will expire September 23, 2022. The Company further acknowledges and agrees that it will neither assert nor maintain a contrary position with respect to the date of commencement of the holding period under Rule 144 with respect to the Exchange Notes and the shares underlying the Exchange Warrants.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8" w:name="page89"/>
    <w:bookmarkEnd w:id="88"/>
    <w:p>
      <w:pPr>
        <w:jc w:val="both"/>
        <w:ind w:firstLine="590"/>
        <w:spacing w:after="0" w:line="260" w:lineRule="auto"/>
        <w:tabs>
          <w:tab w:leader="none" w:pos="84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xml:space="preserve">. The execution, delivery and performance of the Transaction Documents by the Company and the consummation by the Company of the transactions contemplated hereby and thereby (including, without limitation, the issuance of the Exchange Notes, the Exchange Warrants and the Underlying Shares and the reservation for issuance of the Underlying Shares) will not (i) result in a violation of the Articles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 Subsidiaries, (ii)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assuming the accuracy of the representations and warranties in Section 2, result in a violation of any law, rule, regulation, order, judgment or decree (including, without limitation, foreign, federal and state securities laws and regulations and the rules and regulations of the Nasdaq Capital Market (the </w:t>
      </w:r>
      <w:r>
        <w:rPr>
          <w:rFonts w:ascii="Times New Roman" w:cs="Times New Roman" w:eastAsia="Times New Roman" w:hAnsi="Times New Roman"/>
          <w:sz w:val="16"/>
          <w:szCs w:val="16"/>
          <w:b w:val="1"/>
          <w:bCs w:val="1"/>
          <w:color w:val="auto"/>
        </w:rPr>
        <w:t>“Principal Market</w:t>
      </w:r>
      <w:r>
        <w:rPr>
          <w:rFonts w:ascii="Times New Roman" w:cs="Times New Roman" w:eastAsia="Times New Roman" w:hAnsi="Times New Roman"/>
          <w:sz w:val="16"/>
          <w:szCs w:val="16"/>
          <w:color w:val="auto"/>
        </w:rPr>
        <w:t>”) and including all applicable foreign, federal and state laws, rules and regulations) applicable to the Company or any of its Subsidiaries or by which any property or asset of the Company or any of its Subsidiaries is bound or affected, assuming, with respect to clauses (ii) and (iii) above, the making of the Required Filings and except in the case of clauses (ii) and (iii) above, for such breaches, violations or conflicts as would not reasonably be expected, individually or in the aggregate, to have a Material Adverse Effect.</w:t>
      </w:r>
    </w:p>
    <w:p>
      <w:pPr>
        <w:spacing w:after="0" w:line="171" w:lineRule="exact"/>
        <w:rPr>
          <w:rFonts w:ascii="Times New Roman" w:cs="Times New Roman" w:eastAsia="Times New Roman" w:hAnsi="Times New Roman"/>
          <w:sz w:val="16"/>
          <w:szCs w:val="16"/>
          <w:color w:val="auto"/>
        </w:rPr>
      </w:pPr>
    </w:p>
    <w:p>
      <w:pPr>
        <w:jc w:val="both"/>
        <w:ind w:firstLine="590"/>
        <w:spacing w:after="0" w:line="260" w:lineRule="auto"/>
        <w:tabs>
          <w:tab w:leader="none" w:pos="815"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Neither the Company nor any Subsidiary is required to obtain any consent from, authorization or order of, or make any filing or registration with (other than the Required Filings, filings necessary to perfect the Liens granted under the Security Documents, as amended by the Amendments to Security Documents and such consents, authorizations, filings or registrations the absence of which would not, individually or in the aggregate, reasonably be expected to have a Material Adverse Effect), any Governmental Entity or any regulatory or self-regulatory agency or any other Person in order for it to execute, deliver or perform any of its respective obligations under or contemplated by the Transaction Documents, in each case, in accordance with the terms hereof or thereof. To the Company’s knowledge, other than the Required Filings,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Stock. “</w:t>
      </w:r>
      <w:r>
        <w:rPr>
          <w:rFonts w:ascii="Times New Roman" w:cs="Times New Roman" w:eastAsia="Times New Roman" w:hAnsi="Times New Roman"/>
          <w:sz w:val="16"/>
          <w:szCs w:val="16"/>
          <w:b w:val="1"/>
          <w:bCs w:val="1"/>
          <w:color w:val="auto"/>
        </w:rPr>
        <w:t>Governmental Entity</w:t>
      </w:r>
      <w:r>
        <w:rPr>
          <w:rFonts w:ascii="Times New Roman" w:cs="Times New Roman" w:eastAsia="Times New Roman" w:hAnsi="Times New Roman"/>
          <w:sz w:val="16"/>
          <w:szCs w:val="16"/>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9" w:name="page90"/>
    <w:bookmarkEnd w:id="89"/>
    <w:p>
      <w:pPr>
        <w:jc w:val="both"/>
        <w:ind w:firstLine="590"/>
        <w:spacing w:after="0" w:line="262" w:lineRule="auto"/>
        <w:tabs>
          <w:tab w:leader="none" w:pos="797"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 Regarding Each Holder’s Acquisition of Securities</w:t>
      </w:r>
      <w:r>
        <w:rPr>
          <w:rFonts w:ascii="Times New Roman" w:cs="Times New Roman" w:eastAsia="Times New Roman" w:hAnsi="Times New Roman"/>
          <w:sz w:val="16"/>
          <w:szCs w:val="16"/>
          <w:color w:val="auto"/>
        </w:rPr>
        <w:t>. The Company acknowledges and agrees that each Holder is acting solely in the capacity of an arm’s length acquirer with respect to the Transaction Documents and the transactions contemplated hereby and thereby and that no Holder is (i) an officer or director of the Company or any of its Subsidiaries, (ii) an “affiliate” (as defined in Rule 144) of the Company or any of its Subsidiaries or (iii) to its knowledge, a “beneficial owner” of more than 4.99% of the shares of Common Stock (as defined for purposes of Rule 13d-3 of the Securities Exchange Act of 1934, as amended (the “</w:t>
      </w:r>
      <w:r>
        <w:rPr>
          <w:rFonts w:ascii="Times New Roman" w:cs="Times New Roman" w:eastAsia="Times New Roman" w:hAnsi="Times New Roman"/>
          <w:sz w:val="16"/>
          <w:szCs w:val="16"/>
          <w:b w:val="1"/>
          <w:bCs w:val="1"/>
          <w:color w:val="auto"/>
        </w:rPr>
        <w:t>1934 Act</w:t>
      </w:r>
      <w:r>
        <w:rPr>
          <w:rFonts w:ascii="Times New Roman" w:cs="Times New Roman" w:eastAsia="Times New Roman" w:hAnsi="Times New Roman"/>
          <w:sz w:val="16"/>
          <w:szCs w:val="16"/>
          <w:color w:val="auto"/>
        </w:rPr>
        <w:t>”)). The Company further acknowledges that no Holder is acting as a financial advisor or fiduciary of the Company or any of its Subsidiaries (or in any similar capacity) with respect to the Transaction Documents and the transactions contemplated hereby and thereby, and any advice given by a Holder or any of its representatives or agents in connection with the Transaction Documents and the transactions contemplated hereby and thereby is merely incidental to such Holder’s acquisition of the Securities. The Company further represents to each Holder that the Company’s and each Subsidiary’s decision to enter into the Transaction Documents to which it is a party has been based solely on the independent evaluation by the Company, each Subsidiary and their respective representatives.</w:t>
      </w:r>
    </w:p>
    <w:p>
      <w:pPr>
        <w:spacing w:after="0" w:line="164" w:lineRule="exact"/>
        <w:rPr>
          <w:rFonts w:ascii="Times New Roman" w:cs="Times New Roman" w:eastAsia="Times New Roman" w:hAnsi="Times New Roman"/>
          <w:sz w:val="16"/>
          <w:szCs w:val="16"/>
          <w:color w:val="auto"/>
        </w:rPr>
      </w:pPr>
    </w:p>
    <w:p>
      <w:pPr>
        <w:jc w:val="both"/>
        <w:ind w:firstLine="590"/>
        <w:spacing w:after="0" w:line="263" w:lineRule="auto"/>
        <w:tabs>
          <w:tab w:leader="none" w:pos="82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General Solicitation; No Placement Agent</w:t>
      </w:r>
      <w:r>
        <w:rPr>
          <w:rFonts w:ascii="Times New Roman" w:cs="Times New Roman" w:eastAsia="Times New Roman" w:hAnsi="Times New Roman"/>
          <w:sz w:val="16"/>
          <w:szCs w:val="16"/>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Except for A.G.P./Alliance Global Partners, neither the Company nor any of its Subsidiaries has engaged any placement agent in connection with the exchange of the Prior Securities for the Exchange Securities. Neither the Company nor any of its Subsidiaries has paid or given, directly or indirectly any commission or other remuneration for soliciting the exchange of the Prior Securities for the Exchange Securities. The Company shall pay, and hold each Holder harmless against, any liability, loss or expense (including, without limitation, attorney’s fees and reasonable and documented out-of-pocket expenses) arising in connection with any claim for the payment of any placement agent’s fees, financial advisory fees, or brokers’ commissions (other than for Persons engaged by any Holder) relating to or arising out of the transactions contemplated hereby.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0" w:name="page91"/>
    <w:bookmarkEnd w:id="90"/>
    <w:p>
      <w:pPr>
        <w:jc w:val="both"/>
        <w:ind w:firstLine="590"/>
        <w:spacing w:after="0" w:line="263" w:lineRule="auto"/>
        <w:tabs>
          <w:tab w:leader="none" w:pos="824"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Integrated Offering</w:t>
      </w:r>
      <w:r>
        <w:rPr>
          <w:rFonts w:ascii="Times New Roman" w:cs="Times New Roman" w:eastAsia="Times New Roman" w:hAnsi="Times New Roman"/>
          <w:sz w:val="16"/>
          <w:szCs w:val="16"/>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in connection with the offering of the Securities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has taken or will take any action or steps that would require registration of the issuance of any of the Securities under the 1933 Act or cause the offering of any of the Securities to be integrated with other offerings of securities of the Company.</w:t>
      </w:r>
    </w:p>
    <w:p>
      <w:pPr>
        <w:spacing w:after="0" w:line="363" w:lineRule="exact"/>
        <w:rPr>
          <w:rFonts w:ascii="Times New Roman" w:cs="Times New Roman" w:eastAsia="Times New Roman" w:hAnsi="Times New Roman"/>
          <w:sz w:val="16"/>
          <w:szCs w:val="16"/>
          <w:color w:val="auto"/>
        </w:rPr>
      </w:pPr>
    </w:p>
    <w:p>
      <w:pPr>
        <w:jc w:val="both"/>
        <w:ind w:firstLine="590"/>
        <w:spacing w:after="0" w:line="277" w:lineRule="auto"/>
        <w:tabs>
          <w:tab w:leader="none" w:pos="8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Dilutive Effect</w:t>
      </w:r>
      <w:r>
        <w:rPr>
          <w:rFonts w:ascii="Times New Roman" w:cs="Times New Roman" w:eastAsia="Times New Roman" w:hAnsi="Times New Roman"/>
          <w:sz w:val="16"/>
          <w:szCs w:val="16"/>
          <w:color w:val="auto"/>
        </w:rPr>
        <w:t>. The Company understands and acknowledges that the number of Underlying Shares will increase in certain circumstances. The Company further acknowledges that its obligation to issue the Underlying Shares pursuant to the terms of the Exchange Notes and the Exchange Warrants in accordance with this Agreement is absolute and unconditional regardless of the dilutive effect that such issuance may have on the ownership interests of other stockholders of the Company.</w:t>
      </w:r>
    </w:p>
    <w:p>
      <w:pPr>
        <w:spacing w:after="0" w:line="151" w:lineRule="exact"/>
        <w:rPr>
          <w:rFonts w:ascii="Times New Roman" w:cs="Times New Roman" w:eastAsia="Times New Roman" w:hAnsi="Times New Roman"/>
          <w:sz w:val="16"/>
          <w:szCs w:val="16"/>
          <w:color w:val="auto"/>
        </w:rPr>
      </w:pPr>
    </w:p>
    <w:p>
      <w:pPr>
        <w:jc w:val="both"/>
        <w:ind w:firstLine="590"/>
        <w:spacing w:after="0" w:line="267" w:lineRule="auto"/>
        <w:tabs>
          <w:tab w:leader="none" w:pos="78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Takeover Protections</w:t>
      </w:r>
      <w:r>
        <w:rPr>
          <w:rFonts w:ascii="Times New Roman" w:cs="Times New Roman" w:eastAsia="Times New Roman" w:hAnsi="Times New Roman"/>
          <w:sz w:val="16"/>
          <w:szCs w:val="16"/>
          <w:color w:val="auto"/>
        </w:rPr>
        <w:t>. The Company and its Board of Directors have taken or will take prior to the Closing Date all necessary action, if any, in order to render inapplicable any control share acquisition, interested stockholder, business combination, poison pill, stockholder rights plan or other similar anti-takeover provision under the Articles of Incorporation, Bylaws or other organizational documents or the laws of the jurisdiction of its incorporation which is or could become applicable to any Holder as a result of the transactions contemplated by this Agreement, including, without limitation, the Company’s issuance of the Securities and any Holder’s ownership of the Securities.</w:t>
      </w:r>
    </w:p>
    <w:p>
      <w:pPr>
        <w:spacing w:after="0" w:line="159" w:lineRule="exact"/>
        <w:rPr>
          <w:rFonts w:ascii="Times New Roman" w:cs="Times New Roman" w:eastAsia="Times New Roman" w:hAnsi="Times New Roman"/>
          <w:sz w:val="16"/>
          <w:szCs w:val="16"/>
          <w:color w:val="auto"/>
        </w:rPr>
      </w:pPr>
    </w:p>
    <w:p>
      <w:pPr>
        <w:jc w:val="both"/>
        <w:ind w:firstLine="590"/>
        <w:spacing w:after="0" w:line="258" w:lineRule="auto"/>
        <w:tabs>
          <w:tab w:leader="none" w:pos="824"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Except as set forth on Schedule 3(k), during the one (1) year prior to the date hereof and the Closing Date, the Company has timely filed all reports, schedules, forms, proxy statements, statements and other documents required to be filed by it with the SEC (other than Section 16 ownership filings) pursuant to the reporting requirements of the 1934 Act (reports filed in compliance with the time period specified in Rule 12b-25 promulgated under the 1934 Act shall be considered timely for this purpose) (all of the foregoing filed prior to the date hereof and the Closing Date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6"/>
          <w:szCs w:val="16"/>
          <w:b w:val="1"/>
          <w:bCs w:val="1"/>
          <w:color w:val="auto"/>
        </w:rPr>
        <w:t>SEC Documents</w:t>
      </w:r>
      <w:r>
        <w:rPr>
          <w:rFonts w:ascii="Times New Roman" w:cs="Times New Roman" w:eastAsia="Times New Roman" w:hAnsi="Times New Roman"/>
          <w:sz w:val="16"/>
          <w:szCs w:val="16"/>
          <w:color w:val="auto"/>
        </w:rPr>
        <w:t>”). The Company has delivered or has made available to the Holders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of the Holders which is not included in the SEC Documents (including, without limitation, information referred to in Section 2(f)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6"/>
          <w:szCs w:val="16"/>
          <w:b w:val="1"/>
          <w:bCs w:val="1"/>
          <w:color w:val="auto"/>
        </w:rPr>
        <w:t>Financial Statements</w:t>
      </w:r>
      <w:r>
        <w:rPr>
          <w:rFonts w:ascii="Times New Roman" w:cs="Times New Roman" w:eastAsia="Times New Roman" w:hAnsi="Times New Roman"/>
          <w:sz w:val="16"/>
          <w:szCs w:val="16"/>
          <w:color w:val="auto"/>
        </w:rPr>
        <w:t>”), nor is the Company currently aware of facts or circumstances which would require the Company to amend or restate any of the Financial Statements, in each case, in order for any of the Financials Statements to be in material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1" w:name="page92"/>
    <w:bookmarkEnd w:id="91"/>
    <w:p>
      <w:pPr>
        <w:jc w:val="both"/>
        <w:ind w:left="1" w:firstLine="590"/>
        <w:spacing w:after="0" w:line="268" w:lineRule="auto"/>
        <w:tabs>
          <w:tab w:leader="none" w:pos="789"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Certain Changes</w:t>
      </w:r>
      <w:r>
        <w:rPr>
          <w:rFonts w:ascii="Times New Roman" w:cs="Times New Roman" w:eastAsia="Times New Roman" w:hAnsi="Times New Roman"/>
          <w:sz w:val="16"/>
          <w:szCs w:val="16"/>
          <w:color w:val="auto"/>
        </w:rPr>
        <w:t>. Since the date of the Company’s most recent audited financial statements contained in a Form 10-K, there has been no Material Adverse Effect. Since the date of the Company’s most recent audited financial statements contained in a Form 10-K, neither the Company nor any of its Subsidiaries has</w:t>
      </w:r>
    </w:p>
    <w:p>
      <w:pPr>
        <w:jc w:val="both"/>
        <w:ind w:left="1" w:hanging="1"/>
        <w:spacing w:after="0" w:line="265" w:lineRule="auto"/>
        <w:tabs>
          <w:tab w:leader="none" w:pos="212"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or paid any dividends, (ii) sold any assets, individually or in the aggregate, outside of the ordinary course of business, (iii) made any capital expenditures, individually or in the aggregate, outside of the ordinary course of business or (iv) made any revaluation of any of their respective assets, including, without limitation, writing down the value of capitalized inventory or writing off notes or accounts receivable or any sale of assets other than in the ordinary course of business.</w:t>
      </w:r>
    </w:p>
    <w:p>
      <w:pPr>
        <w:spacing w:after="0" w:line="162" w:lineRule="exact"/>
        <w:rPr>
          <w:rFonts w:ascii="Times New Roman" w:cs="Times New Roman" w:eastAsia="Times New Roman" w:hAnsi="Times New Roman"/>
          <w:sz w:val="16"/>
          <w:szCs w:val="16"/>
          <w:color w:val="auto"/>
        </w:rPr>
      </w:pPr>
    </w:p>
    <w:p>
      <w:pPr>
        <w:jc w:val="both"/>
        <w:ind w:left="1" w:firstLine="590"/>
        <w:spacing w:after="0" w:line="260" w:lineRule="auto"/>
        <w:tabs>
          <w:tab w:leader="none" w:pos="883"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Insolvency</w:t>
      </w:r>
      <w:r>
        <w:rPr>
          <w:rFonts w:ascii="Times New Roman" w:cs="Times New Roman" w:eastAsia="Times New Roman" w:hAnsi="Times New Roman"/>
          <w:sz w:val="16"/>
          <w:szCs w:val="16"/>
          <w:color w:val="auto"/>
        </w:rPr>
        <w: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and as of the Closing Date, and after giving effect to the transactions contemplated hereby to occur on the Closing Date, will not be Insolvent (as defined below). For purposes of this Section 3(m), “</w:t>
      </w:r>
      <w:r>
        <w:rPr>
          <w:rFonts w:ascii="Times New Roman" w:cs="Times New Roman" w:eastAsia="Times New Roman" w:hAnsi="Times New Roman"/>
          <w:sz w:val="16"/>
          <w:szCs w:val="16"/>
          <w:b w:val="1"/>
          <w:bCs w:val="1"/>
          <w:color w:val="auto"/>
        </w:rPr>
        <w:t>Insolvent</w:t>
      </w:r>
      <w:r>
        <w:rPr>
          <w:rFonts w:ascii="Times New Roman" w:cs="Times New Roman" w:eastAsia="Times New Roman" w:hAnsi="Times New Roman"/>
          <w:sz w:val="16"/>
          <w:szCs w:val="16"/>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below),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92" w:name="page93"/>
    <w:bookmarkEnd w:id="92"/>
    <w:p>
      <w:pPr>
        <w:jc w:val="both"/>
        <w:ind w:firstLine="590"/>
        <w:spacing w:after="0" w:line="266" w:lineRule="auto"/>
        <w:tabs>
          <w:tab w:leader="none" w:pos="83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Permits</w:t>
      </w:r>
      <w:r>
        <w:rPr>
          <w:rFonts w:ascii="Times New Roman" w:cs="Times New Roman" w:eastAsia="Times New Roman" w:hAnsi="Times New Roman"/>
          <w:sz w:val="16"/>
          <w:szCs w:val="16"/>
          <w:color w:val="auto"/>
        </w:rPr>
        <w:t>. During the one year prior to the date hereof and prior to the Closing Date,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material certificates, authorizations and permits issued by the appropriate regulatory authorities necessary to conduct their respective businesses and neither the Company nor any such Subsidiary has received any notice of proceedings relating to the revocation or modification of any such certificate, authorization or permit.</w:t>
      </w:r>
    </w:p>
    <w:p>
      <w:pPr>
        <w:spacing w:after="0" w:line="360" w:lineRule="exact"/>
        <w:rPr>
          <w:rFonts w:ascii="Times New Roman" w:cs="Times New Roman" w:eastAsia="Times New Roman" w:hAnsi="Times New Roman"/>
          <w:sz w:val="16"/>
          <w:szCs w:val="16"/>
          <w:color w:val="auto"/>
        </w:rPr>
      </w:pPr>
    </w:p>
    <w:p>
      <w:pPr>
        <w:jc w:val="both"/>
        <w:ind w:firstLine="590"/>
        <w:spacing w:after="0" w:line="263" w:lineRule="auto"/>
        <w:tabs>
          <w:tab w:leader="none" w:pos="83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Corrupt Practices</w:t>
      </w:r>
      <w:r>
        <w:rPr>
          <w:rFonts w:ascii="Times New Roman" w:cs="Times New Roman" w:eastAsia="Times New Roman" w:hAnsi="Times New Roman"/>
          <w:sz w:val="16"/>
          <w:szCs w:val="16"/>
          <w:color w:val="auto"/>
        </w:rPr>
        <w:t>. Neither the Company, any of the Company’s Subsidiaries, nor any director, officer, employee thereof, nor, to the Company’s knowledge, any agent or any other person acting for or on behalf of the foregoing (individually and collectively, a “</w:t>
      </w:r>
      <w:r>
        <w:rPr>
          <w:rFonts w:ascii="Times New Roman" w:cs="Times New Roman" w:eastAsia="Times New Roman" w:hAnsi="Times New Roman"/>
          <w:sz w:val="16"/>
          <w:szCs w:val="16"/>
          <w:b w:val="1"/>
          <w:bCs w:val="1"/>
          <w:color w:val="auto"/>
        </w:rPr>
        <w:t>Company Affiliate</w:t>
      </w:r>
      <w:r>
        <w:rPr>
          <w:rFonts w:ascii="Times New Roman" w:cs="Times New Roman" w:eastAsia="Times New Roman" w:hAnsi="Times New Roman"/>
          <w:sz w:val="16"/>
          <w:szCs w:val="16"/>
          <w:color w:val="auto"/>
        </w:rPr>
        <w:t>”) have violated the U.S. Foreign Corrupt Practices Act or any other applicable anti-bribery or anti-corruption laws (individually and collectively, “</w:t>
      </w:r>
      <w:r>
        <w:rPr>
          <w:rFonts w:ascii="Times New Roman" w:cs="Times New Roman" w:eastAsia="Times New Roman" w:hAnsi="Times New Roman"/>
          <w:sz w:val="16"/>
          <w:szCs w:val="16"/>
          <w:b w:val="1"/>
          <w:bCs w:val="1"/>
          <w:color w:val="auto"/>
        </w:rPr>
        <w:t>Anti-Corruption Laws</w:t>
      </w:r>
      <w:r>
        <w:rPr>
          <w:rFonts w:ascii="Times New Roman" w:cs="Times New Roman" w:eastAsia="Times New Roman" w:hAnsi="Times New Roman"/>
          <w:sz w:val="16"/>
          <w:szCs w:val="16"/>
          <w:color w:val="auto"/>
        </w:rPr>
        <w:t>”), nor, to the Company’s knowledge,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6"/>
          <w:szCs w:val="16"/>
          <w:b w:val="1"/>
          <w:bCs w:val="1"/>
          <w:color w:val="auto"/>
        </w:rPr>
        <w:t>Government Official</w:t>
      </w:r>
      <w:r>
        <w:rPr>
          <w:rFonts w:ascii="Times New Roman" w:cs="Times New Roman" w:eastAsia="Times New Roman" w:hAnsi="Times New Roman"/>
          <w:sz w:val="16"/>
          <w:szCs w:val="16"/>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363" w:lineRule="exact"/>
        <w:rPr>
          <w:rFonts w:ascii="Times New Roman" w:cs="Times New Roman" w:eastAsia="Times New Roman" w:hAnsi="Times New Roman"/>
          <w:sz w:val="16"/>
          <w:szCs w:val="16"/>
          <w:color w:val="auto"/>
        </w:rPr>
      </w:pPr>
    </w:p>
    <w:p>
      <w:pPr>
        <w:jc w:val="both"/>
        <w:ind w:left="600" w:firstLine="582"/>
        <w:spacing w:after="0" w:line="277" w:lineRule="auto"/>
        <w:tabs>
          <w:tab w:leader="none" w:pos="1388"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3" w:name="page94"/>
    <w:bookmarkEnd w:id="93"/>
    <w:p>
      <w:pPr>
        <w:ind w:left="1180"/>
        <w:spacing w:after="0"/>
        <w:rPr>
          <w:sz w:val="20"/>
          <w:szCs w:val="20"/>
          <w:color w:val="auto"/>
        </w:rPr>
      </w:pPr>
      <w:r>
        <w:rPr>
          <w:rFonts w:ascii="Times New Roman" w:cs="Times New Roman" w:eastAsia="Times New Roman" w:hAnsi="Times New Roman"/>
          <w:sz w:val="16"/>
          <w:szCs w:val="16"/>
          <w:color w:val="auto"/>
        </w:rPr>
        <w:t>(ii) assisting the Company or its Subsidiaries in obtaining or retaining business for or with, or directing business to, the Company or its Subsidiaries.</w:t>
      </w:r>
    </w:p>
    <w:p>
      <w:pPr>
        <w:spacing w:after="0" w:line="21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6"/>
          <w:szCs w:val="16"/>
          <w:color w:val="auto"/>
        </w:rPr>
        <w:t>Neither of the Company nor any of its Subsidiaries will use, directly or indirectly, any part of the proceeds of the offering in any manner that would constitute a violation of Anti-Corruption Laws.</w:t>
      </w:r>
    </w:p>
    <w:p>
      <w:pPr>
        <w:spacing w:after="0" w:line="138" w:lineRule="exact"/>
        <w:rPr>
          <w:sz w:val="20"/>
          <w:szCs w:val="20"/>
          <w:color w:val="auto"/>
        </w:rPr>
      </w:pPr>
    </w:p>
    <w:p>
      <w:pPr>
        <w:ind w:firstLine="590"/>
        <w:spacing w:after="0" w:line="296" w:lineRule="auto"/>
        <w:tabs>
          <w:tab w:leader="none" w:pos="82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The Company and each of its Subsidiaries is in material compliance with any and all applicable requirements of the Sarbanes-Oxley Act of 2002, as amended, and any and all applicable rules and regulations promulgated by the SEC thereunder.</w:t>
      </w:r>
    </w:p>
    <w:p>
      <w:pPr>
        <w:spacing w:after="0" w:line="137" w:lineRule="exact"/>
        <w:rPr>
          <w:rFonts w:ascii="Times New Roman" w:cs="Times New Roman" w:eastAsia="Times New Roman" w:hAnsi="Times New Roman"/>
          <w:sz w:val="16"/>
          <w:szCs w:val="16"/>
          <w:color w:val="auto"/>
        </w:rPr>
      </w:pPr>
    </w:p>
    <w:p>
      <w:pPr>
        <w:jc w:val="both"/>
        <w:ind w:firstLine="590"/>
        <w:spacing w:after="0" w:line="260" w:lineRule="auto"/>
        <w:tabs>
          <w:tab w:leader="none" w:pos="82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Transactions With Affiliates</w:t>
      </w:r>
      <w:r>
        <w:rPr>
          <w:rFonts w:ascii="Times New Roman" w:cs="Times New Roman" w:eastAsia="Times New Roman" w:hAnsi="Times New Roman"/>
          <w:sz w:val="16"/>
          <w:szCs w:val="16"/>
          <w:color w:val="auto"/>
        </w:rPr>
        <w:t>. Except as set forth on Schedule 3(q), no current or former employee, partner, director, officer or shareholder (direct or indirect) of the Company or its Subsidiaries, or any associate, or, to the knowledge of the Company, any affiliate of any thereof, or any immediate family member of any of the foregoing, is presently, or during the one-year period prior to the date with respect to which this representation is being made, was, (i) a party to any transaction with the Company or its Subsidiaries (including any contract, agreement or other arrangement providing for the furnishing of services by, or rental of real or personal property from, or otherwise requiring payments to, any such director, officer or shareholder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or ordinary shares, as applicable, of a company whose securities are traded on or quoted through an Eligible Market (as defined below)), nor does any such Person receive income from any source other than the Company or its Subsidiaries which relates to the business of the Company or its Subsidiaries or should properly accrue to the Company or its Subsidiaries. Except as set forth on Schedule 3(q), no employee, officer, shareholder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or its Subsidiaries, as the case may be, and (iii) for other standard employee benefits made generally available to all employees or executives (including share option agreements outstanding under any share option plan approved by the Board of Directors of the Company).</w:t>
      </w:r>
    </w:p>
    <w:p>
      <w:pPr>
        <w:spacing w:after="0" w:line="364" w:lineRule="exact"/>
        <w:rPr>
          <w:rFonts w:ascii="Times New Roman" w:cs="Times New Roman" w:eastAsia="Times New Roman" w:hAnsi="Times New Roman"/>
          <w:sz w:val="16"/>
          <w:szCs w:val="16"/>
          <w:color w:val="auto"/>
        </w:rPr>
      </w:pPr>
    </w:p>
    <w:p>
      <w:pPr>
        <w:ind w:left="800" w:hanging="210"/>
        <w:spacing w:after="0"/>
        <w:tabs>
          <w:tab w:leader="none" w:pos="8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Equity Capitalization</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jc w:val="both"/>
        <w:ind w:left="600" w:firstLine="582"/>
        <w:spacing w:after="0" w:line="262" w:lineRule="auto"/>
        <w:tabs>
          <w:tab w:leader="none" w:pos="140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Authorized and Outstanding Capital Stock</w:t>
      </w:r>
      <w:r>
        <w:rPr>
          <w:rFonts w:ascii="Times New Roman" w:cs="Times New Roman" w:eastAsia="Times New Roman" w:hAnsi="Times New Roman"/>
          <w:sz w:val="16"/>
          <w:szCs w:val="16"/>
          <w:color w:val="auto"/>
        </w:rPr>
        <w:t>. As of the date of this Agreement and as of the Closing, the authorized capital stock of the Company consists of (A) 100,000,000 shares of Common Stock, of which, 26,591,438 are issued and outstanding and 15,742,606 shares are reserved for issuance pursuant to Convertible Securities (as defined below) (other than the Exchange Notes and the Exchange Warrants) exercisable or exchangeable for, or convertible into, shares of Common Stock and (B) 3,000,000 shares of Preferred Stock, of which no shares are issued and outstanding, 105,000 shares of the Preferred Stock are designated Series A Convertible Preferred Stock. No shares of Common Stock are held in the treasury of the Company. “</w:t>
      </w:r>
      <w:r>
        <w:rPr>
          <w:rFonts w:ascii="Times New Roman" w:cs="Times New Roman" w:eastAsia="Times New Roman" w:hAnsi="Times New Roman"/>
          <w:sz w:val="16"/>
          <w:szCs w:val="16"/>
          <w:b w:val="1"/>
          <w:bCs w:val="1"/>
          <w:color w:val="auto"/>
        </w:rPr>
        <w:t>Convertible Securities</w:t>
      </w:r>
      <w:r>
        <w:rPr>
          <w:rFonts w:ascii="Times New Roman" w:cs="Times New Roman" w:eastAsia="Times New Roman" w:hAnsi="Times New Roman"/>
          <w:sz w:val="16"/>
          <w:szCs w:val="16"/>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and any rights, warrants or options to subscribe for or purchase shares of Common Stock or Convertible Securities (collectively, “</w:t>
      </w:r>
      <w:r>
        <w:rPr>
          <w:rFonts w:ascii="Times New Roman" w:cs="Times New Roman" w:eastAsia="Times New Roman" w:hAnsi="Times New Roman"/>
          <w:sz w:val="16"/>
          <w:szCs w:val="16"/>
          <w:b w:val="1"/>
          <w:bCs w:val="1"/>
          <w:color w:val="auto"/>
        </w:rPr>
        <w:t>Options</w:t>
      </w:r>
      <w:r>
        <w:rPr>
          <w:rFonts w:ascii="Times New Roman" w:cs="Times New Roman" w:eastAsia="Times New Roman" w:hAnsi="Times New Roman"/>
          <w:sz w:val="16"/>
          <w:szCs w:val="16"/>
          <w:color w:val="auto"/>
        </w:rPr>
        <w:t>”)) or any of its Subsidiaries.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4" w:name="page95"/>
    <w:bookmarkEnd w:id="94"/>
    <w:p>
      <w:pPr>
        <w:jc w:val="both"/>
        <w:ind w:left="-520" w:firstLine="582"/>
        <w:spacing w:after="0" w:line="262" w:lineRule="auto"/>
        <w:tabs>
          <w:tab w:leader="none" w:pos="31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Valid Issuance; Available Shares; Affiliates</w:t>
      </w:r>
      <w:r>
        <w:rPr>
          <w:rFonts w:ascii="Times New Roman" w:cs="Times New Roman" w:eastAsia="Times New Roman" w:hAnsi="Times New Roman"/>
          <w:sz w:val="16"/>
          <w:szCs w:val="16"/>
          <w:color w:val="auto"/>
        </w:rPr>
        <w:t xml:space="preserve">. All of the Company’s outstanding shares are duly authorized and have been validly issued and are fully paid and nonassessable. </w:t>
      </w:r>
      <w:r>
        <w:rPr>
          <w:rFonts w:ascii="Times New Roman" w:cs="Times New Roman" w:eastAsia="Times New Roman" w:hAnsi="Times New Roman"/>
          <w:sz w:val="16"/>
          <w:szCs w:val="16"/>
          <w:u w:val="single" w:color="auto"/>
          <w:color w:val="auto"/>
        </w:rPr>
        <w:t>Schedule 3(r)(ii)</w:t>
      </w:r>
      <w:r>
        <w:rPr>
          <w:rFonts w:ascii="Times New Roman" w:cs="Times New Roman" w:eastAsia="Times New Roman" w:hAnsi="Times New Roman"/>
          <w:sz w:val="16"/>
          <w:szCs w:val="16"/>
          <w:color w:val="auto"/>
        </w:rPr>
        <w:t xml:space="preserve"> sets forth the number of shares of Common Stock that are (A) reserved for issuance pursuant to Convertible Securities (other than the Exchange Warrants and the Exchange Notes) as of the date hereof and as of the Closing and (B) as of the date hereof and as of the Closing,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as of the date hereof and the Closing Date no Person owns 10% or more of the Company’s issued and outstanding shares of Common Stock (calculated based on the assumption that all Convertible Securities,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64" w:lineRule="exact"/>
        <w:rPr>
          <w:rFonts w:ascii="Times New Roman" w:cs="Times New Roman" w:eastAsia="Times New Roman" w:hAnsi="Times New Roman"/>
          <w:sz w:val="16"/>
          <w:szCs w:val="16"/>
          <w:color w:val="auto"/>
        </w:rPr>
      </w:pPr>
    </w:p>
    <w:p>
      <w:pPr>
        <w:jc w:val="both"/>
        <w:ind w:left="-520" w:firstLine="582"/>
        <w:spacing w:after="0" w:line="260" w:lineRule="auto"/>
        <w:tabs>
          <w:tab w:leader="none" w:pos="35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Securities; Obligations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3(r)(iii)</w:t>
      </w:r>
      <w:r>
        <w:rPr>
          <w:rFonts w:ascii="Times New Roman" w:cs="Times New Roman" w:eastAsia="Times New Roman" w:hAnsi="Times New Roman"/>
          <w:sz w:val="16"/>
          <w:szCs w:val="16"/>
          <w:color w:val="auto"/>
        </w:rPr>
        <w:t>: (A) none of the Company’s or any Subsidiary’s shares, interests or capital stock is subject to preemptive rights or any other similar rights or Liens suffered or permitted by the Company or any Subsidiary; (B) other than stock options and restricted stock awarded to employees, directors and consultants of the Company under equity incentive plans adopted by the Board of Directors of the Company and described in the SEC Documents,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36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95" w:name="page96"/>
    <w:bookmarkEnd w:id="95"/>
    <w:p>
      <w:pPr>
        <w:jc w:val="both"/>
        <w:ind w:left="601" w:firstLine="582"/>
        <w:spacing w:after="0" w:line="277" w:lineRule="auto"/>
        <w:tabs>
          <w:tab w:leader="none" w:pos="1520" w:val="left"/>
        </w:tabs>
        <w:numPr>
          <w:ilvl w:val="2"/>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Organizational Documents</w:t>
      </w:r>
      <w:r>
        <w:rPr>
          <w:rFonts w:ascii="Times New Roman" w:cs="Times New Roman" w:eastAsia="Times New Roman" w:hAnsi="Times New Roman"/>
          <w:sz w:val="16"/>
          <w:szCs w:val="16"/>
          <w:color w:val="auto"/>
        </w:rPr>
        <w:t>. The Company has furnished to the Holders true, correct and complete copies of the Company’s Articles of Incorporation, as amended and as in effect on the date hereof (the “</w:t>
      </w:r>
      <w:r>
        <w:rPr>
          <w:rFonts w:ascii="Times New Roman" w:cs="Times New Roman" w:eastAsia="Times New Roman" w:hAnsi="Times New Roman"/>
          <w:sz w:val="16"/>
          <w:szCs w:val="16"/>
          <w:b w:val="1"/>
          <w:bCs w:val="1"/>
          <w:color w:val="auto"/>
        </w:rPr>
        <w:t>Articles of Incorporation</w:t>
      </w:r>
      <w:r>
        <w:rPr>
          <w:rFonts w:ascii="Times New Roman" w:cs="Times New Roman" w:eastAsia="Times New Roman" w:hAnsi="Times New Roman"/>
          <w:sz w:val="16"/>
          <w:szCs w:val="16"/>
          <w:color w:val="auto"/>
        </w:rPr>
        <w:t>”) and the Company’s bylaws, as amended and as in effect on the date hereof and the Closing Date (the “</w:t>
      </w:r>
      <w:r>
        <w:rPr>
          <w:rFonts w:ascii="Times New Roman" w:cs="Times New Roman" w:eastAsia="Times New Roman" w:hAnsi="Times New Roman"/>
          <w:sz w:val="16"/>
          <w:szCs w:val="16"/>
          <w:b w:val="1"/>
          <w:bCs w:val="1"/>
          <w:color w:val="auto"/>
        </w:rPr>
        <w:t>Bylaws</w:t>
      </w:r>
      <w:r>
        <w:rPr>
          <w:rFonts w:ascii="Times New Roman" w:cs="Times New Roman" w:eastAsia="Times New Roman" w:hAnsi="Times New Roman"/>
          <w:sz w:val="16"/>
          <w:szCs w:val="16"/>
          <w:color w:val="auto"/>
        </w:rPr>
        <w:t>”), and the terms of all Convertible Securities and the material rights of the holders thereof in respect thereto.</w:t>
      </w:r>
    </w:p>
    <w:p>
      <w:pPr>
        <w:spacing w:after="0" w:line="151" w:lineRule="exact"/>
        <w:rPr>
          <w:rFonts w:ascii="Times New Roman" w:cs="Times New Roman" w:eastAsia="Times New Roman" w:hAnsi="Times New Roman"/>
          <w:sz w:val="16"/>
          <w:szCs w:val="16"/>
          <w:color w:val="auto"/>
        </w:rPr>
      </w:pPr>
    </w:p>
    <w:p>
      <w:pPr>
        <w:jc w:val="both"/>
        <w:ind w:left="1" w:firstLine="590"/>
        <w:spacing w:after="0" w:line="261" w:lineRule="auto"/>
        <w:tabs>
          <w:tab w:leader="none" w:pos="832"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Indebtedness and Other Contracts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3(s)</w:t>
      </w:r>
      <w:r>
        <w:rPr>
          <w:rFonts w:ascii="Times New Roman" w:cs="Times New Roman" w:eastAsia="Times New Roman" w:hAnsi="Times New Roman"/>
          <w:sz w:val="16"/>
          <w:szCs w:val="16"/>
          <w:color w:val="auto"/>
        </w:rPr>
        <w:t>,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(ii) has any financing statements securing obligations in any amounts filed against the Company or any of its Subsidiaries or with respect to any of their respective assets; (iii) is in violation of any term of, or in default under, any contract, agreement or instrument relating to any Indebtedness, except where such violations and defaults would not result, individually or in the aggregate, in a Material Adverse Effect, or</w:t>
      </w:r>
    </w:p>
    <w:p>
      <w:pPr>
        <w:spacing w:after="0" w:line="2" w:lineRule="exact"/>
        <w:rPr>
          <w:rFonts w:ascii="Times New Roman" w:cs="Times New Roman" w:eastAsia="Times New Roman" w:hAnsi="Times New Roman"/>
          <w:sz w:val="16"/>
          <w:szCs w:val="16"/>
          <w:color w:val="auto"/>
        </w:rPr>
      </w:pPr>
    </w:p>
    <w:p>
      <w:pPr>
        <w:jc w:val="both"/>
        <w:ind w:left="1" w:hanging="1"/>
        <w:spacing w:after="0" w:line="257" w:lineRule="auto"/>
        <w:tabs>
          <w:tab w:leader="none" w:pos="29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consistent with past practices and which, individually or in the aggregate, do not or could not have a Material Adverse Effect. For purposes of this Agreement:</w:t>
      </w:r>
    </w:p>
    <w:p>
      <w:pPr>
        <w:jc w:val="both"/>
        <w:ind w:left="1" w:hanging="1"/>
        <w:spacing w:after="0" w:line="257" w:lineRule="auto"/>
        <w:tabs>
          <w:tab w:leader="none" w:pos="23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w:t>
      </w:r>
    </w:p>
    <w:p>
      <w:pPr>
        <w:jc w:val="both"/>
        <w:ind w:left="1"/>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and</w:t>
      </w:r>
    </w:p>
    <w:p>
      <w:pPr>
        <w:spacing w:after="0" w:line="1" w:lineRule="exact"/>
        <w:rPr>
          <w:rFonts w:ascii="Times New Roman" w:cs="Times New Roman" w:eastAsia="Times New Roman" w:hAnsi="Times New Roman"/>
          <w:sz w:val="16"/>
          <w:szCs w:val="16"/>
          <w:color w:val="auto"/>
        </w:rPr>
      </w:pPr>
    </w:p>
    <w:p>
      <w:pPr>
        <w:jc w:val="both"/>
        <w:ind w:left="1"/>
        <w:spacing w:after="0" w:line="26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 “</w:t>
      </w:r>
      <w:r>
        <w:rPr>
          <w:rFonts w:ascii="Times New Roman" w:cs="Times New Roman" w:eastAsia="Times New Roman" w:hAnsi="Times New Roman"/>
          <w:sz w:val="16"/>
          <w:szCs w:val="16"/>
          <w:b w:val="1"/>
          <w:bCs w:val="1"/>
          <w:color w:val="auto"/>
        </w:rPr>
        <w:t>Contingent Obligation</w:t>
      </w:r>
      <w:r>
        <w:rPr>
          <w:rFonts w:ascii="Times New Roman" w:cs="Times New Roman" w:eastAsia="Times New Roman" w:hAnsi="Times New Roman"/>
          <w:sz w:val="16"/>
          <w:szCs w:val="16"/>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96" w:name="page97"/>
    <w:bookmarkEnd w:id="96"/>
    <w:p>
      <w:pPr>
        <w:jc w:val="both"/>
        <w:ind w:firstLine="590"/>
        <w:spacing w:after="0" w:line="261" w:lineRule="auto"/>
        <w:tabs>
          <w:tab w:leader="none" w:pos="78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xml:space="preserve">. There is no material action, suit, arbitration, proceeding, or, to the knowledge of the Company,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in </w:t>
      </w:r>
      <w:r>
        <w:rPr>
          <w:rFonts w:ascii="Times New Roman" w:cs="Times New Roman" w:eastAsia="Times New Roman" w:hAnsi="Times New Roman"/>
          <w:sz w:val="16"/>
          <w:szCs w:val="16"/>
          <w:u w:val="single" w:color="auto"/>
          <w:color w:val="auto"/>
        </w:rPr>
        <w:t>Schedule 3(t)</w:t>
      </w:r>
      <w:r>
        <w:rPr>
          <w:rFonts w:ascii="Times New Roman" w:cs="Times New Roman" w:eastAsia="Times New Roman" w:hAnsi="Times New Roman"/>
          <w:sz w:val="16"/>
          <w:szCs w:val="16"/>
          <w:color w:val="auto"/>
        </w:rPr>
        <w:t>. To the knowledge of the Company,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contemplated or anticipated, any inquiry or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After reasonable inquiry of its officers (as defined in Rule 16a-1(f) promulgated under the 1934 Act) and members of its Board of Directors, the Company is not aware of any fact which might result in or form the basis for any such action, suit, arbitration, investigation, inquiry or other proceeding. Neither the Company nor any of its Subsidiaries is subject to any order, writ, judgment, injunction, decree, determination or award of any Governmental Entity.</w:t>
      </w:r>
    </w:p>
    <w:p>
      <w:pPr>
        <w:spacing w:after="0" w:line="165" w:lineRule="exact"/>
        <w:rPr>
          <w:rFonts w:ascii="Times New Roman" w:cs="Times New Roman" w:eastAsia="Times New Roman" w:hAnsi="Times New Roman"/>
          <w:sz w:val="16"/>
          <w:szCs w:val="16"/>
          <w:color w:val="auto"/>
        </w:rPr>
      </w:pPr>
    </w:p>
    <w:p>
      <w:pPr>
        <w:jc w:val="both"/>
        <w:ind w:firstLine="590"/>
        <w:spacing w:after="0" w:line="267" w:lineRule="auto"/>
        <w:tabs>
          <w:tab w:leader="none" w:pos="82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of its Subsidiaries has been refused any insurance coverage sought or applied for, and neither the Company nor any of its Subsidiaries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59" w:lineRule="exact"/>
        <w:rPr>
          <w:rFonts w:ascii="Times New Roman" w:cs="Times New Roman" w:eastAsia="Times New Roman" w:hAnsi="Times New Roman"/>
          <w:sz w:val="16"/>
          <w:szCs w:val="16"/>
          <w:color w:val="auto"/>
        </w:rPr>
      </w:pPr>
    </w:p>
    <w:p>
      <w:pPr>
        <w:jc w:val="both"/>
        <w:ind w:firstLine="590"/>
        <w:spacing w:after="0" w:line="261" w:lineRule="auto"/>
        <w:tabs>
          <w:tab w:leader="none" w:pos="82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Employee Relations</w:t>
      </w:r>
      <w:r>
        <w:rPr>
          <w:rFonts w:ascii="Times New Roman" w:cs="Times New Roman" w:eastAsia="Times New Roman" w:hAnsi="Times New Roman"/>
          <w:sz w:val="16"/>
          <w:szCs w:val="16"/>
          <w:color w:val="auto"/>
        </w:rPr>
        <w:t>. Neither the Company nor any of its Subsidiaries is a party to any collective bargaining agreement or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To the knowledge of the Company,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material compliance with all applicable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7" w:name="page98"/>
    <w:bookmarkEnd w:id="97"/>
    <w:p>
      <w:pPr>
        <w:jc w:val="both"/>
        <w:ind w:firstLine="590"/>
        <w:spacing w:after="0" w:line="263" w:lineRule="auto"/>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w:t>
      </w:r>
      <w:r>
        <w:rPr>
          <w:rFonts w:ascii="Times New Roman" w:cs="Times New Roman" w:eastAsia="Times New Roman" w:hAnsi="Times New Roman"/>
          <w:sz w:val="16"/>
          <w:szCs w:val="16"/>
          <w:color w:val="auto"/>
        </w:rPr>
        <w:t>. Each of the Company and its Subsidiaries holds good title to, or a valid leasehold interests in, all real property, leases in real property, facilities or other interests in real property owned or held by the Company or any of its Subsidiaries that is material to the business of the Company (the “</w:t>
      </w:r>
      <w:r>
        <w:rPr>
          <w:rFonts w:ascii="Times New Roman" w:cs="Times New Roman" w:eastAsia="Times New Roman" w:hAnsi="Times New Roman"/>
          <w:sz w:val="16"/>
          <w:szCs w:val="16"/>
          <w:b w:val="1"/>
          <w:bCs w:val="1"/>
          <w:color w:val="auto"/>
        </w:rPr>
        <w:t>Real Property</w:t>
      </w:r>
      <w:r>
        <w:rPr>
          <w:rFonts w:ascii="Times New Roman" w:cs="Times New Roman" w:eastAsia="Times New Roman" w:hAnsi="Times New Roman"/>
          <w:sz w:val="16"/>
          <w:szCs w:val="16"/>
          <w:color w:val="auto"/>
        </w:rPr>
        <w:t>”). The Real Property is free and clear of all Liens and is not subject to any rights of way, building use restrictions, exceptions, variances, reservations, or limitations of any nature except for (a) Liens for current taxes not yet due, (b) zoning laws and other land use restrictions that do not impair the present or anticipated use of the property subject thereto,(c) those that are not likely, individually or in the aggregate, to result in a Material Adverse Effect, and (d) other Permitted Liens (as defined in the Senior Convertible Notes). Any Real Property held under lease by the Company or any of its Subsidiaries are held by them under valid, subsisting and enforceable leases with such exceptions as are not material and do not interfere in any material respect with the use made and proposed to be made of such property and buildings by the Company or any of its Subsidiaries.</w:t>
      </w:r>
    </w:p>
    <w:p>
      <w:pPr>
        <w:spacing w:after="0" w:line="363" w:lineRule="exact"/>
        <w:rPr>
          <w:rFonts w:ascii="Times New Roman" w:cs="Times New Roman" w:eastAsia="Times New Roman" w:hAnsi="Times New Roman"/>
          <w:sz w:val="16"/>
          <w:szCs w:val="16"/>
          <w:color w:val="auto"/>
        </w:rPr>
      </w:pPr>
    </w:p>
    <w:p>
      <w:pPr>
        <w:jc w:val="both"/>
        <w:ind w:firstLine="590"/>
        <w:spacing w:after="0" w:line="262" w:lineRule="auto"/>
        <w:tabs>
          <w:tab w:leader="none" w:pos="836"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Fixtures and Equipment</w:t>
      </w:r>
      <w:r>
        <w:rPr>
          <w:rFonts w:ascii="Times New Roman" w:cs="Times New Roman" w:eastAsia="Times New Roman" w:hAnsi="Times New Roman"/>
          <w:sz w:val="16"/>
          <w:szCs w:val="16"/>
          <w:color w:val="auto"/>
        </w:rPr>
        <w:t>. Each of the Company and its Subsidiaries (as applicable) has good title to, or a valid leasehold interest in, the tangible personal property, equipment, improvements, fixtures, and other personal property and appurtenances that are used by the Company and its Subsidiaries to conduct their respective businesses (the “</w:t>
      </w:r>
      <w:r>
        <w:rPr>
          <w:rFonts w:ascii="Times New Roman" w:cs="Times New Roman" w:eastAsia="Times New Roman" w:hAnsi="Times New Roman"/>
          <w:sz w:val="16"/>
          <w:szCs w:val="16"/>
          <w:b w:val="1"/>
          <w:bCs w:val="1"/>
          <w:color w:val="auto"/>
        </w:rPr>
        <w:t>Fixtures and Equipment</w:t>
      </w:r>
      <w:r>
        <w:rPr>
          <w:rFonts w:ascii="Times New Roman" w:cs="Times New Roman" w:eastAsia="Times New Roman" w:hAnsi="Times New Roman"/>
          <w:sz w:val="16"/>
          <w:szCs w:val="16"/>
          <w:color w:val="auto"/>
        </w:rPr>
        <w:t xml:space="preserve">”). The Fixtures and Equipment are structurally sound, are in good operating condition and repair (ordinary wear and tear excepted),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date hereof and the Closing Date. Except as set forth on </w:t>
      </w:r>
      <w:r>
        <w:rPr>
          <w:rFonts w:ascii="Times New Roman" w:cs="Times New Roman" w:eastAsia="Times New Roman" w:hAnsi="Times New Roman"/>
          <w:sz w:val="16"/>
          <w:szCs w:val="16"/>
          <w:u w:val="single" w:color="auto"/>
          <w:color w:val="auto"/>
        </w:rPr>
        <w:t>Schedule 3(x)</w:t>
      </w:r>
      <w:r>
        <w:rPr>
          <w:rFonts w:ascii="Times New Roman" w:cs="Times New Roman" w:eastAsia="Times New Roman" w:hAnsi="Times New Roman"/>
          <w:sz w:val="16"/>
          <w:szCs w:val="16"/>
          <w:color w:val="auto"/>
        </w:rPr>
        <w:t>, each of the Company and its Subsidiaries owns all of its Fixtures and Equipment free and clear of all Liens except for (i) Liens for current taxes not yet due,(ii) zoning laws and other land use restrictions that do not impair the present or anticipated use of the property subject thereto and (iii) other Permitted Liens (as defined in the Exchange Notes).</w:t>
      </w:r>
    </w:p>
    <w:p>
      <w:pPr>
        <w:spacing w:after="0" w:line="167" w:lineRule="exact"/>
        <w:rPr>
          <w:rFonts w:ascii="Times New Roman" w:cs="Times New Roman" w:eastAsia="Times New Roman" w:hAnsi="Times New Roman"/>
          <w:sz w:val="16"/>
          <w:szCs w:val="16"/>
          <w:color w:val="auto"/>
        </w:rPr>
      </w:pPr>
    </w:p>
    <w:p>
      <w:pPr>
        <w:jc w:val="both"/>
        <w:ind w:firstLine="590"/>
        <w:spacing w:after="0" w:line="263" w:lineRule="auto"/>
        <w:tabs>
          <w:tab w:leader="none" w:pos="82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6"/>
          <w:szCs w:val="16"/>
          <w:b w:val="1"/>
          <w:bCs w:val="1"/>
          <w:color w:val="auto"/>
        </w:rPr>
        <w:t>Intellectual Property Rights</w:t>
      </w:r>
      <w:r>
        <w:rPr>
          <w:rFonts w:ascii="Times New Roman" w:cs="Times New Roman" w:eastAsia="Times New Roman" w:hAnsi="Times New Roman"/>
          <w:sz w:val="16"/>
          <w:szCs w:val="16"/>
          <w:color w:val="auto"/>
        </w:rPr>
        <w:t>”) necessary to conduct their respective businesses as now conducted. The Company does not have any knowledge of any infringement by the Company or its Subsidiaries of Intellectual Property Rights of others. There is no claim, action or proceeding being made or brought, or to the knowledge of the Company or any of its Subsidiaries, being threatened, against the Company or any of its Subsidiaries regarding its Intellectual Property Rights, except where such claim, action or proceeding is not reasonably likely to result in a Material Adverse Effect. Neither the Company nor any of its Subsidiaries has received any notice alleging any such infringement or claim, action or proceeding.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8" w:name="page99"/>
    <w:bookmarkEnd w:id="98"/>
    <w:p>
      <w:pPr>
        <w:jc w:val="both"/>
        <w:ind w:firstLine="590"/>
        <w:spacing w:after="0" w:line="261" w:lineRule="auto"/>
        <w:tabs>
          <w:tab w:leader="none" w:pos="81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except in each of the foregoing clauses (A), (B) and (C), where the failure to so comply or having such permits, licenses or other approval would not reasonably be expected to have, individually or in the aggregate, a Material Adverse Effect. The term “</w:t>
      </w:r>
      <w:r>
        <w:rPr>
          <w:rFonts w:ascii="Times New Roman" w:cs="Times New Roman" w:eastAsia="Times New Roman" w:hAnsi="Times New Roman"/>
          <w:sz w:val="16"/>
          <w:szCs w:val="16"/>
          <w:b w:val="1"/>
          <w:bCs w:val="1"/>
          <w:color w:val="auto"/>
        </w:rPr>
        <w:t>Environmental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Laws</w:t>
      </w:r>
      <w:r>
        <w:rPr>
          <w:rFonts w:ascii="Times New Roman" w:cs="Times New Roman" w:eastAsia="Times New Roman" w:hAnsi="Times New Roman"/>
          <w:sz w:val="16"/>
          <w:szCs w:val="16"/>
          <w:color w:val="auto"/>
        </w:rPr>
        <w:t>” means all federal, state, local or foreign laws or regulations relating to pollution or protection of human health or the environment (including, without limitation,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ambient air, surface water, groundwater, land surface or subsurface strata), including, without limitation, laws relating to emissions, discharges, releases or threatened releases of chemicals, pollutants, contaminants, or toxic or hazardous materials, substances or wastes (collectively,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into the environment, or otherwise relating to the manufacture, processing, distribution, use, treatment, storage, disposal, transport or handling of, or exposure to, Hazardous Materials, as well as all authorizations, codes, decrees, demands or demand letters, injunctions, judgments, licenses, notices or notice letters, orders, permits, plans or regulations issued, entered, promulgated or approved thereunder.</w:t>
      </w:r>
    </w:p>
    <w:p>
      <w:pPr>
        <w:spacing w:after="0" w:line="167" w:lineRule="exact"/>
        <w:rPr>
          <w:rFonts w:ascii="Times New Roman" w:cs="Times New Roman" w:eastAsia="Times New Roman" w:hAnsi="Times New Roman"/>
          <w:sz w:val="16"/>
          <w:szCs w:val="16"/>
          <w:color w:val="auto"/>
        </w:rPr>
      </w:pPr>
    </w:p>
    <w:p>
      <w:pPr>
        <w:ind w:left="1380" w:hanging="198"/>
        <w:spacing w:after="0"/>
        <w:tabs>
          <w:tab w:leader="none" w:pos="1380"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Hazardous Materials:</w:t>
      </w:r>
    </w:p>
    <w:p>
      <w:pPr>
        <w:spacing w:after="0" w:line="210" w:lineRule="exact"/>
        <w:rPr>
          <w:rFonts w:ascii="Times New Roman" w:cs="Times New Roman" w:eastAsia="Times New Roman" w:hAnsi="Times New Roman"/>
          <w:sz w:val="16"/>
          <w:szCs w:val="16"/>
          <w:color w:val="auto"/>
        </w:rPr>
      </w:pPr>
    </w:p>
    <w:p>
      <w:pPr>
        <w:ind w:left="600" w:firstLine="1173"/>
        <w:spacing w:after="0" w:line="296" w:lineRule="auto"/>
        <w:tabs>
          <w:tab w:leader="none" w:pos="2077"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have been disposed of or otherwise released from any Real Property of the Company or any of its Subsidiaries in violation of any Environmental Laws; or</w:t>
      </w:r>
    </w:p>
    <w:p>
      <w:pPr>
        <w:spacing w:after="0" w:line="137" w:lineRule="exact"/>
        <w:rPr>
          <w:rFonts w:ascii="Times New Roman" w:cs="Times New Roman" w:eastAsia="Times New Roman" w:hAnsi="Times New Roman"/>
          <w:sz w:val="16"/>
          <w:szCs w:val="16"/>
          <w:color w:val="auto"/>
        </w:rPr>
      </w:pPr>
    </w:p>
    <w:p>
      <w:pPr>
        <w:jc w:val="both"/>
        <w:ind w:left="600" w:firstLine="1173"/>
        <w:spacing w:after="0" w:line="270" w:lineRule="auto"/>
        <w:tabs>
          <w:tab w:leader="none" w:pos="2043" w:val="left"/>
        </w:tabs>
        <w:numPr>
          <w:ilvl w:val="2"/>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are present on, over, beneath, in or upon any Real Property or any portion thereof in quantities that would constitute a violation of any Environmental Laws or in quantities, a manner or location that would reasonably be expected to require remedial action pursuant to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57" w:lineRule="exact"/>
        <w:rPr>
          <w:rFonts w:ascii="Times New Roman" w:cs="Times New Roman" w:eastAsia="Times New Roman" w:hAnsi="Times New Roman"/>
          <w:sz w:val="16"/>
          <w:szCs w:val="16"/>
          <w:color w:val="auto"/>
        </w:rPr>
      </w:pPr>
    </w:p>
    <w:p>
      <w:pPr>
        <w:ind w:left="600" w:firstLine="582"/>
        <w:spacing w:after="0" w:line="296" w:lineRule="auto"/>
        <w:tabs>
          <w:tab w:leader="none" w:pos="1433"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neither the Company nor any of its Subsidiaries knows of any other Person that has stored, treated, recycled, disposed of or otherwise located on any Real Property any Hazardous Materials, including, without limitation, such substances as asbestos and polychlorinated biphenyls.</w:t>
      </w:r>
    </w:p>
    <w:p>
      <w:pPr>
        <w:spacing w:after="0" w:line="137" w:lineRule="exact"/>
        <w:rPr>
          <w:rFonts w:ascii="Times New Roman" w:cs="Times New Roman" w:eastAsia="Times New Roman" w:hAnsi="Times New Roman"/>
          <w:sz w:val="16"/>
          <w:szCs w:val="16"/>
          <w:color w:val="auto"/>
        </w:rPr>
      </w:pPr>
    </w:p>
    <w:p>
      <w:pPr>
        <w:jc w:val="both"/>
        <w:ind w:left="600" w:firstLine="582"/>
        <w:spacing w:after="0" w:line="277" w:lineRule="auto"/>
        <w:tabs>
          <w:tab w:leader="none" w:pos="1479"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Real Property is on any federal or state “Superfund” list or Comprehensive Environmental Response, Compensation and Liability Information System (“</w:t>
      </w:r>
      <w:r>
        <w:rPr>
          <w:rFonts w:ascii="Times New Roman" w:cs="Times New Roman" w:eastAsia="Times New Roman" w:hAnsi="Times New Roman"/>
          <w:sz w:val="16"/>
          <w:szCs w:val="16"/>
          <w:b w:val="1"/>
          <w:bCs w:val="1"/>
          <w:color w:val="auto"/>
        </w:rPr>
        <w:t>CERCLIS</w:t>
      </w:r>
      <w:r>
        <w:rPr>
          <w:rFonts w:ascii="Times New Roman" w:cs="Times New Roman" w:eastAsia="Times New Roman" w:hAnsi="Times New Roman"/>
          <w:sz w:val="16"/>
          <w:szCs w:val="16"/>
          <w:color w:val="auto"/>
        </w:rPr>
        <w:t>”) list or any state environmental agency list of sites under consideration for CERCLIS, nor subject to any environmental related Liens.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9" w:name="page100"/>
    <w:bookmarkEnd w:id="99"/>
    <w:p>
      <w:pPr>
        <w:jc w:val="both"/>
        <w:ind w:left="600" w:firstLine="582"/>
        <w:spacing w:after="0" w:line="277" w:lineRule="auto"/>
        <w:tabs>
          <w:tab w:leader="none" w:pos="1470"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its Subsidiaries is subject to any pending or, to the knowledge of the Company and its Subsidiaries, threatened claim or proceeding to any Environmental Laws, except for any claims or proceeding that would not reasonably be expected to have, individually or in the aggregate, a Material Adverse Effect.</w:t>
      </w:r>
    </w:p>
    <w:p>
      <w:pPr>
        <w:spacing w:after="0" w:line="151" w:lineRule="exact"/>
        <w:rPr>
          <w:rFonts w:ascii="Times New Roman" w:cs="Times New Roman" w:eastAsia="Times New Roman" w:hAnsi="Times New Roman"/>
          <w:sz w:val="16"/>
          <w:szCs w:val="16"/>
          <w:color w:val="auto"/>
        </w:rPr>
      </w:pPr>
    </w:p>
    <w:p>
      <w:pPr>
        <w:jc w:val="both"/>
        <w:ind w:firstLine="590"/>
        <w:spacing w:after="0" w:line="262" w:lineRule="auto"/>
        <w:tabs>
          <w:tab w:leader="none" w:pos="888"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Status</w:t>
      </w:r>
      <w:r>
        <w:rPr>
          <w:rFonts w:ascii="Times New Roman" w:cs="Times New Roman" w:eastAsia="Times New Roman" w:hAnsi="Times New Roman"/>
          <w:sz w:val="16"/>
          <w:szCs w:val="16"/>
          <w:color w:val="auto"/>
        </w:rPr>
        <w:t>. Except as set forth on Schedule 3(aa), the Company and each of its Subsidiaries (i) has timely made or filed all foreign, federal and state income and all other tax returns, reports and declarations required by any jurisdiction to which it is subject through the date of this Agreement or have requested extensions thereof (except where the failure to file would not, individually or in the aggregate, have a Material Adverse Effect) and (ii) has timely paid all taxes and other governmental assessments and charges shown or determined to be due on such returns, reports and declarations, except those being contested in good faith and for which reserves required by GAAP have been created in the financial statements of the Company or for cases in which the failure to pay would not have a Material Adverse Effect. There is no tax deficiency that has been determined adversely to the Company or any of its Subsidiaries which has had a Material Adverse Effect, nor does the Company or its Subsidiaries have any knowledge or notice of any tax deficiency which could reasonably be expected to be determined adversely to the Company or its Subsidiaries and which could reasonably be expected to have a Material Adverse Effect.</w:t>
      </w:r>
    </w:p>
    <w:p>
      <w:pPr>
        <w:spacing w:after="0" w:line="167" w:lineRule="exact"/>
        <w:rPr>
          <w:rFonts w:ascii="Times New Roman" w:cs="Times New Roman" w:eastAsia="Times New Roman" w:hAnsi="Times New Roman"/>
          <w:sz w:val="16"/>
          <w:szCs w:val="16"/>
          <w:color w:val="auto"/>
        </w:rPr>
      </w:pPr>
    </w:p>
    <w:p>
      <w:pPr>
        <w:jc w:val="both"/>
        <w:ind w:firstLine="590"/>
        <w:spacing w:after="0" w:line="260" w:lineRule="auto"/>
        <w:tabs>
          <w:tab w:leader="none" w:pos="906"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Internal Accounting and Disclosure Controls</w:t>
      </w:r>
      <w:r>
        <w:rPr>
          <w:rFonts w:ascii="Times New Roman" w:cs="Times New Roman" w:eastAsia="Times New Roman" w:hAnsi="Times New Roman"/>
          <w:sz w:val="16"/>
          <w:szCs w:val="16"/>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GAAP,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set forth on Schedule 3(bb),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Since the filing of the Annual Report on Form 10-K for the year ended December 31, 2019,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0" w:name="page101"/>
    <w:bookmarkEnd w:id="100"/>
    <w:p>
      <w:pPr>
        <w:jc w:val="both"/>
        <w:ind w:left="1" w:firstLine="590"/>
        <w:spacing w:after="0" w:line="277" w:lineRule="auto"/>
        <w:tabs>
          <w:tab w:leader="none" w:pos="914"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Off Balance Sheet Arrangements</w:t>
      </w:r>
      <w:r>
        <w:rPr>
          <w:rFonts w:ascii="Times New Roman" w:cs="Times New Roman" w:eastAsia="Times New Roman" w:hAnsi="Times New Roman"/>
          <w:sz w:val="16"/>
          <w:szCs w:val="16"/>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51" w:lineRule="exact"/>
        <w:rPr>
          <w:rFonts w:ascii="Times New Roman" w:cs="Times New Roman" w:eastAsia="Times New Roman" w:hAnsi="Times New Roman"/>
          <w:sz w:val="16"/>
          <w:szCs w:val="16"/>
          <w:color w:val="auto"/>
        </w:rPr>
      </w:pPr>
    </w:p>
    <w:p>
      <w:pPr>
        <w:ind w:left="1" w:firstLine="590"/>
        <w:spacing w:after="0" w:line="296" w:lineRule="auto"/>
        <w:tabs>
          <w:tab w:leader="none" w:pos="908"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 Company Status</w:t>
      </w:r>
      <w:r>
        <w:rPr>
          <w:rFonts w:ascii="Times New Roman" w:cs="Times New Roman" w:eastAsia="Times New Roman" w:hAnsi="Times New Roman"/>
          <w:sz w:val="16"/>
          <w:szCs w:val="16"/>
          <w:color w:val="auto"/>
        </w:rPr>
        <w:t>. The Company is not an “investment company,” or a company controlled by an “investment company” as such term is defined in the Investment Company Act of 1940, as amended.</w:t>
      </w:r>
    </w:p>
    <w:p>
      <w:pPr>
        <w:spacing w:after="0" w:line="137" w:lineRule="exact"/>
        <w:rPr>
          <w:rFonts w:ascii="Times New Roman" w:cs="Times New Roman" w:eastAsia="Times New Roman" w:hAnsi="Times New Roman"/>
          <w:sz w:val="16"/>
          <w:szCs w:val="16"/>
          <w:color w:val="auto"/>
        </w:rPr>
      </w:pPr>
    </w:p>
    <w:p>
      <w:pPr>
        <w:jc w:val="both"/>
        <w:ind w:left="1" w:firstLine="590"/>
        <w:spacing w:after="0" w:line="259" w:lineRule="auto"/>
        <w:tabs>
          <w:tab w:leader="none" w:pos="889"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Acknowledgement Regarding Holders’ Trading Activity</w:t>
      </w:r>
      <w:r>
        <w:rPr>
          <w:rFonts w:ascii="Times New Roman" w:cs="Times New Roman" w:eastAsia="Times New Roman" w:hAnsi="Times New Roman"/>
          <w:sz w:val="16"/>
          <w:szCs w:val="16"/>
          <w:color w:val="auto"/>
        </w:rPr>
        <w:t>. It is understood and acknowledged by the Company that (i) following the public disclosure of the transactions contemplated by the Transaction Documents in the Press Release (as defined below), none of the Holders have been asked by the Company or any of its Subsidiaries to agree, nor has any Holder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Holder, and counterparties in “derivative” transactions to which any such Holder is a party, directly or indirectly, presently may have a “short” position in the Common Stock which was established prior to such Holder’s knowledge of the transactions contemplated by the Transaction Documents; (iii) each Holder shall not be deemed to have any affiliation with or control over any arm’s length counterparty in any “derivative” transaction; and (iv) each Holder may rely on the Company’s obligation to timely deliver shares of Common Stock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one or more Holders may engage in hedging and/or trading activities (including, without limitation, the location and/or reservation of borrowable shares of Common Stock) at various times prior to or during the period that the Securities are outstanding, including, without limitation, during the periods that the value and/or number of the Underlying Shares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Exchange Notes, the Exchange Warrants or any other Transaction Document or any of the documents executed in connection herewith or therewith.</w:t>
      </w:r>
    </w:p>
    <w:p>
      <w:pPr>
        <w:spacing w:after="0" w:line="175" w:lineRule="exact"/>
        <w:rPr>
          <w:rFonts w:ascii="Times New Roman" w:cs="Times New Roman" w:eastAsia="Times New Roman" w:hAnsi="Times New Roman"/>
          <w:sz w:val="16"/>
          <w:szCs w:val="16"/>
          <w:color w:val="auto"/>
        </w:rPr>
      </w:pPr>
    </w:p>
    <w:p>
      <w:pPr>
        <w:jc w:val="both"/>
        <w:ind w:left="1" w:firstLine="590"/>
        <w:spacing w:after="0" w:line="264" w:lineRule="auto"/>
        <w:tabs>
          <w:tab w:leader="none" w:pos="862"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Manipulation of Price</w:t>
      </w:r>
      <w:r>
        <w:rPr>
          <w:rFonts w:ascii="Times New Roman" w:cs="Times New Roman" w:eastAsia="Times New Roman" w:hAnsi="Times New Roman"/>
          <w:sz w:val="16"/>
          <w:szCs w:val="16"/>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w:t>
      </w:r>
    </w:p>
    <w:p>
      <w:pPr>
        <w:spacing w:after="0" w:line="1" w:lineRule="exact"/>
        <w:rPr>
          <w:rFonts w:ascii="Times New Roman" w:cs="Times New Roman" w:eastAsia="Times New Roman" w:hAnsi="Times New Roman"/>
          <w:sz w:val="16"/>
          <w:szCs w:val="16"/>
          <w:color w:val="auto"/>
        </w:rPr>
      </w:pPr>
    </w:p>
    <w:p>
      <w:pPr>
        <w:ind w:left="1" w:hanging="1"/>
        <w:spacing w:after="0" w:line="274" w:lineRule="auto"/>
        <w:tabs>
          <w:tab w:leader="none" w:pos="29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01" w:name="page102"/>
    <w:bookmarkEnd w:id="101"/>
    <w:p>
      <w:pPr>
        <w:jc w:val="both"/>
        <w:ind w:firstLine="590"/>
        <w:spacing w:after="0" w:line="277" w:lineRule="auto"/>
        <w:tabs>
          <w:tab w:leader="none" w:pos="90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 Real Property Holding Corporation</w:t>
      </w:r>
      <w:r>
        <w:rPr>
          <w:rFonts w:ascii="Times New Roman" w:cs="Times New Roman" w:eastAsia="Times New Roman" w:hAnsi="Times New Roman"/>
          <w:sz w:val="16"/>
          <w:szCs w:val="16"/>
          <w:color w:val="auto"/>
        </w:rPr>
        <w:t>. Neither the Company nor any of its Subsidiaries is, or has ever been, and so long as any of the Securities are held by any of the Holders, shall become, a U.S. real property holding corporation within the meaning of Section 897 of the Internal Revenue Code of 1986, as amended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and the Company and each Subsidiary shall so certify upon any Holder’s request.</w:t>
      </w:r>
    </w:p>
    <w:p>
      <w:pPr>
        <w:spacing w:after="0" w:line="151" w:lineRule="exact"/>
        <w:rPr>
          <w:rFonts w:ascii="Times New Roman" w:cs="Times New Roman" w:eastAsia="Times New Roman" w:hAnsi="Times New Roman"/>
          <w:sz w:val="16"/>
          <w:szCs w:val="16"/>
          <w:color w:val="auto"/>
        </w:rPr>
      </w:pPr>
    </w:p>
    <w:p>
      <w:pPr>
        <w:jc w:val="both"/>
        <w:ind w:firstLine="590"/>
        <w:spacing w:after="0" w:line="265" w:lineRule="auto"/>
        <w:tabs>
          <w:tab w:leader="none" w:pos="906"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 All stock transfer or other taxes (other than income or similar taxes) which are required to be paid in connection with the issuance, delivery, exercise and transfer of the Securities to be acquired by each Holder hereunder will be, or will have been, fully paid or provided for by the Company, and all laws imposing such taxes will be or will have been complied with; provided that the Company shall not be required to pay any tax that may be payable in respect of any transfer involved in the issuance and delivery of any Underlying Shares pursuant to the Exchange Warrants, in a name other than that of the Holder of such Exchange Warrants or Exchange Notes, and the Company shall not be required to issue or deliver such Underlying Shares unless or until the Person or Persons requesting the issuance thereof shall have paid to the Company the amount of such tax or shall have established to the satisfaction of the Company that such tax has been paid.</w:t>
      </w:r>
    </w:p>
    <w:p>
      <w:pPr>
        <w:spacing w:after="0" w:line="161" w:lineRule="exact"/>
        <w:rPr>
          <w:rFonts w:ascii="Times New Roman" w:cs="Times New Roman" w:eastAsia="Times New Roman" w:hAnsi="Times New Roman"/>
          <w:sz w:val="16"/>
          <w:szCs w:val="16"/>
          <w:color w:val="auto"/>
        </w:rPr>
      </w:pPr>
    </w:p>
    <w:p>
      <w:pPr>
        <w:jc w:val="both"/>
        <w:ind w:firstLine="590"/>
        <w:spacing w:after="0" w:line="267" w:lineRule="auto"/>
        <w:tabs>
          <w:tab w:leader="none" w:pos="845"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Bank Holding Company Act</w:t>
      </w:r>
      <w:r>
        <w:rPr>
          <w:rFonts w:ascii="Times New Roman" w:cs="Times New Roman" w:eastAsia="Times New Roman" w:hAnsi="Times New Roman"/>
          <w:sz w:val="16"/>
          <w:szCs w:val="16"/>
          <w:color w:val="auto"/>
        </w:rPr>
        <w:t>. Neither the Company nor any of its Subsidiaries is subject to the Bank Holding Company Act of 1956, as amended (the “</w:t>
      </w:r>
      <w:r>
        <w:rPr>
          <w:rFonts w:ascii="Times New Roman" w:cs="Times New Roman" w:eastAsia="Times New Roman" w:hAnsi="Times New Roman"/>
          <w:sz w:val="16"/>
          <w:szCs w:val="16"/>
          <w:b w:val="1"/>
          <w:bCs w:val="1"/>
          <w:color w:val="auto"/>
        </w:rPr>
        <w:t>BHCA</w:t>
      </w:r>
      <w:r>
        <w:rPr>
          <w:rFonts w:ascii="Times New Roman" w:cs="Times New Roman" w:eastAsia="Times New Roman" w:hAnsi="Times New Roman"/>
          <w:sz w:val="16"/>
          <w:szCs w:val="16"/>
          <w:color w:val="auto"/>
        </w:rPr>
        <w:t>”) and to regulation by the Board of Governors of the Federal Reserve System (the “</w:t>
      </w:r>
      <w:r>
        <w:rPr>
          <w:rFonts w:ascii="Times New Roman" w:cs="Times New Roman" w:eastAsia="Times New Roman" w:hAnsi="Times New Roman"/>
          <w:sz w:val="16"/>
          <w:szCs w:val="16"/>
          <w:b w:val="1"/>
          <w:bCs w:val="1"/>
          <w:color w:val="auto"/>
        </w:rPr>
        <w:t>Federal Reserve</w:t>
      </w:r>
      <w:r>
        <w:rPr>
          <w:rFonts w:ascii="Times New Roman" w:cs="Times New Roman" w:eastAsia="Times New Roman" w:hAnsi="Times New Roman"/>
          <w:sz w:val="16"/>
          <w:szCs w:val="16"/>
          <w:color w:val="auto"/>
        </w:rPr>
        <w:t>”). Neither the Company nor any of its Subsidiaries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exercises a controlling influence over the management or policies of a bank or any entity that is subject to the BHCA and to regulation by the Federal Reserve.</w:t>
      </w:r>
    </w:p>
    <w:p>
      <w:pPr>
        <w:spacing w:after="0" w:line="159" w:lineRule="exact"/>
        <w:rPr>
          <w:rFonts w:ascii="Times New Roman" w:cs="Times New Roman" w:eastAsia="Times New Roman" w:hAnsi="Times New Roman"/>
          <w:sz w:val="16"/>
          <w:szCs w:val="16"/>
          <w:color w:val="auto"/>
        </w:rPr>
      </w:pPr>
    </w:p>
    <w:p>
      <w:pPr>
        <w:ind w:left="840" w:hanging="250"/>
        <w:spacing w:after="0"/>
        <w:tabs>
          <w:tab w:leader="none" w:pos="84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Shell Company Status</w:t>
      </w:r>
      <w:r>
        <w:rPr>
          <w:rFonts w:ascii="Times New Roman" w:cs="Times New Roman" w:eastAsia="Times New Roman" w:hAnsi="Times New Roman"/>
          <w:sz w:val="16"/>
          <w:szCs w:val="16"/>
          <w:color w:val="auto"/>
        </w:rPr>
        <w:t>. The Company is not, and has never been, an issuer identified in, or subject to, Rule 144(i).</w:t>
      </w:r>
    </w:p>
    <w:p>
      <w:pPr>
        <w:spacing w:after="0" w:line="210" w:lineRule="exact"/>
        <w:rPr>
          <w:rFonts w:ascii="Times New Roman" w:cs="Times New Roman" w:eastAsia="Times New Roman" w:hAnsi="Times New Roman"/>
          <w:sz w:val="16"/>
          <w:szCs w:val="16"/>
          <w:color w:val="auto"/>
        </w:rPr>
      </w:pPr>
    </w:p>
    <w:p>
      <w:pPr>
        <w:jc w:val="both"/>
        <w:ind w:firstLine="590"/>
        <w:spacing w:after="0" w:line="266" w:lineRule="auto"/>
        <w:tabs>
          <w:tab w:leader="none" w:pos="91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Illegal or Unauthorized Payments; Political Contributions</w:t>
      </w:r>
      <w:r>
        <w:rPr>
          <w:rFonts w:ascii="Times New Roman" w:cs="Times New Roman" w:eastAsia="Times New Roman" w:hAnsi="Times New Roman"/>
          <w:sz w:val="16"/>
          <w:szCs w:val="16"/>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affiliates,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to influence official action or secure an improper advantage, except for personal political contributions not involving the direct or indirect use of funds of the Company or any of its Subsidiaries.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2" w:name="page103"/>
    <w:bookmarkEnd w:id="102"/>
    <w:p>
      <w:pPr>
        <w:ind w:firstLine="590"/>
        <w:spacing w:after="0" w:line="296" w:lineRule="auto"/>
        <w:tabs>
          <w:tab w:leader="none" w:pos="83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Money Laundering</w:t>
      </w:r>
      <w:r>
        <w:rPr>
          <w:rFonts w:ascii="Times New Roman" w:cs="Times New Roman" w:eastAsia="Times New Roman" w:hAnsi="Times New Roman"/>
          <w:sz w:val="16"/>
          <w:szCs w:val="16"/>
          <w:color w:val="auto"/>
        </w:rPr>
        <w:t>. The operations of the Company and its Subsidiaries are and have been conducted at all times in material compliance with the USA Patriot Act of 2001 and all other applicable U.S. and non-U.S. anti-money laundering laws and regulations.</w:t>
      </w:r>
    </w:p>
    <w:p>
      <w:pPr>
        <w:spacing w:after="0" w:line="137" w:lineRule="exact"/>
        <w:rPr>
          <w:rFonts w:ascii="Times New Roman" w:cs="Times New Roman" w:eastAsia="Times New Roman" w:hAnsi="Times New Roman"/>
          <w:sz w:val="16"/>
          <w:szCs w:val="16"/>
          <w:color w:val="auto"/>
        </w:rPr>
      </w:pPr>
    </w:p>
    <w:p>
      <w:pPr>
        <w:jc w:val="both"/>
        <w:ind w:firstLine="590"/>
        <w:spacing w:after="0" w:line="267" w:lineRule="auto"/>
        <w:tabs>
          <w:tab w:leader="none" w:pos="99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None of the Company, any of its Subsidiaries or any director, officer, employee or, to the knowledge of the Company and its Subsidiaries, agent or other person acting for or on behalf of the foregoing is the subject or target of any economic or financial sanctions imposed, administered or enforced by the United States (including the U.S. Department of the Treasury Office of Foreign Assets Control and the U.S. Department of State) or other relevant sanctions authority (collectively, “</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 and each such Person, a “</w:t>
      </w:r>
      <w:r>
        <w:rPr>
          <w:rFonts w:ascii="Times New Roman" w:cs="Times New Roman" w:eastAsia="Times New Roman" w:hAnsi="Times New Roman"/>
          <w:sz w:val="16"/>
          <w:szCs w:val="16"/>
          <w:b w:val="1"/>
          <w:bCs w:val="1"/>
          <w:color w:val="auto"/>
        </w:rPr>
        <w:t>Sanctioned Person</w:t>
      </w:r>
      <w:r>
        <w:rPr>
          <w:rFonts w:ascii="Times New Roman" w:cs="Times New Roman" w:eastAsia="Times New Roman" w:hAnsi="Times New Roman"/>
          <w:sz w:val="16"/>
          <w:szCs w:val="16"/>
          <w:color w:val="auto"/>
        </w:rPr>
        <w:t>”). The operations of the Company and its Subsidiaries are, and have been conducted within the past five (5) years, in compliance with applicable Sanctions.</w:t>
      </w:r>
    </w:p>
    <w:p>
      <w:pPr>
        <w:spacing w:after="0" w:line="159" w:lineRule="exact"/>
        <w:rPr>
          <w:rFonts w:ascii="Times New Roman" w:cs="Times New Roman" w:eastAsia="Times New Roman" w:hAnsi="Times New Roman"/>
          <w:sz w:val="16"/>
          <w:szCs w:val="16"/>
          <w:color w:val="auto"/>
        </w:rPr>
      </w:pPr>
    </w:p>
    <w:p>
      <w:pPr>
        <w:ind w:left="900" w:hanging="310"/>
        <w:spacing w:after="0"/>
        <w:tabs>
          <w:tab w:leader="none" w:pos="9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Management</w:t>
      </w:r>
      <w:r>
        <w:rPr>
          <w:rFonts w:ascii="Times New Roman" w:cs="Times New Roman" w:eastAsia="Times New Roman" w:hAnsi="Times New Roman"/>
          <w:sz w:val="16"/>
          <w:szCs w:val="16"/>
          <w:color w:val="auto"/>
        </w:rPr>
        <w:t>. During the past one year period, no current or former officer or director, to the knowledge of the Company, has been the subject of:</w:t>
      </w:r>
    </w:p>
    <w:p>
      <w:pPr>
        <w:spacing w:after="0" w:line="210" w:lineRule="exact"/>
        <w:rPr>
          <w:rFonts w:ascii="Times New Roman" w:cs="Times New Roman" w:eastAsia="Times New Roman" w:hAnsi="Times New Roman"/>
          <w:sz w:val="16"/>
          <w:szCs w:val="16"/>
          <w:color w:val="auto"/>
        </w:rPr>
      </w:pPr>
    </w:p>
    <w:p>
      <w:pPr>
        <w:jc w:val="both"/>
        <w:ind w:left="600" w:firstLine="582"/>
        <w:spacing w:after="0" w:line="270" w:lineRule="auto"/>
        <w:tabs>
          <w:tab w:leader="none" w:pos="1388"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57" w:lineRule="exact"/>
        <w:rPr>
          <w:rFonts w:ascii="Times New Roman" w:cs="Times New Roman" w:eastAsia="Times New Roman" w:hAnsi="Times New Roman"/>
          <w:sz w:val="16"/>
          <w:szCs w:val="16"/>
          <w:color w:val="auto"/>
        </w:rPr>
      </w:pPr>
    </w:p>
    <w:p>
      <w:pPr>
        <w:ind w:left="600" w:firstLine="582"/>
        <w:spacing w:after="0" w:line="296" w:lineRule="auto"/>
        <w:tabs>
          <w:tab w:leader="none" w:pos="1433"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conviction in a criminal proceeding or a named subject of a pending criminal proceeding (excluding traffic violations that do not relate to driving while intoxicated or driving under the influence);</w:t>
      </w:r>
    </w:p>
    <w:p>
      <w:pPr>
        <w:spacing w:after="0" w:line="137" w:lineRule="exact"/>
        <w:rPr>
          <w:rFonts w:ascii="Times New Roman" w:cs="Times New Roman" w:eastAsia="Times New Roman" w:hAnsi="Times New Roman"/>
          <w:sz w:val="16"/>
          <w:szCs w:val="16"/>
          <w:color w:val="auto"/>
        </w:rPr>
      </w:pPr>
    </w:p>
    <w:p>
      <w:pPr>
        <w:ind w:left="600" w:firstLine="582"/>
        <w:spacing w:after="0" w:line="296" w:lineRule="auto"/>
        <w:tabs>
          <w:tab w:leader="none" w:pos="1479"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37" w:lineRule="exact"/>
        <w:rPr>
          <w:rFonts w:ascii="Times New Roman" w:cs="Times New Roman" w:eastAsia="Times New Roman" w:hAnsi="Times New Roman"/>
          <w:sz w:val="16"/>
          <w:szCs w:val="16"/>
          <w:color w:val="auto"/>
        </w:rPr>
      </w:pPr>
    </w:p>
    <w:p>
      <w:pPr>
        <w:jc w:val="both"/>
        <w:ind w:left="1180" w:firstLine="1185"/>
        <w:spacing w:after="0" w:line="268" w:lineRule="auto"/>
        <w:tabs>
          <w:tab w:leader="none" w:pos="2595" w:val="left"/>
        </w:tabs>
        <w:numPr>
          <w:ilvl w:val="2"/>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361" w:lineRule="exact"/>
        <w:rPr>
          <w:rFonts w:ascii="Times New Roman" w:cs="Times New Roman" w:eastAsia="Times New Roman" w:hAnsi="Times New Roman"/>
          <w:sz w:val="16"/>
          <w:szCs w:val="16"/>
          <w:color w:val="auto"/>
        </w:rPr>
      </w:pPr>
    </w:p>
    <w:p>
      <w:pPr>
        <w:ind w:left="2600" w:hanging="235"/>
        <w:spacing w:after="0"/>
        <w:tabs>
          <w:tab w:leader="none" w:pos="2600" w:val="left"/>
        </w:tabs>
        <w:numPr>
          <w:ilvl w:val="2"/>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any particular type of business practice; or</w:t>
      </w:r>
    </w:p>
    <w:p>
      <w:pPr>
        <w:spacing w:after="0" w:line="210" w:lineRule="exact"/>
        <w:rPr>
          <w:rFonts w:ascii="Times New Roman" w:cs="Times New Roman" w:eastAsia="Times New Roman" w:hAnsi="Times New Roman"/>
          <w:sz w:val="16"/>
          <w:szCs w:val="16"/>
          <w:color w:val="auto"/>
        </w:rPr>
      </w:pPr>
    </w:p>
    <w:p>
      <w:pPr>
        <w:ind w:left="1180" w:firstLine="1185"/>
        <w:spacing w:after="0" w:line="296" w:lineRule="auto"/>
        <w:tabs>
          <w:tab w:leader="none" w:pos="2595" w:val="left"/>
        </w:tabs>
        <w:numPr>
          <w:ilvl w:val="2"/>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any activity in connection with the purchase or sale of any security or commodity or in connection with any violation of securities laws or commodities laws;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3" w:name="page104"/>
    <w:bookmarkEnd w:id="103"/>
    <w:p>
      <w:pPr>
        <w:jc w:val="both"/>
        <w:ind w:left="600" w:firstLine="582"/>
        <w:spacing w:after="0" w:line="277" w:lineRule="auto"/>
        <w:tabs>
          <w:tab w:leader="none" w:pos="1470"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51" w:lineRule="exact"/>
        <w:rPr>
          <w:rFonts w:ascii="Times New Roman" w:cs="Times New Roman" w:eastAsia="Times New Roman" w:hAnsi="Times New Roman"/>
          <w:sz w:val="16"/>
          <w:szCs w:val="16"/>
          <w:color w:val="auto"/>
        </w:rPr>
      </w:pPr>
    </w:p>
    <w:p>
      <w:pPr>
        <w:ind w:left="600" w:firstLine="582"/>
        <w:spacing w:after="0" w:line="296" w:lineRule="auto"/>
        <w:tabs>
          <w:tab w:leader="none" w:pos="1436"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37" w:lineRule="exact"/>
        <w:rPr>
          <w:rFonts w:ascii="Times New Roman" w:cs="Times New Roman" w:eastAsia="Times New Roman" w:hAnsi="Times New Roman"/>
          <w:sz w:val="16"/>
          <w:szCs w:val="16"/>
          <w:color w:val="auto"/>
        </w:rPr>
      </w:pPr>
    </w:p>
    <w:p>
      <w:pPr>
        <w:ind w:left="600" w:firstLine="582"/>
        <w:spacing w:after="0" w:line="296" w:lineRule="auto"/>
        <w:tabs>
          <w:tab w:leader="none" w:pos="1482"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37" w:lineRule="exact"/>
        <w:rPr>
          <w:rFonts w:ascii="Times New Roman" w:cs="Times New Roman" w:eastAsia="Times New Roman" w:hAnsi="Times New Roman"/>
          <w:sz w:val="16"/>
          <w:szCs w:val="16"/>
          <w:color w:val="auto"/>
        </w:rPr>
      </w:pPr>
    </w:p>
    <w:p>
      <w:pPr>
        <w:jc w:val="both"/>
        <w:ind w:firstLine="590"/>
        <w:spacing w:after="0" w:line="266" w:lineRule="auto"/>
        <w:tabs>
          <w:tab w:leader="none" w:pos="918"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Option Plans</w:t>
      </w:r>
      <w:r>
        <w:rPr>
          <w:rFonts w:ascii="Times New Roman" w:cs="Times New Roman" w:eastAsia="Times New Roman" w:hAnsi="Times New Roman"/>
          <w:sz w:val="16"/>
          <w:szCs w:val="16"/>
          <w:color w:val="auto"/>
        </w:rPr>
        <w:t>. Each stock option granted by the Company was granted (i) in accordance with the terms of the applicable stock option plan of the Company and (ii) with an exercise price at least equal to the fair market value of the Common Stock on the date such stock option would be considered granted under GAAP and applicable law. To the Company’s knowledge, no stock option granted under the Company’s stock option plan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360" w:lineRule="exact"/>
        <w:rPr>
          <w:rFonts w:ascii="Times New Roman" w:cs="Times New Roman" w:eastAsia="Times New Roman" w:hAnsi="Times New Roman"/>
          <w:sz w:val="16"/>
          <w:szCs w:val="16"/>
          <w:color w:val="auto"/>
        </w:rPr>
      </w:pPr>
    </w:p>
    <w:p>
      <w:pPr>
        <w:jc w:val="both"/>
        <w:ind w:firstLine="590"/>
        <w:spacing w:after="0" w:line="259" w:lineRule="auto"/>
        <w:tabs>
          <w:tab w:leader="none" w:pos="906"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Cybersecurity</w:t>
      </w:r>
      <w:r>
        <w:rPr>
          <w:rFonts w:ascii="Times New Roman" w:cs="Times New Roman" w:eastAsia="Times New Roman" w:hAnsi="Times New Roman"/>
          <w:sz w:val="16"/>
          <w:szCs w:val="16"/>
          <w:color w:val="auto"/>
        </w:rPr>
        <w:t>. The information technology assets and equipment, computers, systems, networks, hardware, software, websites, applications, and databases used or owned by, or leased or licensed to, the Company or any of its Subsidiaries (collectively, “</w:t>
      </w:r>
      <w:r>
        <w:rPr>
          <w:rFonts w:ascii="Times New Roman" w:cs="Times New Roman" w:eastAsia="Times New Roman" w:hAnsi="Times New Roman"/>
          <w:sz w:val="16"/>
          <w:szCs w:val="16"/>
          <w:b w:val="1"/>
          <w:bCs w:val="1"/>
          <w:color w:val="auto"/>
        </w:rPr>
        <w:t>IT Systems</w:t>
      </w:r>
      <w:r>
        <w:rPr>
          <w:rFonts w:ascii="Times New Roman" w:cs="Times New Roman" w:eastAsia="Times New Roman" w:hAnsi="Times New Roman"/>
          <w:sz w:val="16"/>
          <w:szCs w:val="16"/>
          <w:color w:val="auto"/>
        </w:rPr>
        <w:t>”) are adequate for, and operate and perform in all material respects as required in connection with the operation of the business of the Company and its Subsidiaries as currently conducted, to the Company’s knowledge,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6"/>
          <w:szCs w:val="16"/>
          <w:b w:val="1"/>
          <w:bCs w:val="1"/>
          <w:color w:val="auto"/>
        </w:rPr>
        <w:t>Personal Data</w:t>
      </w:r>
      <w:r>
        <w:rPr>
          <w:rFonts w:ascii="Times New Roman" w:cs="Times New Roman" w:eastAsia="Times New Roman" w:hAnsi="Times New Roman"/>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6"/>
          <w:szCs w:val="16"/>
          <w:b w:val="1"/>
          <w:bCs w:val="1"/>
          <w:color w:val="auto"/>
        </w:rPr>
        <w:t>HIPAA”</w:t>
      </w:r>
      <w:r>
        <w:rPr>
          <w:rFonts w:ascii="Times New Roman" w:cs="Times New Roman" w:eastAsia="Times New Roman" w:hAnsi="Times New Roman"/>
          <w:sz w:val="16"/>
          <w:szCs w:val="16"/>
          <w:color w:val="auto"/>
        </w:rPr>
        <w:t>); and (iv)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4" w:name="page105"/>
    <w:bookmarkEnd w:id="104"/>
    <w:p>
      <w:pPr>
        <w:jc w:val="both"/>
        <w:ind w:firstLine="590"/>
        <w:spacing w:after="0" w:line="261" w:lineRule="auto"/>
        <w:tabs>
          <w:tab w:leader="none" w:pos="906"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Data Privacy Laws</w:t>
      </w:r>
      <w:r>
        <w:rPr>
          <w:rFonts w:ascii="Times New Roman" w:cs="Times New Roman" w:eastAsia="Times New Roman" w:hAnsi="Times New Roman"/>
          <w:sz w:val="16"/>
          <w:szCs w:val="16"/>
          <w:color w:val="auto"/>
        </w:rPr>
        <w:t>. The Company and its Subsidiaries are, and at all prior times were, in material compliance with all applicable state and federal data privacy and security laws and regulations, including without limitation HIPAA (collectively, the “</w:t>
      </w:r>
      <w:r>
        <w:rPr>
          <w:rFonts w:ascii="Times New Roman" w:cs="Times New Roman" w:eastAsia="Times New Roman" w:hAnsi="Times New Roman"/>
          <w:sz w:val="16"/>
          <w:szCs w:val="16"/>
          <w:b w:val="1"/>
          <w:bCs w:val="1"/>
          <w:color w:val="auto"/>
        </w:rPr>
        <w:t>Privacy Laws</w:t>
      </w:r>
      <w:r>
        <w:rPr>
          <w:rFonts w:ascii="Times New Roman" w:cs="Times New Roman" w:eastAsia="Times New Roman" w:hAnsi="Times New Roman"/>
          <w:sz w:val="16"/>
          <w:szCs w:val="16"/>
          <w:color w:val="auto"/>
        </w:rPr>
        <w:t>”) and, to the Company’s knowledge, the Company and its Subsidiaries are not subject to any material requirements of the European Union General Data Protection Regulation (EU 2016/679).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6"/>
          <w:szCs w:val="16"/>
          <w:b w:val="1"/>
          <w:bCs w:val="1"/>
          <w:color w:val="auto"/>
        </w:rPr>
        <w:t>Policies</w:t>
      </w:r>
      <w:r>
        <w:rPr>
          <w:rFonts w:ascii="Times New Roman" w:cs="Times New Roman" w:eastAsia="Times New Roman" w:hAnsi="Times New Roman"/>
          <w:sz w:val="16"/>
          <w:szCs w:val="16"/>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Neither the Company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65" w:lineRule="exact"/>
        <w:rPr>
          <w:rFonts w:ascii="Times New Roman" w:cs="Times New Roman" w:eastAsia="Times New Roman" w:hAnsi="Times New Roman"/>
          <w:sz w:val="16"/>
          <w:szCs w:val="16"/>
          <w:color w:val="auto"/>
        </w:rPr>
      </w:pPr>
    </w:p>
    <w:p>
      <w:pPr>
        <w:ind w:firstLine="590"/>
        <w:spacing w:after="0" w:line="296" w:lineRule="auto"/>
        <w:tabs>
          <w:tab w:leader="none" w:pos="864"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Other Inducements.</w:t>
      </w:r>
      <w:r>
        <w:rPr>
          <w:rFonts w:ascii="Times New Roman" w:cs="Times New Roman" w:eastAsia="Times New Roman" w:hAnsi="Times New Roman"/>
          <w:sz w:val="16"/>
          <w:szCs w:val="16"/>
          <w:color w:val="auto"/>
        </w:rPr>
        <w:t xml:space="preserve"> Except as set forth in this Agreement, the Company has not directly or indirectly, offered any Holder or any affiliate thereof any inducement to enter into this Agreement or to exchange any Holder’s Prior Securities for Exchange Notes and Exchange Warrants.</w:t>
      </w:r>
    </w:p>
    <w:p>
      <w:pPr>
        <w:spacing w:after="0" w:line="137" w:lineRule="exact"/>
        <w:rPr>
          <w:rFonts w:ascii="Times New Roman" w:cs="Times New Roman" w:eastAsia="Times New Roman" w:hAnsi="Times New Roman"/>
          <w:sz w:val="16"/>
          <w:szCs w:val="16"/>
          <w:color w:val="auto"/>
        </w:rPr>
      </w:pPr>
    </w:p>
    <w:p>
      <w:pPr>
        <w:jc w:val="both"/>
        <w:ind w:firstLine="590"/>
        <w:spacing w:after="0" w:line="260" w:lineRule="auto"/>
        <w:tabs>
          <w:tab w:leader="none" w:pos="87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The Company confirms that neither it nor any other Person acting on its behalf has provided any of the Holders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Holders have relied on and will rely on the foregoing representations in effecting transactions in securities of the Company. All disclosure provided in this Agreement and the other Transaction Documents to the Holders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Holder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The Company acknowledges and agrees that no Holder makes or has made any representations or warranties with respect to the transactions contemplated hereby other than those specifically set forth in Section 2. Except for the representations and warranties contained in this Section 3 (including the related portions of the disclosure schedules), neither the Company nor any other Person has made or makes any other express or implied representation or warranty, either written or oral, on behalf of the Company or any Subsidiary of the Company.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5" w:name="page106"/>
    <w:bookmarkEnd w:id="105"/>
    <w:p>
      <w:pPr>
        <w:ind w:left="1" w:firstLine="590"/>
        <w:spacing w:after="0" w:line="296" w:lineRule="auto"/>
        <w:tabs>
          <w:tab w:leader="none" w:pos="835"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Additional Agreements</w:t>
      </w:r>
      <w:r>
        <w:rPr>
          <w:rFonts w:ascii="Times New Roman" w:cs="Times New Roman" w:eastAsia="Times New Roman" w:hAnsi="Times New Roman"/>
          <w:sz w:val="16"/>
          <w:szCs w:val="16"/>
          <w:color w:val="auto"/>
        </w:rPr>
        <w:t>. The Company does not have any agreement or understanding with any Holder with respect to the transactions contemplated by the Transaction Documents other than as specified in the Transaction Documents.</w:t>
      </w:r>
    </w:p>
    <w:p>
      <w:pPr>
        <w:spacing w:after="0" w:line="133"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COVENANTS.</w:t>
      </w:r>
    </w:p>
    <w:p>
      <w:pPr>
        <w:spacing w:after="0" w:line="214" w:lineRule="exact"/>
        <w:rPr>
          <w:rFonts w:ascii="Times New Roman" w:cs="Times New Roman" w:eastAsia="Times New Roman" w:hAnsi="Times New Roman"/>
          <w:sz w:val="16"/>
          <w:szCs w:val="16"/>
          <w:b w:val="1"/>
          <w:bCs w:val="1"/>
          <w:color w:val="auto"/>
        </w:rPr>
      </w:pPr>
    </w:p>
    <w:p>
      <w:pPr>
        <w:jc w:val="both"/>
        <w:ind w:left="1" w:firstLine="590"/>
        <w:spacing w:after="0" w:line="277" w:lineRule="auto"/>
        <w:tabs>
          <w:tab w:leader="none" w:pos="816"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Best Efforts</w:t>
      </w:r>
      <w:r>
        <w:rPr>
          <w:rFonts w:ascii="Times New Roman" w:cs="Times New Roman" w:eastAsia="Times New Roman" w:hAnsi="Times New Roman"/>
          <w:sz w:val="16"/>
          <w:szCs w:val="16"/>
          <w:color w:val="auto"/>
        </w:rPr>
        <w:t>. Each Holder shall use reasonable best efforts to timely satisfy each of the covenants hereunder and conditions to be satisfied by it as provided in Section 6 of this Agreement. The Company shall use reasonable best efforts to timely satisfy each of the covenants hereunder and conditions to be satisfied by it as provided in Section 7 of this Agreement.</w:t>
      </w:r>
    </w:p>
    <w:p>
      <w:pPr>
        <w:spacing w:after="0" w:line="151" w:lineRule="exact"/>
        <w:rPr>
          <w:rFonts w:ascii="Times New Roman" w:cs="Times New Roman" w:eastAsia="Times New Roman" w:hAnsi="Times New Roman"/>
          <w:sz w:val="16"/>
          <w:szCs w:val="16"/>
          <w:color w:val="auto"/>
        </w:rPr>
      </w:pPr>
    </w:p>
    <w:p>
      <w:pPr>
        <w:jc w:val="both"/>
        <w:ind w:left="1" w:firstLine="590"/>
        <w:spacing w:after="0" w:line="264" w:lineRule="auto"/>
        <w:tabs>
          <w:tab w:leader="none" w:pos="825"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Blue Sky</w:t>
      </w:r>
      <w:r>
        <w:rPr>
          <w:rFonts w:ascii="Times New Roman" w:cs="Times New Roman" w:eastAsia="Times New Roman" w:hAnsi="Times New Roman"/>
          <w:sz w:val="16"/>
          <w:szCs w:val="16"/>
          <w:color w:val="auto"/>
        </w:rPr>
        <w:t>. The Company shall, on or before the Closing Date take such action as the Company shall reasonably determine is necessary in order to obtain an exemption for, or to, qualify the Securities to be acquired by the Holders at the Closing pursuant to this Agreement under applicable securities or “Blue Sky” laws of the states of the United States (or to obtain an exemption from such qualification), and shall provide evidence of any such action so taken to the Holders on or prior to the Closing Date. Without limiting any other obligation of the Company under this Agreement, the Company shall timely make all filings and reports relating to the issuance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issuance and exchange of the Securities to the Holders.</w:t>
      </w:r>
    </w:p>
    <w:p>
      <w:pPr>
        <w:spacing w:after="0" w:line="363" w:lineRule="exact"/>
        <w:rPr>
          <w:rFonts w:ascii="Times New Roman" w:cs="Times New Roman" w:eastAsia="Times New Roman" w:hAnsi="Times New Roman"/>
          <w:sz w:val="16"/>
          <w:szCs w:val="16"/>
          <w:color w:val="auto"/>
        </w:rPr>
      </w:pPr>
    </w:p>
    <w:p>
      <w:pPr>
        <w:jc w:val="both"/>
        <w:ind w:left="1" w:firstLine="590"/>
        <w:spacing w:after="0" w:line="267" w:lineRule="auto"/>
        <w:tabs>
          <w:tab w:leader="none" w:pos="841"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Reporting Status</w:t>
      </w:r>
      <w:r>
        <w:rPr>
          <w:rFonts w:ascii="Times New Roman" w:cs="Times New Roman" w:eastAsia="Times New Roman" w:hAnsi="Times New Roman"/>
          <w:sz w:val="16"/>
          <w:szCs w:val="16"/>
          <w:color w:val="auto"/>
        </w:rPr>
        <w:t>. Until the earlier of (i) the date upon which the Holders shall have sold all of the Securities and (ii) the one-year anniversary of the termination of the Exchange Notes and full exercise or expiration of the Exchange Warrants (the “</w:t>
      </w:r>
      <w:r>
        <w:rPr>
          <w:rFonts w:ascii="Times New Roman" w:cs="Times New Roman" w:eastAsia="Times New Roman" w:hAnsi="Times New Roman"/>
          <w:sz w:val="16"/>
          <w:szCs w:val="16"/>
          <w:b w:val="1"/>
          <w:bCs w:val="1"/>
          <w:color w:val="auto"/>
        </w:rPr>
        <w:t>Reporting Period</w:t>
      </w:r>
      <w:r>
        <w:rPr>
          <w:rFonts w:ascii="Times New Roman" w:cs="Times New Roman" w:eastAsia="Times New Roman" w:hAnsi="Times New Roman"/>
          <w:sz w:val="16"/>
          <w:szCs w:val="16"/>
          <w:color w:val="auto"/>
        </w:rPr>
        <w:t>”), the Company shall timely file all reports required to be filed with the SEC pursuant to the 1934 Act (reports filed in compliance with the time period specified in Rule 12b-25 promulgated under the 1934 Act shall be considered timely for this purpose), and the Company shall not terminate its status as an issuer required to file reports under the 1934 Act even if the 1934 Act or the rules and regulations thereunder would no longer require or otherwise permit such termination.</w:t>
      </w:r>
    </w:p>
    <w:p>
      <w:pPr>
        <w:spacing w:after="0" w:line="159" w:lineRule="exact"/>
        <w:rPr>
          <w:rFonts w:ascii="Times New Roman" w:cs="Times New Roman" w:eastAsia="Times New Roman" w:hAnsi="Times New Roman"/>
          <w:sz w:val="16"/>
          <w:szCs w:val="16"/>
          <w:color w:val="auto"/>
        </w:rPr>
      </w:pPr>
    </w:p>
    <w:p>
      <w:pPr>
        <w:jc w:val="both"/>
        <w:ind w:left="1" w:firstLine="590"/>
        <w:spacing w:after="0" w:line="262" w:lineRule="auto"/>
        <w:tabs>
          <w:tab w:leader="none" w:pos="825"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Information</w:t>
      </w:r>
      <w:r>
        <w:rPr>
          <w:rFonts w:ascii="Times New Roman" w:cs="Times New Roman" w:eastAsia="Times New Roman" w:hAnsi="Times New Roman"/>
          <w:sz w:val="16"/>
          <w:szCs w:val="16"/>
          <w:color w:val="auto"/>
        </w:rPr>
        <w:t>. The Company agrees to send the following to each Holder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Form S-4) or amendments filed pursuant to the 1933 Act, (ii) unless the following are either filed with the SEC through EDGAR or are otherwise widely disseminated via a recognized news release service (such as PR Newswire), on the same day as the release thereof, facsimile copies of all press releases issued by the Company or any of its Subsidiaries and (iii) unless the following are filed with the SEC through EDGAR, copies of any notices and other information made available or given to the stockholders of the Company generally, contemporaneously with the making available or giving thereof to the stockholders.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06" w:name="page107"/>
    <w:bookmarkEnd w:id="106"/>
    <w:p>
      <w:pPr>
        <w:jc w:val="both"/>
        <w:ind w:firstLine="590"/>
        <w:spacing w:after="0" w:line="263" w:lineRule="auto"/>
        <w:tabs>
          <w:tab w:leader="none" w:pos="81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w:t>
      </w:r>
      <w:r>
        <w:rPr>
          <w:rFonts w:ascii="Times New Roman" w:cs="Times New Roman" w:eastAsia="Times New Roman" w:hAnsi="Times New Roman"/>
          <w:sz w:val="16"/>
          <w:szCs w:val="16"/>
          <w:color w:val="auto"/>
        </w:rPr>
        <w:t>. The Company shall promptly secure the listing or designation for quotation (as the case may be) of all of the Underlying Shares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Underlying Shares from time to time issuable under the terms of the Transaction Documents on such national securities exchange or automated quotation system. The Company shall maintain the Common Stock’s listing or authorization for quotation (as the case may be) on the Principal Market, The New York Stock Exchange, the NYSE American, the Nasdaq Global Market or the Nasdaq Global Select Market (each, an “</w:t>
      </w:r>
      <w:r>
        <w:rPr>
          <w:rFonts w:ascii="Times New Roman" w:cs="Times New Roman" w:eastAsia="Times New Roman" w:hAnsi="Times New Roman"/>
          <w:sz w:val="16"/>
          <w:szCs w:val="16"/>
          <w:b w:val="1"/>
          <w:bCs w:val="1"/>
          <w:color w:val="auto"/>
        </w:rPr>
        <w:t>Eligible Market</w:t>
      </w:r>
      <w:r>
        <w:rPr>
          <w:rFonts w:ascii="Times New Roman" w:cs="Times New Roman" w:eastAsia="Times New Roman" w:hAnsi="Times New Roman"/>
          <w:sz w:val="16"/>
          <w:szCs w:val="16"/>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4(e).</w:t>
      </w:r>
    </w:p>
    <w:p>
      <w:pPr>
        <w:spacing w:after="0" w:line="363" w:lineRule="exact"/>
        <w:rPr>
          <w:rFonts w:ascii="Times New Roman" w:cs="Times New Roman" w:eastAsia="Times New Roman" w:hAnsi="Times New Roman"/>
          <w:sz w:val="16"/>
          <w:szCs w:val="16"/>
          <w:color w:val="auto"/>
        </w:rPr>
      </w:pPr>
    </w:p>
    <w:p>
      <w:pPr>
        <w:jc w:val="both"/>
        <w:ind w:firstLine="590"/>
        <w:spacing w:after="0" w:line="262" w:lineRule="auto"/>
        <w:tabs>
          <w:tab w:leader="none" w:pos="797"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The Company shall pay for the reasonable and documented due diligence and legal fees and expenses incurred by the Holders in connection with the structuring, documentation, negotiation, and closing of the transactions contemplated by the Transaction Documents (and the enforcement thereof by the Holders), including, without limitation, all consultant fees, all reasonable legal fees and disbursements of Latham &amp; Watkins LLP, counsel to the Holders, and due diligence and regulatory filings in connection therewith (the “</w:t>
      </w:r>
      <w:r>
        <w:rPr>
          <w:rFonts w:ascii="Times New Roman" w:cs="Times New Roman" w:eastAsia="Times New Roman" w:hAnsi="Times New Roman"/>
          <w:sz w:val="16"/>
          <w:szCs w:val="16"/>
          <w:b w:val="1"/>
          <w:bCs w:val="1"/>
          <w:color w:val="auto"/>
        </w:rPr>
        <w:t>Transaction Expenses</w:t>
      </w:r>
      <w:r>
        <w:rPr>
          <w:rFonts w:ascii="Times New Roman" w:cs="Times New Roman" w:eastAsia="Times New Roman" w:hAnsi="Times New Roman"/>
          <w:sz w:val="16"/>
          <w:szCs w:val="16"/>
          <w:color w:val="auto"/>
        </w:rPr>
        <w:t>”). The Company shall be responsible for the payment of any placement agent’s fees, financial advisory fees, transfer agent fees,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fees or broker’s commissions incurred solely by the Company and not for Persons engaged by any Holder relating to or arising out of the transactions contemplated hereby. The Company shall pay, and hold each Holder harmless against, any liability, loss or expense (including, without limitation, reasonable attorneys’ fees and reasonable and documented out-of-pocket expenses) arising in connection with any claim relating to any such payment incurred by the Company. Except as otherwise set forth in the Transaction Documents, each party to this Agreement shall bear its own expenses in connection with the exchange of the Exchange Securities to the Holders.</w:t>
      </w:r>
    </w:p>
    <w:p>
      <w:pPr>
        <w:spacing w:after="0" w:line="164" w:lineRule="exact"/>
        <w:rPr>
          <w:rFonts w:ascii="Times New Roman" w:cs="Times New Roman" w:eastAsia="Times New Roman" w:hAnsi="Times New Roman"/>
          <w:sz w:val="16"/>
          <w:szCs w:val="16"/>
          <w:color w:val="auto"/>
        </w:rPr>
      </w:pPr>
    </w:p>
    <w:p>
      <w:pPr>
        <w:jc w:val="both"/>
        <w:ind w:firstLine="590"/>
        <w:spacing w:after="0" w:line="263" w:lineRule="auto"/>
        <w:tabs>
          <w:tab w:leader="none" w:pos="824"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Pledge of Securities</w:t>
      </w:r>
      <w:r>
        <w:rPr>
          <w:rFonts w:ascii="Times New Roman" w:cs="Times New Roman" w:eastAsia="Times New Roman" w:hAnsi="Times New Roman"/>
          <w:sz w:val="16"/>
          <w:szCs w:val="16"/>
          <w:color w:val="auto"/>
        </w:rPr>
        <w:t>. Notwithstanding anything to the contrary contained in this Agreement, the Company acknowledges and agrees that the Securities may be pledged by a Holder in connection with a bona fide margin agreement or other loan or financing arrangement that is secured by the Securities. The pledge of Securities shall not be deemed to be a transfer, sale or assignment of the Securities hereunder, and no Holder effecting a pledge of Securities shall be required to provide the Company with any notice thereof or otherwise make any delivery to the Company pursuant to this Agreement or any other Transaction Document, including, without limitation, Section 2(h) hereof; provided that a Holder and its pledgee shall be required to comply with the provisions of Section 2(h) hereof in order to effect a sale, transfer or assignment of Securities to such pledgee. The Company hereby agrees to execute and deliver such documentation as a pledgee of the Securities may reasonably request in connection with a pledge of the Securities to such pledgee by a Holder.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7" w:name="page108"/>
    <w:bookmarkEnd w:id="107"/>
    <w:p>
      <w:pPr>
        <w:ind w:left="230" w:hanging="230"/>
        <w:spacing w:after="0"/>
        <w:tabs>
          <w:tab w:leader="none" w:pos="23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of Transactions and Other Material Information</w:t>
      </w:r>
      <w:r>
        <w:rPr>
          <w:rFonts w:ascii="Times New Roman" w:cs="Times New Roman" w:eastAsia="Times New Roman" w:hAnsi="Times New Roman"/>
          <w:sz w:val="16"/>
          <w:szCs w:val="16"/>
          <w:color w:val="auto"/>
        </w:rPr>
        <w:t>.</w:t>
      </w:r>
    </w:p>
    <w:p>
      <w:pPr>
        <w:spacing w:after="0" w:line="206" w:lineRule="exact"/>
        <w:rPr>
          <w:rFonts w:ascii="Times New Roman" w:cs="Times New Roman" w:eastAsia="Times New Roman" w:hAnsi="Times New Roman"/>
          <w:sz w:val="16"/>
          <w:szCs w:val="16"/>
          <w:color w:val="auto"/>
        </w:rPr>
      </w:pPr>
    </w:p>
    <w:p>
      <w:pPr>
        <w:jc w:val="both"/>
        <w:ind w:left="10" w:firstLine="582"/>
        <w:spacing w:after="0" w:line="271" w:lineRule="auto"/>
        <w:tabs>
          <w:tab w:leader="none" w:pos="798"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of Transaction</w:t>
      </w:r>
      <w:r>
        <w:rPr>
          <w:rFonts w:ascii="Times New Roman" w:cs="Times New Roman" w:eastAsia="Times New Roman" w:hAnsi="Times New Roman"/>
          <w:sz w:val="16"/>
          <w:szCs w:val="16"/>
          <w:color w:val="auto"/>
        </w:rPr>
        <w:t>. No later than 9:30 a.m., New York time, on the date of this Agreement, the Company shall issue a press release (the “</w:t>
      </w:r>
      <w:r>
        <w:rPr>
          <w:rFonts w:ascii="Times New Roman" w:cs="Times New Roman" w:eastAsia="Times New Roman" w:hAnsi="Times New Roman"/>
          <w:sz w:val="16"/>
          <w:szCs w:val="16"/>
          <w:b w:val="1"/>
          <w:bCs w:val="1"/>
          <w:color w:val="auto"/>
        </w:rPr>
        <w:t>Press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Release</w:t>
      </w:r>
      <w:r>
        <w:rPr>
          <w:rFonts w:ascii="Times New Roman" w:cs="Times New Roman" w:eastAsia="Times New Roman" w:hAnsi="Times New Roman"/>
          <w:sz w:val="16"/>
          <w:szCs w:val="16"/>
          <w:color w:val="auto"/>
        </w:rPr>
        <w:t>”) reasonably acceptable to the Holders disclosing all the material terms of the transactions contemplated by the Transaction Documents. No later than</w:t>
      </w:r>
    </w:p>
    <w:p>
      <w:pPr>
        <w:jc w:val="both"/>
        <w:ind w:left="10"/>
        <w:spacing w:after="0" w:line="242" w:lineRule="auto"/>
        <w:rPr>
          <w:sz w:val="20"/>
          <w:szCs w:val="20"/>
          <w:color w:val="auto"/>
        </w:rPr>
      </w:pPr>
      <w:r>
        <w:rPr>
          <w:rFonts w:ascii="Times New Roman" w:cs="Times New Roman" w:eastAsia="Times New Roman" w:hAnsi="Times New Roman"/>
          <w:sz w:val="16"/>
          <w:szCs w:val="16"/>
          <w:color w:val="auto"/>
        </w:rPr>
        <w:t>5:30 p.m., New York time, on the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(the “</w:t>
      </w:r>
      <w:r>
        <w:rPr>
          <w:rFonts w:ascii="Times New Roman" w:cs="Times New Roman" w:eastAsia="Times New Roman" w:hAnsi="Times New Roman"/>
          <w:sz w:val="16"/>
          <w:szCs w:val="16"/>
          <w:b w:val="1"/>
          <w:bCs w:val="1"/>
          <w:color w:val="auto"/>
        </w:rPr>
        <w:t>8-K Filing</w:t>
      </w:r>
      <w:r>
        <w:rPr>
          <w:rFonts w:ascii="Times New Roman" w:cs="Times New Roman" w:eastAsia="Times New Roman" w:hAnsi="Times New Roman"/>
          <w:sz w:val="16"/>
          <w:szCs w:val="16"/>
          <w:color w:val="auto"/>
        </w:rPr>
        <w:t>”). From and after the issuance of the Press Release, the Company shall have disclosed all material, non-public information (if any) provided to any of the Holders by the Company or any of its Subsidiaries or any of their respective officers, directors, employees or agents. In addition, effective upon the issuance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Holders or any of their affiliates, on the other hand, terminated and none of the Holders have been subject to any such obligation since the issuance of the Press Release.</w:t>
      </w:r>
    </w:p>
    <w:p>
      <w:pPr>
        <w:spacing w:after="0" w:line="183" w:lineRule="exact"/>
        <w:rPr>
          <w:sz w:val="20"/>
          <w:szCs w:val="20"/>
          <w:color w:val="auto"/>
        </w:rPr>
      </w:pPr>
    </w:p>
    <w:p>
      <w:pPr>
        <w:jc w:val="both"/>
        <w:ind w:left="10" w:firstLine="582"/>
        <w:spacing w:after="0" w:line="258" w:lineRule="auto"/>
        <w:tabs>
          <w:tab w:leader="none" w:pos="843"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Disclosure</w:t>
      </w:r>
      <w:r>
        <w:rPr>
          <w:rFonts w:ascii="Times New Roman" w:cs="Times New Roman" w:eastAsia="Times New Roman" w:hAnsi="Times New Roman"/>
          <w:sz w:val="16"/>
          <w:szCs w:val="16"/>
          <w:color w:val="auto"/>
        </w:rPr>
        <w:t>. Other than as required under the Transaction Documents (but subject to any other disclosure obligations of the Company with respect thereto), the Company shall not, and the Company shall cause each of its Subsidiaries and each of its and their respective officers, directors, employees and agents not to, provide any Holder with any material, non-public information regarding the Company or any of its Subsidiaries from and after the date hereof unless prior thereto such Holder shall have consented in writing to the receipt of such information and agreed with the Company to keep such information confidential. If any material, non-public information is required to be provided by the Company or any of its Subsidiaries to any Holder pursuant to the Transaction Documents, the Company shall obtain each Holder’s prior written consent prior to providing such information to such Holder, and if any Holder fails to provide such written consent, the Company shall not be deemed to be in breach of any of the Transaction Documents as a result of the failure to provide such information. To the extent that the Company delivers any material, non-public information to a Holder without such Holder’s prior written consent in breach of the foregoing sentence, the Company hereby covenants and agrees that such Holder shall not have any duty of confidentiality with respect to, or a duty not to trade on the basis of, such material, non-public information, provided that the Holder shall remain subject to applicable law. Subject to the foregoing, neither the Company, its Subsidiaries nor any Holder shall issue any press releases or any other public statements with respect to the transactions contemplated hereby; provided, however, the Company shall be entitled, without the prior approval of any Holder, to make any press release or other public disclosure with respect to such transactions (i) in substantial conformity with the 8-K Filing and (ii) as is required by applicable law and regulations (provided that in the case of clause</w:t>
      </w:r>
    </w:p>
    <w:p>
      <w:pPr>
        <w:spacing w:after="0" w:line="9" w:lineRule="exact"/>
        <w:rPr>
          <w:rFonts w:ascii="Times New Roman" w:cs="Times New Roman" w:eastAsia="Times New Roman" w:hAnsi="Times New Roman"/>
          <w:sz w:val="16"/>
          <w:szCs w:val="16"/>
          <w:color w:val="auto"/>
        </w:rPr>
      </w:pPr>
    </w:p>
    <w:p>
      <w:pPr>
        <w:jc w:val="both"/>
        <w:ind w:left="10" w:hanging="10"/>
        <w:spacing w:after="0" w:line="259" w:lineRule="auto"/>
        <w:tabs>
          <w:tab w:leader="none" w:pos="21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each Holder shall be consulted by the Company in connection with any such press release or other public disclosure prior to its release). Without the prior written consent of the applicable Holder (which may be granted or withheld in such Holder’s sole discretion), the Company shall not (and shall cause each of its Subsidiaries and affiliates to not) disclose the name of such Holder in any filing, announcement, release or otherwise, except in the 8-K Filing and as otherwise may be required by applicable law or regulations. Notwithstanding anything contained in this Agreement to the contrary and without implication that the contrary would otherwise be true, the Company expressly acknowledges and agrees that no Holder shall have (unless expressly agreed to by a particular Holder after the date hereof in a written definitive and binding agreement executed by the Company and such particular Holder (it being understood and agreed that no Holder may bind any other Holder with respect thereto)), any duty of confidentiality with respect to, or a duty not to trade on the basis of, any material, non-public information regarding the Company or any of its Subsidiaries.</w:t>
      </w:r>
    </w:p>
    <w:p>
      <w:pPr>
        <w:spacing w:after="0" w:line="366"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19050</wp:posOffset>
            </wp:positionV>
            <wp:extent cx="714438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0"/>
          </w:cols>
          <w:pgMar w:left="910" w:top="838" w:right="339" w:bottom="1440" w:gutter="0" w:footer="0" w:header="0"/>
        </w:sectPr>
      </w:pPr>
    </w:p>
    <w:bookmarkStart w:id="108" w:name="page109"/>
    <w:bookmarkEnd w:id="108"/>
    <w:p>
      <w:pPr>
        <w:ind w:left="190" w:hanging="190"/>
        <w:spacing w:after="0"/>
        <w:tabs>
          <w:tab w:leader="none" w:pos="19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Issuance of Securities</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jc w:val="both"/>
        <w:ind w:left="10" w:firstLine="582"/>
        <w:spacing w:after="0" w:line="259" w:lineRule="auto"/>
        <w:tabs>
          <w:tab w:leader="none" w:pos="798"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that for the period commencing on the date hereof and ending on the date immediately following the 90th calendar day after the Closing Date (the “</w:t>
      </w:r>
      <w:r>
        <w:rPr>
          <w:rFonts w:ascii="Times New Roman" w:cs="Times New Roman" w:eastAsia="Times New Roman" w:hAnsi="Times New Roman"/>
          <w:sz w:val="16"/>
          <w:szCs w:val="16"/>
          <w:b w:val="1"/>
          <w:bCs w:val="1"/>
          <w:color w:val="auto"/>
        </w:rPr>
        <w:t>Restricted Period</w:t>
      </w:r>
      <w:r>
        <w:rPr>
          <w:rFonts w:ascii="Times New Roman" w:cs="Times New Roman" w:eastAsia="Times New Roman" w:hAnsi="Times New Roman"/>
          <w:sz w:val="16"/>
          <w:szCs w:val="16"/>
          <w:color w:val="auto"/>
        </w:rPr>
        <w:t>”), neither the Company nor any of its Subsidiaries shall directly or indirectly issue, offer, sell, grant any option or right to purchase, or otherwise dispose of (or register or amend any outstanding registration statements or file any shelf registration statements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any preferred stock or any purchase rights). Notwithstanding the foregoing, this Section 4(i)(i) shall not apply (A) during a Restricted Period in respect of (i) the issuance of Options or Convertible Securities issued under any Approved Stock Plan, so long as the aggregate number of shares issued and issuable pursuant thereto does not exceed 5% of the Common Stock issued and outstanding immediately prior to the date hereof or (ii) the issuances of Underlying Shares, (B) to Common Stock issued as consideration in acquisitions approved by the Board of Directors; provided such issuance shall only be to a Person (or to the equity 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provided further that such Common Stock is subject to restrictions on transfer during the Restricted Period and are not registered for resale during the Restricted Period, (C) to the issuance of shares during the Restricted Periods pursuant to any “at-the-market” program within the meaning of Rule 415(a)(4) of the Securities Act or (D) to the Qualified Equity Financing (as defined in the Note). An “Approved Stock Plan” means any security-based compensation plan which has been approved by the Board of Directors of the Company prior to the date hereof, or any security-based compensation plan which is approved by the Board of Directors or the compensation committee thereof and the stockholders of the Company after the date hereof, pursuant to which shares of Common Stock, options to purchase Common Stock and other incentive equity awards may be issued to any employee, officer, consultant or director for services provided to the Company in their capacity as such, and not for the purpose of raising capital, pursuant to any consulting agreement, advisory agreement or independent contractor agreement approved by the Board of Directors or the compensation committee thereof.</w:t>
      </w:r>
    </w:p>
    <w:p>
      <w:pPr>
        <w:spacing w:after="0" w:line="368" w:lineRule="exact"/>
        <w:rPr>
          <w:rFonts w:ascii="Times New Roman" w:cs="Times New Roman" w:eastAsia="Times New Roman" w:hAnsi="Times New Roman"/>
          <w:sz w:val="16"/>
          <w:szCs w:val="16"/>
          <w:color w:val="auto"/>
        </w:rPr>
      </w:pPr>
    </w:p>
    <w:p>
      <w:pPr>
        <w:jc w:val="both"/>
        <w:ind w:left="10" w:firstLine="582"/>
        <w:spacing w:after="0" w:line="268" w:lineRule="auto"/>
        <w:tabs>
          <w:tab w:leader="none" w:pos="868"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Exchange Notes remain outstanding, the Company and each Subsidiary shall be prohibited from effecting, or entering into an agreement directly or indirectly to effect a Variable Rate Transaction. “</w:t>
      </w:r>
      <w:r>
        <w:rPr>
          <w:rFonts w:ascii="Times New Roman" w:cs="Times New Roman" w:eastAsia="Times New Roman" w:hAnsi="Times New Roman"/>
          <w:sz w:val="16"/>
          <w:szCs w:val="16"/>
          <w:b w:val="1"/>
          <w:bCs w:val="1"/>
          <w:color w:val="auto"/>
        </w:rPr>
        <w:t>Variable Rate Transaction</w:t>
      </w:r>
      <w:r>
        <w:rPr>
          <w:rFonts w:ascii="Times New Roman" w:cs="Times New Roman" w:eastAsia="Times New Roman" w:hAnsi="Times New Roman"/>
          <w:sz w:val="16"/>
          <w:szCs w:val="16"/>
          <w:color w:val="auto"/>
        </w:rPr>
        <w:t>” means a transaction in which the Company or any Subsidiary</w:t>
      </w:r>
    </w:p>
    <w:p>
      <w:pPr>
        <w:jc w:val="both"/>
        <w:ind w:left="10" w:hanging="10"/>
        <w:spacing w:after="0" w:line="257" w:lineRule="auto"/>
        <w:tabs>
          <w:tab w:leader="none" w:pos="213"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customary adjustments for stock splits, stock dividends, stock combinations, recapitalizations and similar events or (ii) enters into any agreement (including, without limitation, an equity line of credit) whereby the Company or any Subsidiary may sell securities at a future determined price;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for avoidance of doubt</w:t>
      </w:r>
    </w:p>
    <w:p>
      <w:pPr>
        <w:jc w:val="both"/>
        <w:ind w:left="10" w:hanging="10"/>
        <w:spacing w:after="0" w:line="274" w:lineRule="auto"/>
        <w:tabs>
          <w:tab w:leader="none" w:pos="253"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into any “at-the-market” offering within the meaning of Rule 415(a)(4) of the Securities Act (an “</w:t>
      </w:r>
      <w:r>
        <w:rPr>
          <w:rFonts w:ascii="Times New Roman" w:cs="Times New Roman" w:eastAsia="Times New Roman" w:hAnsi="Times New Roman"/>
          <w:sz w:val="16"/>
          <w:szCs w:val="16"/>
          <w:b w:val="1"/>
          <w:bCs w:val="1"/>
          <w:color w:val="auto"/>
        </w:rPr>
        <w:t>ATM Issuance</w:t>
      </w:r>
      <w:r>
        <w:rPr>
          <w:rFonts w:ascii="Times New Roman" w:cs="Times New Roman" w:eastAsia="Times New Roman" w:hAnsi="Times New Roman"/>
          <w:sz w:val="16"/>
          <w:szCs w:val="16"/>
          <w:color w:val="auto"/>
        </w:rPr>
        <w:t>”) whereby the Company or any Subsidiary may sell securities at a future determined price and any issuance of any securities pursuant thereto, shall not be considered a “Variable Rate Transaction”.</w:t>
      </w:r>
    </w:p>
    <w:p>
      <w:pPr>
        <w:spacing w:after="0" w:line="351" w:lineRule="exact"/>
        <w:rPr>
          <w:rFonts w:ascii="Times New Roman" w:cs="Times New Roman" w:eastAsia="Times New Roman" w:hAnsi="Times New Roman"/>
          <w:sz w:val="16"/>
          <w:szCs w:val="16"/>
          <w:color w:val="auto"/>
        </w:rPr>
      </w:pPr>
    </w:p>
    <w:p>
      <w:pPr>
        <w:jc w:val="both"/>
        <w:ind w:left="10" w:firstLine="582"/>
        <w:spacing w:after="0" w:line="277" w:lineRule="auto"/>
        <w:tabs>
          <w:tab w:leader="none" w:pos="889"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Exchange Notes or Exchange Warrants remain outstanding, the Company will not, without the prior written consent of the Required Holders (as defined below), issue any Exchange Notes or Exchange Warrants (other than to the Holders as contemplated hereby) and the Company shall not issue any other securities that would cause a breach or default under the Exchange Notes or the Exchange Warrants.</w:t>
      </w:r>
    </w:p>
    <w:p>
      <w:pPr>
        <w:spacing w:after="0" w:line="349"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19050</wp:posOffset>
            </wp:positionV>
            <wp:extent cx="714438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0"/>
          </w:cols>
          <w:pgMar w:left="910" w:top="838" w:right="339" w:bottom="1440" w:gutter="0" w:footer="0" w:header="0"/>
        </w:sectPr>
      </w:pPr>
    </w:p>
    <w:bookmarkStart w:id="109" w:name="page110"/>
    <w:bookmarkEnd w:id="109"/>
    <w:p>
      <w:pPr>
        <w:ind w:left="600" w:firstLine="582"/>
        <w:spacing w:after="0" w:line="296" w:lineRule="auto"/>
        <w:tabs>
          <w:tab w:leader="none" w:pos="1470"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Holder shall be entitled to obtain injunctive relief against the Company and its Subsidiaries to preclude any issuance prohibited by this Section 4(i), which remedy shall be in addition to any right to collect damages.</w:t>
      </w:r>
    </w:p>
    <w:p>
      <w:pPr>
        <w:spacing w:after="0" w:line="137" w:lineRule="exact"/>
        <w:rPr>
          <w:rFonts w:ascii="Times New Roman" w:cs="Times New Roman" w:eastAsia="Times New Roman" w:hAnsi="Times New Roman"/>
          <w:sz w:val="16"/>
          <w:szCs w:val="16"/>
          <w:color w:val="auto"/>
        </w:rPr>
      </w:pPr>
    </w:p>
    <w:p>
      <w:pPr>
        <w:jc w:val="both"/>
        <w:ind w:firstLine="590"/>
        <w:spacing w:after="0" w:line="259" w:lineRule="auto"/>
        <w:tabs>
          <w:tab w:leader="none" w:pos="787"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Reservation of Shares</w:t>
      </w:r>
      <w:r>
        <w:rPr>
          <w:rFonts w:ascii="Times New Roman" w:cs="Times New Roman" w:eastAsia="Times New Roman" w:hAnsi="Times New Roman"/>
          <w:sz w:val="16"/>
          <w:szCs w:val="16"/>
          <w:color w:val="auto"/>
        </w:rPr>
        <w:t>. So long as any of the Exchange Warrants or the Exchange Notes remain outstanding, the Company shall at all times have no less than a number of shares of authorized but unissued Common Stock equal to the sum of (x) 100% of the maximum number of shares of Common Stock as shall be necessary to satisfy the Company’s obligation to issue shares of Common Stock under the Exchange Warrants then outstanding, reserved for the purposes of issuance pursuant to the Exchange Warrants, plus (y) an additional twenty million (20,000,000) unreserved shares of Common Stock (collectively, the “</w:t>
      </w:r>
      <w:r>
        <w:rPr>
          <w:rFonts w:ascii="Times New Roman" w:cs="Times New Roman" w:eastAsia="Times New Roman" w:hAnsi="Times New Roman"/>
          <w:sz w:val="16"/>
          <w:szCs w:val="16"/>
          <w:b w:val="1"/>
          <w:bCs w:val="1"/>
          <w:color w:val="auto"/>
        </w:rPr>
        <w:t>Required Reserve Amount</w:t>
      </w:r>
      <w:r>
        <w:rPr>
          <w:rFonts w:ascii="Times New Roman" w:cs="Times New Roman" w:eastAsia="Times New Roman" w:hAnsi="Times New Roman"/>
          <w:sz w:val="16"/>
          <w:szCs w:val="16"/>
          <w:color w:val="auto"/>
        </w:rPr>
        <w:t>”); provided that at no time shall the number of shares of Common Stock reserved pursuant to this Section 4(j) be reduced other than in connection with any stock combination, reverse stock split or other similar transaction or proportionally in connection with any issuance of Underlying Shares pursuant to the Exchange Warrants. The amounts set forth in clause (x) of the definition of Required Reserve Amount (including, without limitation, each increase in the number of shares so reserved) shall be allocated pro rata among the holders of the Exchange Notes based on the number of shares of Common Stock issuable upon conversion of the Exchange Warrants held by each holder thereof on the date of issuance of the Exchange Notes (without regards to any limitations on conversion) (collectively, the “</w:t>
      </w:r>
      <w:r>
        <w:rPr>
          <w:rFonts w:ascii="Times New Roman" w:cs="Times New Roman" w:eastAsia="Times New Roman" w:hAnsi="Times New Roman"/>
          <w:sz w:val="16"/>
          <w:szCs w:val="16"/>
          <w:b w:val="1"/>
          <w:bCs w:val="1"/>
          <w:color w:val="auto"/>
        </w:rPr>
        <w:t>Authorized Share Allocation</w:t>
      </w:r>
      <w:r>
        <w:rPr>
          <w:rFonts w:ascii="Times New Roman" w:cs="Times New Roman" w:eastAsia="Times New Roman" w:hAnsi="Times New Roman"/>
          <w:sz w:val="16"/>
          <w:szCs w:val="16"/>
          <w:color w:val="auto"/>
        </w:rPr>
        <w:t>”). In the event that a holder shall sell or otherwise transfer any of such holder’s Exchange Notes, each transferee shall be allocated a pro rata portion of such holder’s Authorized Share Allocation. Any shares of Common Stock reserved and allocated to any Person which ceases to hold any Exchange Notes shall be allocated to the remaining holders of the Exchange Notes, pro rata based on the number of shares of Common Stock issuable upon conversion of the Exchange Warrants then held by such holders thereof (without regard to any limitations on conversion).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370" w:lineRule="exact"/>
        <w:rPr>
          <w:rFonts w:ascii="Times New Roman" w:cs="Times New Roman" w:eastAsia="Times New Roman" w:hAnsi="Times New Roman"/>
          <w:sz w:val="16"/>
          <w:szCs w:val="16"/>
          <w:color w:val="auto"/>
        </w:rPr>
      </w:pPr>
    </w:p>
    <w:p>
      <w:pPr>
        <w:jc w:val="both"/>
        <w:ind w:firstLine="590"/>
        <w:spacing w:after="0" w:line="260" w:lineRule="auto"/>
        <w:tabs>
          <w:tab w:leader="none" w:pos="82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Requisite Stockholder Approval</w:t>
      </w:r>
      <w:r>
        <w:rPr>
          <w:rFonts w:ascii="Times New Roman" w:cs="Times New Roman" w:eastAsia="Times New Roman" w:hAnsi="Times New Roman"/>
          <w:sz w:val="16"/>
          <w:szCs w:val="16"/>
          <w:color w:val="auto"/>
        </w:rPr>
        <w:t>. Following the Closing, the Company agrees to use reasonable best efforts to obtain, at the next meeting (annual or special) of the stockholders of the Company (at which a quorum is present), but in no event later than June 30, 2023 (the “</w:t>
      </w:r>
      <w:r>
        <w:rPr>
          <w:rFonts w:ascii="Times New Roman" w:cs="Times New Roman" w:eastAsia="Times New Roman" w:hAnsi="Times New Roman"/>
          <w:sz w:val="16"/>
          <w:szCs w:val="16"/>
          <w:b w:val="1"/>
          <w:bCs w:val="1"/>
          <w:color w:val="auto"/>
        </w:rPr>
        <w:t>Stockholder Meeting</w:t>
      </w:r>
      <w:r>
        <w:rPr>
          <w:rFonts w:ascii="Times New Roman" w:cs="Times New Roman" w:eastAsia="Times New Roman" w:hAnsi="Times New Roman"/>
          <w:sz w:val="16"/>
          <w:szCs w:val="16"/>
          <w:color w:val="auto"/>
        </w:rPr>
        <w:t>”), the Requisite Stockholder Approval (as defined below). The Company will prepare and file with the SEC a proxy statement to be sent to the Company’s stockholders in connection with the Stockholder Meeting (the “</w:t>
      </w:r>
      <w:r>
        <w:rPr>
          <w:rFonts w:ascii="Times New Roman" w:cs="Times New Roman" w:eastAsia="Times New Roman" w:hAnsi="Times New Roman"/>
          <w:sz w:val="16"/>
          <w:szCs w:val="16"/>
          <w:b w:val="1"/>
          <w:bCs w:val="1"/>
          <w:color w:val="auto"/>
        </w:rPr>
        <w:t>Proxy Statement</w:t>
      </w:r>
      <w:r>
        <w:rPr>
          <w:rFonts w:ascii="Times New Roman" w:cs="Times New Roman" w:eastAsia="Times New Roman" w:hAnsi="Times New Roman"/>
          <w:sz w:val="16"/>
          <w:szCs w:val="16"/>
          <w:color w:val="auto"/>
        </w:rPr>
        <w:t>”). The Proxy Statement shall include the Board of Directors’ recommendation that the holders of shares of the Company’s Common Stock vote in favor of the Requisite Stockholder Approval. If the Requisite Stockholder Approval is not obtained at or prior to the Stockholder Meeting, the Company will hold a special meeting of the stockholders of the Company for the purposes of obtaining such Requisite Stockholder Approval no less often than every ninety (90) days following the date of the Stockholder Meeting until the Requisite Stockholder Approval is obtained, and the Board of Directors will recommend that the holders of shares of the Company’s Common Stock vote in favor of the Requisite Stockholder Approval at each such meeting. As used herein, “</w:t>
      </w:r>
      <w:r>
        <w:rPr>
          <w:rFonts w:ascii="Times New Roman" w:cs="Times New Roman" w:eastAsia="Times New Roman" w:hAnsi="Times New Roman"/>
          <w:sz w:val="16"/>
          <w:szCs w:val="16"/>
          <w:b w:val="1"/>
          <w:bCs w:val="1"/>
          <w:color w:val="auto"/>
        </w:rPr>
        <w:t>Requisite 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Approval</w:t>
      </w:r>
      <w:r>
        <w:rPr>
          <w:rFonts w:ascii="Times New Roman" w:cs="Times New Roman" w:eastAsia="Times New Roman" w:hAnsi="Times New Roman"/>
          <w:sz w:val="16"/>
          <w:szCs w:val="16"/>
          <w:color w:val="auto"/>
        </w:rPr>
        <w:t>” means the stockholder approval contemplated by Nasdaq Listing Rule 5635(d) with respect to the issuance of shares of Common Stock pursuant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Exchange Warrants in excess of the limitations imposed by such rule; provided, however, that the Requisite Stockholder Approval will be deemed to be obtained if, due to any amendment or binding change in the interpretation of the applicable listing standards of the Nasdaq Capital Market, such stockholder approval is no longer required for the Company to issue shares Common Stock pursuant to the Warrants.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10" w:name="page111"/>
    <w:bookmarkEnd w:id="110"/>
    <w:p>
      <w:pPr>
        <w:ind w:firstLine="590"/>
        <w:spacing w:after="0" w:line="296" w:lineRule="auto"/>
        <w:tabs>
          <w:tab w:leader="none" w:pos="8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None of the Company or any of its Subsidiaries shall violate any law, ordinance or regulation of any Governmental Entity, except where such violations would not reasonably be expected to result, either individually or in the aggregate, in a Material Adverse Effect.</w:t>
      </w:r>
    </w:p>
    <w:p>
      <w:pPr>
        <w:spacing w:after="0" w:line="137" w:lineRule="exact"/>
        <w:rPr>
          <w:rFonts w:ascii="Times New Roman" w:cs="Times New Roman" w:eastAsia="Times New Roman" w:hAnsi="Times New Roman"/>
          <w:sz w:val="16"/>
          <w:szCs w:val="16"/>
          <w:color w:val="auto"/>
        </w:rPr>
      </w:pPr>
    </w:p>
    <w:p>
      <w:pPr>
        <w:ind w:firstLine="590"/>
        <w:spacing w:after="0" w:line="296" w:lineRule="auto"/>
        <w:tabs>
          <w:tab w:leader="none" w:pos="882"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Passive Foreign Investment Company</w:t>
      </w:r>
      <w:r>
        <w:rPr>
          <w:rFonts w:ascii="Times New Roman" w:cs="Times New Roman" w:eastAsia="Times New Roman" w:hAnsi="Times New Roman"/>
          <w:sz w:val="16"/>
          <w:szCs w:val="16"/>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37" w:lineRule="exact"/>
        <w:rPr>
          <w:rFonts w:ascii="Times New Roman" w:cs="Times New Roman" w:eastAsia="Times New Roman" w:hAnsi="Times New Roman"/>
          <w:sz w:val="16"/>
          <w:szCs w:val="16"/>
          <w:color w:val="auto"/>
        </w:rPr>
      </w:pPr>
    </w:p>
    <w:p>
      <w:pPr>
        <w:jc w:val="both"/>
        <w:ind w:firstLine="590"/>
        <w:spacing w:after="0" w:line="263" w:lineRule="auto"/>
        <w:tabs>
          <w:tab w:leader="none" w:pos="82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 on Redemption and Cash Dividends</w:t>
      </w:r>
      <w:r>
        <w:rPr>
          <w:rFonts w:ascii="Times New Roman" w:cs="Times New Roman" w:eastAsia="Times New Roman" w:hAnsi="Times New Roman"/>
          <w:sz w:val="16"/>
          <w:szCs w:val="16"/>
          <w:color w:val="auto"/>
        </w:rPr>
        <w:t>. So long as any of the Exchange Notes are outstanding, except as otherwise permitted under the Exchange Notes, the Company shall not, directly or indirectly, redeem, or declare or pay any cash dividend or distribution on, any securities of the Company without the prior express written consent of the Required Holders (other than as required by the Exchange Notes or as required by the terms thereof as in effect on the date hereof); provided, however, that such written consent shall not be required for any repurchases, forfeitures, withholdings or transfers of securities pursuant to a net exercise of a Convertible Security to cover the payment of the exercise prices or the payment of withholding of taxes associated with the exercise or vesting of equity awards under any equity compensation plan of the Company or repurchases of Common Stock upon an employee’s, contractor’s or consultant’s termination of services pursuant to agreements outstanding as of the date of this Agreement.</w:t>
      </w:r>
    </w:p>
    <w:p>
      <w:pPr>
        <w:spacing w:after="0" w:line="166" w:lineRule="exact"/>
        <w:rPr>
          <w:rFonts w:ascii="Times New Roman" w:cs="Times New Roman" w:eastAsia="Times New Roman" w:hAnsi="Times New Roman"/>
          <w:sz w:val="16"/>
          <w:szCs w:val="16"/>
          <w:color w:val="auto"/>
        </w:rPr>
      </w:pPr>
    </w:p>
    <w:p>
      <w:pPr>
        <w:jc w:val="both"/>
        <w:ind w:firstLine="590"/>
        <w:spacing w:after="0" w:line="274" w:lineRule="auto"/>
        <w:tabs>
          <w:tab w:leader="none" w:pos="82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Corporate Existence</w:t>
      </w:r>
      <w:r>
        <w:rPr>
          <w:rFonts w:ascii="Times New Roman" w:cs="Times New Roman" w:eastAsia="Times New Roman" w:hAnsi="Times New Roman"/>
          <w:sz w:val="16"/>
          <w:szCs w:val="16"/>
          <w:color w:val="auto"/>
        </w:rPr>
        <w:t>. So long as any Exchange Notes or Exchange Warrants remain outstanding, the Company shall not be party to any Fundamental Change (as defined in the Exchange Notes) or a Fundamental Transaction (as defined in the Exchange Warrants) unless the Company is in compliance with the applicable provisions governing Fundamental Changes set forth in the Exchange Notes and the applicable provisions governing Fundamental Transactions set forth in the Exchange Warrants.</w:t>
      </w:r>
    </w:p>
    <w:p>
      <w:pPr>
        <w:spacing w:after="0" w:line="355" w:lineRule="exact"/>
        <w:rPr>
          <w:rFonts w:ascii="Times New Roman" w:cs="Times New Roman" w:eastAsia="Times New Roman" w:hAnsi="Times New Roman"/>
          <w:sz w:val="16"/>
          <w:szCs w:val="16"/>
          <w:color w:val="auto"/>
        </w:rPr>
      </w:pPr>
    </w:p>
    <w:p>
      <w:pPr>
        <w:jc w:val="both"/>
        <w:ind w:firstLine="590"/>
        <w:spacing w:after="0" w:line="267" w:lineRule="auto"/>
        <w:tabs>
          <w:tab w:leader="none" w:pos="82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Procedures</w:t>
      </w:r>
      <w:r>
        <w:rPr>
          <w:rFonts w:ascii="Times New Roman" w:cs="Times New Roman" w:eastAsia="Times New Roman" w:hAnsi="Times New Roman"/>
          <w:sz w:val="16"/>
          <w:szCs w:val="16"/>
          <w:color w:val="auto"/>
        </w:rPr>
        <w:t>. The form of exercise notice included in the Exchange Warrants sets forth the totality of the procedures required of the Holders in order to exercise the Exchange Warrants. Except as set forth in Section 5(c), no additional legal opinion, other information or instructions shall be required of the Holders to exercise their Exchange Warrants. The Company shall honor exercises of the Exchange Warrants and shall deliver the Underlying Shares in accordance with the terms, conditions and time periods set forth in the Exchange Warrants. Except as explicitly set forth in the Exchange Warrants, no legal opinion, information or instructions shall be required of the Holders to receive Underlying Shares pursuant to the Exchange Warrants.</w:t>
      </w:r>
    </w:p>
    <w:p>
      <w:pPr>
        <w:spacing w:after="0" w:line="159" w:lineRule="exact"/>
        <w:rPr>
          <w:rFonts w:ascii="Times New Roman" w:cs="Times New Roman" w:eastAsia="Times New Roman" w:hAnsi="Times New Roman"/>
          <w:sz w:val="16"/>
          <w:szCs w:val="16"/>
          <w:color w:val="auto"/>
        </w:rPr>
      </w:pPr>
    </w:p>
    <w:p>
      <w:pPr>
        <w:ind w:firstLine="590"/>
        <w:spacing w:after="0" w:line="296" w:lineRule="auto"/>
        <w:tabs>
          <w:tab w:leader="none" w:pos="82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Regulation M</w:t>
      </w:r>
      <w:r>
        <w:rPr>
          <w:rFonts w:ascii="Times New Roman" w:cs="Times New Roman" w:eastAsia="Times New Roman" w:hAnsi="Times New Roman"/>
          <w:sz w:val="16"/>
          <w:szCs w:val="16"/>
          <w:color w:val="auto"/>
        </w:rPr>
        <w:t>. The Company will not take any action prohibited by Regulation M under the 1934 Act, in connection with the distribution of the Securities contemplated hereby.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11" w:name="page112"/>
    <w:bookmarkEnd w:id="111"/>
    <w:p>
      <w:pPr>
        <w:jc w:val="both"/>
        <w:ind w:firstLine="590"/>
        <w:spacing w:after="0" w:line="267" w:lineRule="auto"/>
        <w:tabs>
          <w:tab w:leader="none" w:pos="797"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Integration</w:t>
      </w:r>
      <w:r>
        <w:rPr>
          <w:rFonts w:ascii="Times New Roman" w:cs="Times New Roman" w:eastAsia="Times New Roman" w:hAnsi="Times New Roman"/>
          <w:sz w:val="16"/>
          <w:szCs w:val="16"/>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issuance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159" w:lineRule="exact"/>
        <w:rPr>
          <w:rFonts w:ascii="Times New Roman" w:cs="Times New Roman" w:eastAsia="Times New Roman" w:hAnsi="Times New Roman"/>
          <w:sz w:val="16"/>
          <w:szCs w:val="16"/>
          <w:color w:val="auto"/>
        </w:rPr>
      </w:pPr>
    </w:p>
    <w:p>
      <w:pPr>
        <w:jc w:val="both"/>
        <w:ind w:firstLine="590"/>
        <w:spacing w:after="0" w:line="270" w:lineRule="auto"/>
        <w:tabs>
          <w:tab w:leader="none" w:pos="806"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Participate</w:t>
      </w:r>
      <w:r>
        <w:rPr>
          <w:rFonts w:ascii="Times New Roman" w:cs="Times New Roman" w:eastAsia="Times New Roman" w:hAnsi="Times New Roman"/>
          <w:sz w:val="16"/>
          <w:szCs w:val="16"/>
          <w:color w:val="auto"/>
        </w:rPr>
        <w:t>. Until the date the Exchange Notes are no longer outstanding the Company will not, directly or indirectly, offer, sell, grant any option to purchase, or otherwise dispose of (or announce any offer, sale, grant or any option to purchase or other disposition of) any of its or any Subsidiaries’ debt, equity (other than an offering of solely Common Stock), or equity-linked securities, including without limitation any debt, preferred stock or other instrument or security (any such offer, sale, grant, disposition or announcement being referred to as a “</w:t>
      </w:r>
      <w:r>
        <w:rPr>
          <w:rFonts w:ascii="Times New Roman" w:cs="Times New Roman" w:eastAsia="Times New Roman" w:hAnsi="Times New Roman"/>
          <w:sz w:val="16"/>
          <w:szCs w:val="16"/>
          <w:b w:val="1"/>
          <w:bCs w:val="1"/>
          <w:color w:val="auto"/>
        </w:rPr>
        <w:t>Subsequent Placement</w:t>
      </w:r>
      <w:r>
        <w:rPr>
          <w:rFonts w:ascii="Times New Roman" w:cs="Times New Roman" w:eastAsia="Times New Roman" w:hAnsi="Times New Roman"/>
          <w:sz w:val="16"/>
          <w:szCs w:val="16"/>
          <w:color w:val="auto"/>
        </w:rPr>
        <w:t>”), unless the Company shall have first complied with this Section 4(s).</w:t>
      </w:r>
    </w:p>
    <w:p>
      <w:pPr>
        <w:spacing w:after="0" w:line="153" w:lineRule="exact"/>
        <w:rPr>
          <w:rFonts w:ascii="Times New Roman" w:cs="Times New Roman" w:eastAsia="Times New Roman" w:hAnsi="Times New Roman"/>
          <w:sz w:val="16"/>
          <w:szCs w:val="16"/>
          <w:color w:val="auto"/>
        </w:rPr>
      </w:pPr>
    </w:p>
    <w:p>
      <w:pPr>
        <w:jc w:val="both"/>
        <w:ind w:left="600" w:firstLine="1173"/>
        <w:spacing w:after="0" w:line="261" w:lineRule="auto"/>
        <w:tabs>
          <w:tab w:leader="none" w:pos="2052"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deliver to each Holder an irrevocable written notice (the “</w:t>
      </w:r>
      <w:r>
        <w:rPr>
          <w:rFonts w:ascii="Times New Roman" w:cs="Times New Roman" w:eastAsia="Times New Roman" w:hAnsi="Times New Roman"/>
          <w:sz w:val="16"/>
          <w:szCs w:val="16"/>
          <w:b w:val="1"/>
          <w:bCs w:val="1"/>
          <w:color w:val="auto"/>
        </w:rPr>
        <w:t>Offer Notice</w:t>
      </w:r>
      <w:r>
        <w:rPr>
          <w:rFonts w:ascii="Times New Roman" w:cs="Times New Roman" w:eastAsia="Times New Roman" w:hAnsi="Times New Roman"/>
          <w:sz w:val="16"/>
          <w:szCs w:val="16"/>
          <w:color w:val="auto"/>
        </w:rPr>
        <w:t>”) of any proposed or intended issuance or sale or exchange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of the securities being offered (the “</w:t>
      </w:r>
      <w:r>
        <w:rPr>
          <w:rFonts w:ascii="Times New Roman" w:cs="Times New Roman" w:eastAsia="Times New Roman" w:hAnsi="Times New Roman"/>
          <w:sz w:val="16"/>
          <w:szCs w:val="16"/>
          <w:b w:val="1"/>
          <w:bCs w:val="1"/>
          <w:color w:val="auto"/>
        </w:rPr>
        <w:t>Offered Securities</w:t>
      </w:r>
      <w:r>
        <w:rPr>
          <w:rFonts w:ascii="Times New Roman" w:cs="Times New Roman" w:eastAsia="Times New Roman" w:hAnsi="Times New Roman"/>
          <w:sz w:val="16"/>
          <w:szCs w:val="16"/>
          <w:color w:val="auto"/>
        </w:rPr>
        <w:t>”) in a Subsequent Placement, which Offer Notice shall (v) include any offering documents and definitive documentation in connection with such Offer, (w) identify and describe the Offered Securities, (x) describe the price and other terms upon which they are to be issued, sold or exchanged, and the number or amount of the Offered Securities to be issued, sold or exchanged, (y) identify the persons or entities to which or with which the Offered Securities are to be offered, issued, sold or exchanged and (z) offer to issue and sell to or exchange with such Holders up to an aggregate of thirty percent (30%) of the Offered Securities, allocated among such Holders based on such Holder’s pro rata portion of the aggregate principal amount of Exchange Notes purchased hereunder (the “</w:t>
      </w:r>
      <w:r>
        <w:rPr>
          <w:rFonts w:ascii="Times New Roman" w:cs="Times New Roman" w:eastAsia="Times New Roman" w:hAnsi="Times New Roman"/>
          <w:sz w:val="16"/>
          <w:szCs w:val="16"/>
          <w:b w:val="1"/>
          <w:bCs w:val="1"/>
          <w:color w:val="auto"/>
        </w:rPr>
        <w:t>Basic Amount</w:t>
      </w:r>
      <w:r>
        <w:rPr>
          <w:rFonts w:ascii="Times New Roman" w:cs="Times New Roman" w:eastAsia="Times New Roman" w:hAnsi="Times New Roman"/>
          <w:sz w:val="16"/>
          <w:szCs w:val="16"/>
          <w:color w:val="auto"/>
        </w:rPr>
        <w:t>”). The terms and conditions upon which any Offer of the Offered Securities pursuant to any Offer Notice shall be identical for each Holder. For the avoidance of doubt, each Holder hereby acknowledges that any Offer Notice may constitute or contain material, non-public information, and each Holder hereby consents to the receipt of any Offer Notice and any material, non-public information that may be included in an Offer Notice. If a Holder notifies the Company that it does not consent to the receipt of an Offer Notice and any material, non-public information that may be included in an Offer Notice, then such Holder shall be deemed to have waived its right to participate in such Subsequent Placement, and the Company shall be deemed to have complied with this Section 4(s).</w:t>
      </w:r>
    </w:p>
    <w:p>
      <w:pPr>
        <w:spacing w:after="0" w:line="169" w:lineRule="exact"/>
        <w:rPr>
          <w:rFonts w:ascii="Times New Roman" w:cs="Times New Roman" w:eastAsia="Times New Roman" w:hAnsi="Times New Roman"/>
          <w:sz w:val="16"/>
          <w:szCs w:val="16"/>
          <w:color w:val="auto"/>
        </w:rPr>
      </w:pPr>
    </w:p>
    <w:p>
      <w:pPr>
        <w:jc w:val="both"/>
        <w:ind w:left="600" w:firstLine="1173"/>
        <w:spacing w:after="0" w:line="246" w:lineRule="auto"/>
        <w:tabs>
          <w:tab w:leader="none" w:pos="2055"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accept an Offer, in whole or in part, such Holder must deliver a written notice to the Company prior to the end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after such Holder’s receipt of the Offer Notice (the “</w:t>
      </w:r>
      <w:r>
        <w:rPr>
          <w:rFonts w:ascii="Times New Roman" w:cs="Times New Roman" w:eastAsia="Times New Roman" w:hAnsi="Times New Roman"/>
          <w:sz w:val="16"/>
          <w:szCs w:val="16"/>
          <w:b w:val="1"/>
          <w:bCs w:val="1"/>
          <w:color w:val="auto"/>
        </w:rPr>
        <w:t>Offer Period</w:t>
      </w:r>
      <w:r>
        <w:rPr>
          <w:rFonts w:ascii="Times New Roman" w:cs="Times New Roman" w:eastAsia="Times New Roman" w:hAnsi="Times New Roman"/>
          <w:sz w:val="16"/>
          <w:szCs w:val="16"/>
          <w:color w:val="auto"/>
        </w:rPr>
        <w:t>”), setting forth the portion of such Holder’s Basic Amount that such Holder, or an affiliate of such Holder that it designates, elects to purchase and, if such Holder or its designee shall elect to purchase all of its Basic Amount, the amount, if any, of the other Holders’ allocations that such Holder is offering to purchase in the event that such other Holders do not elect to purchase their full Basic Amounts (in either case, the “</w:t>
      </w:r>
      <w:r>
        <w:rPr>
          <w:rFonts w:ascii="Times New Roman" w:cs="Times New Roman" w:eastAsia="Times New Roman" w:hAnsi="Times New Roman"/>
          <w:sz w:val="16"/>
          <w:szCs w:val="16"/>
          <w:b w:val="1"/>
          <w:bCs w:val="1"/>
          <w:color w:val="auto"/>
        </w:rPr>
        <w:t>Notice of Acceptance</w:t>
      </w:r>
      <w:r>
        <w:rPr>
          <w:rFonts w:ascii="Times New Roman" w:cs="Times New Roman" w:eastAsia="Times New Roman" w:hAnsi="Times New Roman"/>
          <w:sz w:val="16"/>
          <w:szCs w:val="16"/>
          <w:color w:val="auto"/>
        </w:rPr>
        <w:t>”). Notwithstanding anything to the contrary contained herein, if the Company desires to modify or amend the terms and conditions of the Offer prior to the expiration of the Offer Period, the Company may deliver to the Holders a new Offer Notice and the Offer Period shall expire at the end of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following such Holder’s receipt of such new Offer Notice.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12" w:name="page113"/>
    <w:bookmarkEnd w:id="112"/>
    <w:p>
      <w:pPr>
        <w:jc w:val="both"/>
        <w:ind w:left="-520" w:firstLine="1173"/>
        <w:spacing w:after="0" w:line="263" w:lineRule="auto"/>
        <w:tabs>
          <w:tab w:leader="none" w:pos="923"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two (2) Trading Days from the expiration of the Offer Period to offer, issue, sell or exchange all or any part of such Offered Securities as to which a Notice of Acceptance has not been given by the Holders (the “</w:t>
      </w:r>
      <w:r>
        <w:rPr>
          <w:rFonts w:ascii="Times New Roman" w:cs="Times New Roman" w:eastAsia="Times New Roman" w:hAnsi="Times New Roman"/>
          <w:sz w:val="16"/>
          <w:szCs w:val="16"/>
          <w:b w:val="1"/>
          <w:bCs w:val="1"/>
          <w:color w:val="auto"/>
        </w:rPr>
        <w:t>Refused Securities</w:t>
      </w:r>
      <w:r>
        <w:rPr>
          <w:rFonts w:ascii="Times New Roman" w:cs="Times New Roman" w:eastAsia="Times New Roman" w:hAnsi="Times New Roman"/>
          <w:sz w:val="16"/>
          <w:szCs w:val="16"/>
          <w:color w:val="auto"/>
        </w:rPr>
        <w:t>”) pursuant to a definitive agreement (the “</w:t>
      </w:r>
      <w:r>
        <w:rPr>
          <w:rFonts w:ascii="Times New Roman" w:cs="Times New Roman" w:eastAsia="Times New Roman" w:hAnsi="Times New Roman"/>
          <w:sz w:val="16"/>
          <w:szCs w:val="16"/>
          <w:b w:val="1"/>
          <w:bCs w:val="1"/>
          <w:color w:val="auto"/>
        </w:rPr>
        <w:t>Subsequent Placement Agreement</w:t>
      </w:r>
      <w:r>
        <w:rPr>
          <w:rFonts w:ascii="Times New Roman" w:cs="Times New Roman" w:eastAsia="Times New Roman" w:hAnsi="Times New Roman"/>
          <w:sz w:val="16"/>
          <w:szCs w:val="16"/>
          <w:color w:val="auto"/>
        </w:rPr>
        <w:t>”), but only to the offerees described in the Offer Notice (if so described therein) and only upon terms and conditions (including, without limitation, prices and interest rates) that are not more favorable to the acquiring Person or Persons or less favorable to the Company than those set forth in the Offer Notice and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66" w:lineRule="exact"/>
        <w:rPr>
          <w:rFonts w:ascii="Times New Roman" w:cs="Times New Roman" w:eastAsia="Times New Roman" w:hAnsi="Times New Roman"/>
          <w:sz w:val="16"/>
          <w:szCs w:val="16"/>
          <w:color w:val="auto"/>
        </w:rPr>
      </w:pPr>
    </w:p>
    <w:p>
      <w:pPr>
        <w:jc w:val="both"/>
        <w:ind w:left="-520" w:firstLine="1173"/>
        <w:spacing w:after="0" w:line="262" w:lineRule="auto"/>
        <w:tabs>
          <w:tab w:leader="none" w:pos="94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Company shall propose to sell less than all the Refused Securities (any such sale to be in the manner and on the terms specified in Section 4(s)(C) above), then each Holder may, at its sole option and in its sole discretion, reduce the number or amount of the Offered Securities specified in its Notice of Acceptance to an amount that shall be not less than the number or amount of the Offered Securities that such Holder or its designee elected to purchase pursuant to Section 4(s)(B) above multiplied by a fraction, (i) the numerator of which shall be the number or amount of Offered Securities the Company actually proposes to issue, sell or exchange (including Offered Securities to be issued or sold to Holders or their designees pursuant to Section 4(s)(C) above prior to such reduction, but giving effect to the Refused Securities that the Company has determined not to issue, sell or exchange) and (ii) the denominator of which shall be the original amount of the Offered Securities. In the event that any Holder so elects to reduce the number or amount of Offered Securities specified in its Notice of Acceptance, the Company may not issue, sell or exchange more than the reduced number or amount of the Offered Securities unless and until such securities have again been offered to the Holders in accordance with Section 4(s)(A) above.</w:t>
      </w:r>
    </w:p>
    <w:p>
      <w:pPr>
        <w:spacing w:after="0" w:line="164" w:lineRule="exact"/>
        <w:rPr>
          <w:rFonts w:ascii="Times New Roman" w:cs="Times New Roman" w:eastAsia="Times New Roman" w:hAnsi="Times New Roman"/>
          <w:sz w:val="16"/>
          <w:szCs w:val="16"/>
          <w:color w:val="auto"/>
        </w:rPr>
      </w:pPr>
    </w:p>
    <w:p>
      <w:pPr>
        <w:jc w:val="both"/>
        <w:ind w:left="-520" w:firstLine="1173"/>
        <w:spacing w:after="0" w:line="262" w:lineRule="auto"/>
        <w:tabs>
          <w:tab w:leader="none" w:pos="92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closing of the issuance, sale or exchange of all or less than all of the Refused Securities, the Holders or their designees shall acquire from the Company, and the Company shall issue to the Holders, the number or amount of Offered Securities specified in the Notices of Acceptance, as reduced pursuant to Section 4(s)(D) above if the Holders have so elected, upon the terms and conditions specified in the Offer. Notwithstanding anything to the contrary contained in this Agreement, if the Company does not consummate the closing of the issuance, sale or exchange of all or less than all of the Refused Securities, within two (2) Business Days of the expiration of the Offer Period, the Company shall issue to the Holders or their designees, the number or amount of Offered Securities specified in the Notice of Acceptance, as reduced pursuant to Section 4(s)(D) above if the Holders have so elected, upon the terms and conditions specified in the Offer. The purchase by the Holders of any Offered Securities is subject in all cases to the preparation, execution and delivery by the Company and the Holders of a purchase agreement relating to such Offered Securities reasonably satisfactory in form and substance to the Holders and their respective counsel.</w:t>
      </w:r>
    </w:p>
    <w:p>
      <w:pPr>
        <w:spacing w:after="0" w:line="200" w:lineRule="exact"/>
        <w:rPr>
          <w:sz w:val="20"/>
          <w:szCs w:val="20"/>
          <w:color w:val="auto"/>
        </w:rPr>
      </w:pPr>
    </w:p>
    <w:p>
      <w:pPr>
        <w:spacing w:after="0" w:line="3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113" w:name="page114"/>
    <w:bookmarkEnd w:id="113"/>
    <w:p>
      <w:pPr>
        <w:ind w:firstLine="1173"/>
        <w:spacing w:after="0" w:line="296" w:lineRule="auto"/>
        <w:tabs>
          <w:tab w:leader="none" w:pos="142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Offered Securities not acquired by the Holders or other persons in accordance with Section 4(s)(C) above may not be issued, sold or exchanged until they are again offered to the Holders under the procedures specified in this Section 4(s).</w:t>
      </w:r>
    </w:p>
    <w:p>
      <w:pPr>
        <w:spacing w:after="0" w:line="137" w:lineRule="exact"/>
        <w:rPr>
          <w:rFonts w:ascii="Times New Roman" w:cs="Times New Roman" w:eastAsia="Times New Roman" w:hAnsi="Times New Roman"/>
          <w:sz w:val="16"/>
          <w:szCs w:val="16"/>
          <w:color w:val="auto"/>
        </w:rPr>
      </w:pPr>
    </w:p>
    <w:p>
      <w:pPr>
        <w:jc w:val="both"/>
        <w:ind w:firstLine="1173"/>
        <w:spacing w:after="0" w:line="261" w:lineRule="auto"/>
        <w:tabs>
          <w:tab w:leader="none" w:pos="1452"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Holders agree that if any Holder elects to participate in the Offer, (x) neither the Subsequent Placement Agreement with respect to such Offer nor any other transaction documents related thereto shall include any term or provisions whereby any Holder shall be required to agree to any restrictions in trading as to any securities of the Company owned by such Holder prior to such Subsequent Placement, (y) neither the Subsequent Placement Agreement with respect to such Offer nor any other transaction documents related thereto shall include any term or provisions more restrictive to the investors in such Subsequent Placement than those contained in the Transaction Documents and (z) the Holders or their designees shall be entitled to the same registration rights provided to other investors in the Subsequent Placement. In addition, the Company and each Holder agree that, in connection with a Subsequent Placement, the transaction documents related to the Subsequent Placement shall include a requirement for the Company to issue a widely disseminated press release by 9:30 a.m. (New York City time) on the Trading Day of execution of the transaction documents in such Subsequent Placement (or, if the date of execution is not a Trading Day, or if the time of execution is after 4:00 p.m. (New York City time) on a Trading Day, on the immediately following Trading Day) that discloses the material terms of the transactions contemplated by the transaction documents in such Subsequent Placement.</w:t>
      </w:r>
    </w:p>
    <w:p>
      <w:pPr>
        <w:spacing w:after="0" w:line="167" w:lineRule="exact"/>
        <w:rPr>
          <w:rFonts w:ascii="Times New Roman" w:cs="Times New Roman" w:eastAsia="Times New Roman" w:hAnsi="Times New Roman"/>
          <w:sz w:val="16"/>
          <w:szCs w:val="16"/>
          <w:color w:val="auto"/>
        </w:rPr>
      </w:pPr>
    </w:p>
    <w:p>
      <w:pPr>
        <w:jc w:val="both"/>
        <w:ind w:firstLine="1173"/>
        <w:spacing w:after="0" w:line="264" w:lineRule="auto"/>
        <w:tabs>
          <w:tab w:leader="none" w:pos="1464"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this Section 4(s) and unless otherwise agreed to by the Holders, the Company shall either confirm in writing to the Holders that the transaction with respect to the Subsequent Placement has been abandoned or shall publicly disclose its intention to issue the Offered Securities, in either case in such a manner such that such Holder will not be in possession of any material, non-public information, by the second</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following the date of delivery of the Offer Notice. If by such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no public disclosure regarding a transaction with respect to the Offered Securities has been made, and no notice regarding the abandonment of such transaction has been received by the Holders, such transaction shall be deemed to have been abandoned and the Holders shall not be deemed to be in possession of any material, nonpublic information with respect to the Company. Should the Company decide to pursue such transaction with respect to the Offered Securities, the Company shall provide each Holder with another Offer Notice and each Holder will again have the right of participation set forth in this Section 4(s). The Company shall not be permitted to deliver to the Holders, in any 30-day period, more than one such Offer Notice, other than the Offer Notices contemplated by the last sentence of Section 4(s)(B) of this Agreement.</w:t>
      </w:r>
    </w:p>
    <w:p>
      <w:pPr>
        <w:spacing w:after="0" w:line="200" w:lineRule="exact"/>
        <w:rPr>
          <w:sz w:val="20"/>
          <w:szCs w:val="20"/>
          <w:color w:val="auto"/>
        </w:rPr>
      </w:pPr>
    </w:p>
    <w:p>
      <w:pPr>
        <w:spacing w:after="0" w:line="36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19050</wp:posOffset>
            </wp:positionV>
            <wp:extent cx="714438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40"/>
          </w:cols>
          <w:pgMar w:left="920" w:top="838" w:right="339" w:bottom="1440" w:gutter="0" w:footer="0" w:header="0"/>
        </w:sectPr>
      </w:pPr>
    </w:p>
    <w:bookmarkStart w:id="114" w:name="page115"/>
    <w:bookmarkEnd w:id="114"/>
    <w:p>
      <w:pPr>
        <w:jc w:val="both"/>
        <w:ind w:left="600" w:firstLine="1173"/>
        <w:spacing w:after="0" w:line="259" w:lineRule="auto"/>
        <w:tabs>
          <w:tab w:leader="none" w:pos="1988"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restrictions contained in this Section 4(s) shall not apply in connection with any of the following; (x) Options or Convertible Securities issued under any Approved Stock Plan, or (y) the issuance of Common Stock upon the exercise of Options or warrants, the settlement or vesting of restricted stock units, stock appreciation rights or restricted stock awards (including shares of Common Stock withheld by the Company for the purpose of paying on behalf of the holder thereof the exercise price of stock options or for paying taxes due as a result of such exercise or lapse of forfeiture restrictions), or the conversion of outstanding preferred stock or other outstanding Convertible Securities which are outstanding on the Closing Date or granted pursuant to an Approved Stock Plan after the Closing Date; provided, that such issuance of Common Stock upon exercise of such Options or Convertible Securities is made pursuant to the terms of either: (I) such Approved Stock Plan or (II) such Options or Convertible Securities in effect on the Closing Date and, in the case of (II), such Options or Convertible Securities are not amended, modified or changed on or after the Closing Date to increase the number of such securities or to decrease the exercise price, exchange price or conversion price of such securities. Notwithstanding the foregoing, the Holders shall not have a right to participate in a Subsequent Placement pursuant to this Section 4(s) if the Holders shall also have the right to participate in a Subsequent Placement (as defined in the Prior SPA) pursuant to the Prior SPA. An “</w:t>
      </w:r>
      <w:r>
        <w:rPr>
          <w:rFonts w:ascii="Times New Roman" w:cs="Times New Roman" w:eastAsia="Times New Roman" w:hAnsi="Times New Roman"/>
          <w:sz w:val="16"/>
          <w:szCs w:val="16"/>
          <w:b w:val="1"/>
          <w:bCs w:val="1"/>
          <w:color w:val="auto"/>
        </w:rPr>
        <w:t>Approved Stock Plan</w:t>
      </w:r>
      <w:r>
        <w:rPr>
          <w:rFonts w:ascii="Times New Roman" w:cs="Times New Roman" w:eastAsia="Times New Roman" w:hAnsi="Times New Roman"/>
          <w:sz w:val="16"/>
          <w:szCs w:val="16"/>
          <w:color w:val="auto"/>
        </w:rPr>
        <w:t>” means any security-based compensation plan which has been approved by the Board of Directors of the Company prior to the date hereof, or any security-based compensation plan which is approved by the Board of Directors or the compensation committee thereof and the stockholders of the Company after the date hereof, pursuant to which shares of Common Stock, options to purchase Common Stock and other incentive equity awards may be issued to any employee, officer, consultant or director for services provided to the Company in their capacity as such, and not for the purpose of raising capital, pursuant to any consulting agreement, advisory agreement or independent contractor agreement approved by the Board of Directors or the compensation committee thereof.</w:t>
      </w:r>
    </w:p>
    <w:p>
      <w:pPr>
        <w:spacing w:after="0" w:line="373" w:lineRule="exact"/>
        <w:rPr>
          <w:rFonts w:ascii="Times New Roman" w:cs="Times New Roman" w:eastAsia="Times New Roman" w:hAnsi="Times New Roman"/>
          <w:sz w:val="16"/>
          <w:szCs w:val="16"/>
          <w:color w:val="auto"/>
        </w:rPr>
      </w:pPr>
    </w:p>
    <w:p>
      <w:pPr>
        <w:jc w:val="both"/>
        <w:ind w:firstLine="590"/>
        <w:spacing w:after="0" w:line="270" w:lineRule="auto"/>
        <w:tabs>
          <w:tab w:leader="none" w:pos="787"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Rule 144</w:t>
      </w:r>
      <w:r>
        <w:rPr>
          <w:rFonts w:ascii="Times New Roman" w:cs="Times New Roman" w:eastAsia="Times New Roman" w:hAnsi="Times New Roman"/>
          <w:sz w:val="16"/>
          <w:szCs w:val="16"/>
          <w:color w:val="auto"/>
        </w:rPr>
        <w:t>. The Company shall cause the Securities and any shares of Common Stock issuable pursuant to the Exchange Warrants or the Exchange Notes to be eligible to be offered, sold or otherwise transferred by the Holders pursuant to Rule 144 under the Securities Act, without any requirements as to volume, manner of sale, availability of current public information (whether or not then satisfied) or notice under the Securities Act and without any requirement for registration under any state securities or “blue sky” law, on and after September 23, 2022, with respect to the Exchange Securities and the Underlying Shares with respect thereto.</w:t>
      </w:r>
    </w:p>
    <w:p>
      <w:pPr>
        <w:spacing w:after="0" w:line="157" w:lineRule="exact"/>
        <w:rPr>
          <w:rFonts w:ascii="Times New Roman" w:cs="Times New Roman" w:eastAsia="Times New Roman" w:hAnsi="Times New Roman"/>
          <w:sz w:val="16"/>
          <w:szCs w:val="16"/>
          <w:color w:val="auto"/>
        </w:rPr>
      </w:pPr>
    </w:p>
    <w:p>
      <w:pPr>
        <w:jc w:val="both"/>
        <w:ind w:firstLine="590"/>
        <w:spacing w:after="0" w:line="263" w:lineRule="auto"/>
        <w:tabs>
          <w:tab w:leader="none" w:pos="82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Press Releases</w:t>
      </w:r>
      <w:r>
        <w:rPr>
          <w:rFonts w:ascii="Times New Roman" w:cs="Times New Roman" w:eastAsia="Times New Roman" w:hAnsi="Times New Roman"/>
          <w:sz w:val="16"/>
          <w:szCs w:val="16"/>
          <w:color w:val="auto"/>
        </w:rPr>
        <w:t>. The Company shall not, and shall not permit any of its Subsidiaries to, issue or disseminate to the public (by advertisement, press release or otherwise), submit for publication or otherwise cause or seek to publish any information naming any of the Holders without the prior written consent of such Holder; provided that, nothing in the foregoing shall be construed to prohibit the Company from making any submission or filing (i) which it is required to make by applicable law or pursuant to judicial process, (ii) as required by federal securities law in connection with the filing of final Transaction Documents with the SEC, or (iii) to the extent such disclosure is required by law or the Principal Market regulations; provided further, that (i) such filing or submission shall contain only such information as is necessary to comply with applicable law or judicial process and (ii) unless specifically prohibited by applicable law or court order, the Company shall promptly notify the Holders of the requirement to make such submission or filing and provide the Holders with a copy thereof.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15" w:name="page116"/>
    <w:bookmarkEnd w:id="115"/>
    <w:p>
      <w:pPr>
        <w:ind w:left="230" w:hanging="230"/>
        <w:spacing w:after="0"/>
        <w:tabs>
          <w:tab w:leader="none" w:pos="23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 The Company shall:</w:t>
      </w:r>
    </w:p>
    <w:p>
      <w:pPr>
        <w:spacing w:after="0" w:line="210" w:lineRule="exact"/>
        <w:rPr>
          <w:rFonts w:ascii="Times New Roman" w:cs="Times New Roman" w:eastAsia="Times New Roman" w:hAnsi="Times New Roman"/>
          <w:sz w:val="16"/>
          <w:szCs w:val="16"/>
          <w:color w:val="auto"/>
        </w:rPr>
      </w:pPr>
    </w:p>
    <w:p>
      <w:pPr>
        <w:jc w:val="both"/>
        <w:ind w:left="10" w:firstLine="582"/>
        <w:spacing w:after="0" w:line="270" w:lineRule="auto"/>
        <w:tabs>
          <w:tab w:leader="none" w:pos="798"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a registration statement with the SEC as soon as practicable but in no event later than forty-five (45) days after the Closing Date with respect to the Exchange Securities ( the “</w:t>
      </w:r>
      <w:r>
        <w:rPr>
          <w:rFonts w:ascii="Times New Roman" w:cs="Times New Roman" w:eastAsia="Times New Roman" w:hAnsi="Times New Roman"/>
          <w:sz w:val="16"/>
          <w:szCs w:val="16"/>
          <w:b w:val="1"/>
          <w:bCs w:val="1"/>
          <w:color w:val="auto"/>
        </w:rPr>
        <w:t>Filing Date</w:t>
      </w:r>
      <w:r>
        <w:rPr>
          <w:rFonts w:ascii="Times New Roman" w:cs="Times New Roman" w:eastAsia="Times New Roman" w:hAnsi="Times New Roman"/>
          <w:sz w:val="16"/>
          <w:szCs w:val="16"/>
          <w:color w:val="auto"/>
        </w:rPr>
        <w:t>”) to register all Shares underlying the Exchange Securities (the “</w:t>
      </w:r>
      <w:r>
        <w:rPr>
          <w:rFonts w:ascii="Times New Roman" w:cs="Times New Roman" w:eastAsia="Times New Roman" w:hAnsi="Times New Roman"/>
          <w:sz w:val="16"/>
          <w:szCs w:val="16"/>
          <w:b w:val="1"/>
          <w:bCs w:val="1"/>
          <w:color w:val="auto"/>
        </w:rPr>
        <w:t>Registrable Shares</w:t>
      </w:r>
      <w:r>
        <w:rPr>
          <w:rFonts w:ascii="Times New Roman" w:cs="Times New Roman" w:eastAsia="Times New Roman" w:hAnsi="Times New Roman"/>
          <w:sz w:val="16"/>
          <w:szCs w:val="16"/>
          <w:color w:val="auto"/>
        </w:rPr>
        <w:t>”) on Form S-1 or Form S-3 under the Securities Act (providing for shelf registration of such Registrable Shares under SEC Rule 415) (such registration statement, including any preliminary prospectus, final prospectus, exhibit or amendment included in or relating to such registration statement being the “</w:t>
      </w:r>
      <w:r>
        <w:rPr>
          <w:rFonts w:ascii="Times New Roman" w:cs="Times New Roman" w:eastAsia="Times New Roman" w:hAnsi="Times New Roman"/>
          <w:sz w:val="16"/>
          <w:szCs w:val="16"/>
          <w:b w:val="1"/>
          <w:bCs w:val="1"/>
          <w:color w:val="auto"/>
        </w:rPr>
        <w:t>Resale Registration Statement</w:t>
      </w:r>
      <w:r>
        <w:rPr>
          <w:rFonts w:ascii="Times New Roman" w:cs="Times New Roman" w:eastAsia="Times New Roman" w:hAnsi="Times New Roman"/>
          <w:sz w:val="16"/>
          <w:szCs w:val="16"/>
          <w:color w:val="auto"/>
        </w:rPr>
        <w:t>”);</w:t>
      </w:r>
    </w:p>
    <w:p>
      <w:pPr>
        <w:spacing w:after="0" w:line="157" w:lineRule="exact"/>
        <w:rPr>
          <w:rFonts w:ascii="Times New Roman" w:cs="Times New Roman" w:eastAsia="Times New Roman" w:hAnsi="Times New Roman"/>
          <w:sz w:val="16"/>
          <w:szCs w:val="16"/>
          <w:color w:val="auto"/>
        </w:rPr>
      </w:pPr>
    </w:p>
    <w:p>
      <w:pPr>
        <w:jc w:val="both"/>
        <w:ind w:left="10" w:firstLine="582"/>
        <w:spacing w:after="0" w:line="270" w:lineRule="auto"/>
        <w:tabs>
          <w:tab w:leader="none" w:pos="843"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cause such Resale Registration Statement to be declared effective as soon as practicable and in any event within 30 days of the filing thereof (or, in the event the staff of the SEC (the “</w:t>
      </w:r>
      <w:r>
        <w:rPr>
          <w:rFonts w:ascii="Times New Roman" w:cs="Times New Roman" w:eastAsia="Times New Roman" w:hAnsi="Times New Roman"/>
          <w:sz w:val="16"/>
          <w:szCs w:val="16"/>
          <w:b w:val="1"/>
          <w:bCs w:val="1"/>
          <w:color w:val="auto"/>
        </w:rPr>
        <w:t>Staff</w:t>
      </w:r>
      <w:r>
        <w:rPr>
          <w:rFonts w:ascii="Times New Roman" w:cs="Times New Roman" w:eastAsia="Times New Roman" w:hAnsi="Times New Roman"/>
          <w:sz w:val="16"/>
          <w:szCs w:val="16"/>
          <w:color w:val="auto"/>
        </w:rPr>
        <w:t>”) reviews and has written comments to such Resale Registration Statement, within 60 days of the filing thereof), such efforts to include, without limiting the generality of the foregoing, preparing and filing with the SEC any financial statements or other information that is required to be filed prior to the effectiveness of such Resale Registration Statement;</w:t>
      </w:r>
    </w:p>
    <w:p>
      <w:pPr>
        <w:spacing w:after="0" w:line="157" w:lineRule="exact"/>
        <w:rPr>
          <w:rFonts w:ascii="Times New Roman" w:cs="Times New Roman" w:eastAsia="Times New Roman" w:hAnsi="Times New Roman"/>
          <w:sz w:val="16"/>
          <w:szCs w:val="16"/>
          <w:color w:val="auto"/>
        </w:rPr>
      </w:pPr>
    </w:p>
    <w:p>
      <w:pPr>
        <w:jc w:val="both"/>
        <w:ind w:left="10" w:firstLine="582"/>
        <w:spacing w:after="0" w:line="267" w:lineRule="auto"/>
        <w:tabs>
          <w:tab w:leader="none" w:pos="91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less than two (2) Trading Days prior to the filing of such Resale Registration Statement or any related prospectus or any amendment or supplement thereto, furnish via email to the Holders copies of all such documents proposed to be filed, which documents (other than any document that is incorporated or deemed to be incorporated by reference therein) will be subject to the review of the Holders. The Company shall reflect in each such document when so filed with the SEC such comments regarding the Holders and the plan of distribution as the Holders may reasonably and promptly propose no later than two (2) Trading Days after the Holders has been so furnished with copies of such documents as aforesaid;</w:t>
      </w:r>
    </w:p>
    <w:p>
      <w:pPr>
        <w:spacing w:after="0" w:line="159" w:lineRule="exact"/>
        <w:rPr>
          <w:rFonts w:ascii="Times New Roman" w:cs="Times New Roman" w:eastAsia="Times New Roman" w:hAnsi="Times New Roman"/>
          <w:sz w:val="16"/>
          <w:szCs w:val="16"/>
          <w:color w:val="auto"/>
        </w:rPr>
      </w:pPr>
    </w:p>
    <w:p>
      <w:pPr>
        <w:jc w:val="both"/>
        <w:ind w:left="10" w:firstLine="582"/>
        <w:spacing w:after="0" w:line="270" w:lineRule="auto"/>
        <w:tabs>
          <w:tab w:leader="none" w:pos="90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prepare and file with the SEC such amendments and supplements to such Resale Registration Statement and the prospectus used in connection therewith as may be necessary to keep such Resale Registration Statement continuously effective and free from any material misstatement or omission to state a material fact therein until termination of such obligation as provided in Section 4(y) below, subject to the Company’s right to suspend pursuant to Section 4(x) below;</w:t>
      </w:r>
    </w:p>
    <w:p>
      <w:pPr>
        <w:spacing w:after="0" w:line="157" w:lineRule="exact"/>
        <w:rPr>
          <w:rFonts w:ascii="Times New Roman" w:cs="Times New Roman" w:eastAsia="Times New Roman" w:hAnsi="Times New Roman"/>
          <w:sz w:val="16"/>
          <w:szCs w:val="16"/>
          <w:color w:val="auto"/>
        </w:rPr>
      </w:pPr>
    </w:p>
    <w:p>
      <w:pPr>
        <w:ind w:left="10" w:firstLine="582"/>
        <w:spacing w:after="0" w:line="296" w:lineRule="auto"/>
        <w:tabs>
          <w:tab w:leader="none" w:pos="83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the Holders such number of copies of prospectuses in conformity with the requirements of the Securities Act and such other documents as the Holders may reasonably request, in order to facilitate the public sale or other disposition of all or any of the Registrable Shares by the Holders;</w:t>
      </w:r>
    </w:p>
    <w:p>
      <w:pPr>
        <w:spacing w:after="0" w:line="335"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19050</wp:posOffset>
            </wp:positionV>
            <wp:extent cx="714438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0"/>
          </w:cols>
          <w:pgMar w:left="910" w:top="838" w:right="339" w:bottom="1440" w:gutter="0" w:footer="0" w:header="0"/>
        </w:sectPr>
      </w:pPr>
    </w:p>
    <w:bookmarkStart w:id="116" w:name="page117"/>
    <w:bookmarkEnd w:id="116"/>
    <w:p>
      <w:pPr>
        <w:jc w:val="both"/>
        <w:ind w:left="-520" w:firstLine="582"/>
        <w:spacing w:after="0" w:line="267" w:lineRule="auto"/>
        <w:tabs>
          <w:tab w:leader="none" w:pos="35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such documents as may be required of the Company for normal securities law clearance for the resale of the Registrable Shares in such states of the United States as may be reasonably requested by the Holders and use its commercially reasonable efforts to maintain such blue sky qualifications during the period the Company is required to maintain effectiveness of such Resale Registration Statement; provided, however, that the Company shall not be required in connection with this Section 4(v)(vi) to qualify as a foreign corporation or execute a general consent to service of process in any jurisdiction in which it is not now so qualified or has not so consented;</w:t>
      </w:r>
    </w:p>
    <w:p>
      <w:pPr>
        <w:spacing w:after="0" w:line="159" w:lineRule="exact"/>
        <w:rPr>
          <w:rFonts w:ascii="Times New Roman" w:cs="Times New Roman" w:eastAsia="Times New Roman" w:hAnsi="Times New Roman"/>
          <w:sz w:val="16"/>
          <w:szCs w:val="16"/>
          <w:color w:val="auto"/>
        </w:rPr>
      </w:pPr>
    </w:p>
    <w:p>
      <w:pPr>
        <w:jc w:val="both"/>
        <w:ind w:left="-520" w:firstLine="582"/>
        <w:spacing w:after="0" w:line="277" w:lineRule="auto"/>
        <w:tabs>
          <w:tab w:leader="none" w:pos="408"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notification by the SEC that the Resale Registration Statement will not be reviewed or is not subject to further review by the SEC, the Company shall within three (3) Trading Days following the date of such notification request acceleration of such Resale Registration Statement (with the requested effectiveness date to be not more than two (2) Trading Days later);</w:t>
      </w:r>
    </w:p>
    <w:p>
      <w:pPr>
        <w:spacing w:after="0" w:line="151" w:lineRule="exact"/>
        <w:rPr>
          <w:rFonts w:ascii="Times New Roman" w:cs="Times New Roman" w:eastAsia="Times New Roman" w:hAnsi="Times New Roman"/>
          <w:sz w:val="16"/>
          <w:szCs w:val="16"/>
          <w:color w:val="auto"/>
        </w:rPr>
      </w:pPr>
    </w:p>
    <w:p>
      <w:pPr>
        <w:ind w:left="-520" w:firstLine="582"/>
        <w:spacing w:after="0" w:line="296" w:lineRule="auto"/>
        <w:tabs>
          <w:tab w:leader="none" w:pos="466"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notification by the SEC that a Resale Registration Statement has been declared effective by the SEC, the Company shall file the final prospectus under Rule 424 of the Securities Act (“</w:t>
      </w:r>
      <w:r>
        <w:rPr>
          <w:rFonts w:ascii="Times New Roman" w:cs="Times New Roman" w:eastAsia="Times New Roman" w:hAnsi="Times New Roman"/>
          <w:sz w:val="16"/>
          <w:szCs w:val="16"/>
          <w:b w:val="1"/>
          <w:bCs w:val="1"/>
          <w:color w:val="auto"/>
        </w:rPr>
        <w:t>Rule 424</w:t>
      </w:r>
      <w:r>
        <w:rPr>
          <w:rFonts w:ascii="Times New Roman" w:cs="Times New Roman" w:eastAsia="Times New Roman" w:hAnsi="Times New Roman"/>
          <w:sz w:val="16"/>
          <w:szCs w:val="16"/>
          <w:color w:val="auto"/>
        </w:rPr>
        <w:t>”) within the applicable time period prescribed by Rule 424;</w:t>
      </w:r>
    </w:p>
    <w:p>
      <w:pPr>
        <w:spacing w:after="0" w:line="137" w:lineRule="exact"/>
        <w:rPr>
          <w:rFonts w:ascii="Times New Roman" w:cs="Times New Roman" w:eastAsia="Times New Roman" w:hAnsi="Times New Roman"/>
          <w:sz w:val="16"/>
          <w:szCs w:val="16"/>
          <w:color w:val="auto"/>
        </w:rPr>
      </w:pPr>
    </w:p>
    <w:p>
      <w:pPr>
        <w:ind w:left="340" w:hanging="278"/>
        <w:spacing w:after="0"/>
        <w:tabs>
          <w:tab w:leader="none" w:pos="34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 the Holders promptly (and in any event within two (2) Trading Days thereof):</w:t>
      </w:r>
    </w:p>
    <w:p>
      <w:pPr>
        <w:spacing w:after="0" w:line="210" w:lineRule="exact"/>
        <w:rPr>
          <w:rFonts w:ascii="Times New Roman" w:cs="Times New Roman" w:eastAsia="Times New Roman" w:hAnsi="Times New Roman"/>
          <w:sz w:val="16"/>
          <w:szCs w:val="16"/>
          <w:color w:val="auto"/>
        </w:rPr>
      </w:pPr>
    </w:p>
    <w:p>
      <w:pPr>
        <w:ind w:left="920" w:hanging="267"/>
        <w:spacing w:after="0"/>
        <w:tabs>
          <w:tab w:leader="none" w:pos="92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effectiveness of the Resale Registration Statement or any post-effective amendments thereto;</w:t>
      </w:r>
    </w:p>
    <w:p>
      <w:pPr>
        <w:spacing w:after="0" w:line="210" w:lineRule="exact"/>
        <w:rPr>
          <w:rFonts w:ascii="Times New Roman" w:cs="Times New Roman" w:eastAsia="Times New Roman" w:hAnsi="Times New Roman"/>
          <w:sz w:val="16"/>
          <w:szCs w:val="16"/>
          <w:color w:val="auto"/>
        </w:rPr>
      </w:pPr>
    </w:p>
    <w:p>
      <w:pPr>
        <w:ind w:left="-520" w:firstLine="1173"/>
        <w:spacing w:after="0" w:line="296" w:lineRule="auto"/>
        <w:tabs>
          <w:tab w:leader="none" w:pos="948"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request by the SEC for amendments to the Resale Registration Statement or amendments to the prospectus or for additional information relating thereto;</w:t>
      </w:r>
    </w:p>
    <w:p>
      <w:pPr>
        <w:spacing w:after="0" w:line="137" w:lineRule="exact"/>
        <w:rPr>
          <w:rFonts w:ascii="Times New Roman" w:cs="Times New Roman" w:eastAsia="Times New Roman" w:hAnsi="Times New Roman"/>
          <w:sz w:val="16"/>
          <w:szCs w:val="16"/>
          <w:color w:val="auto"/>
        </w:rPr>
      </w:pPr>
    </w:p>
    <w:p>
      <w:pPr>
        <w:jc w:val="both"/>
        <w:ind w:left="-520" w:firstLine="1173"/>
        <w:spacing w:after="0" w:line="277" w:lineRule="auto"/>
        <w:tabs>
          <w:tab w:leader="none" w:pos="923"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issuance by the SEC of any stop order suspending the effectiveness of the Resale Registration Statement under the Securities Act or of the suspension by any state securities commission of the qualification of the Registrable Shares for offering or sale in any jurisdiction, or the initiation of any proceeding for any of the preceding purposes; and;</w:t>
      </w:r>
    </w:p>
    <w:p>
      <w:pPr>
        <w:spacing w:after="0" w:line="151" w:lineRule="exact"/>
        <w:rPr>
          <w:rFonts w:ascii="Times New Roman" w:cs="Times New Roman" w:eastAsia="Times New Roman" w:hAnsi="Times New Roman"/>
          <w:sz w:val="16"/>
          <w:szCs w:val="16"/>
          <w:color w:val="auto"/>
        </w:rPr>
      </w:pPr>
    </w:p>
    <w:p>
      <w:pPr>
        <w:jc w:val="both"/>
        <w:ind w:left="-520" w:firstLine="1173"/>
        <w:spacing w:after="0" w:line="277" w:lineRule="auto"/>
        <w:tabs>
          <w:tab w:leader="none" w:pos="944"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existence of any fact and the happening of any event that makes any statement of a material fact made in the Resale Registration Statement, the prospectus and amendment or supplement thereto, or any document incorporated by reference therein, untrue, or that requires the making of any additions to or changes in the Resale Registration Statement or the prospectus in order to make the statements therein not misleading;</w:t>
      </w:r>
    </w:p>
    <w:p>
      <w:pPr>
        <w:spacing w:after="0" w:line="151" w:lineRule="exact"/>
        <w:rPr>
          <w:rFonts w:ascii="Times New Roman" w:cs="Times New Roman" w:eastAsia="Times New Roman" w:hAnsi="Times New Roman"/>
          <w:sz w:val="16"/>
          <w:szCs w:val="16"/>
          <w:color w:val="auto"/>
        </w:rPr>
      </w:pPr>
    </w:p>
    <w:p>
      <w:pPr>
        <w:ind w:left="300" w:hanging="238"/>
        <w:spacing w:after="0"/>
        <w:tabs>
          <w:tab w:leader="none" w:pos="3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Registrable Shares to be listed on each securities exchange, if any, on which equity securities by the Company are then listed; and</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117" w:name="page118"/>
    <w:bookmarkEnd w:id="117"/>
    <w:p>
      <w:pPr>
        <w:ind w:left="10" w:firstLine="582"/>
        <w:spacing w:after="0" w:line="296" w:lineRule="auto"/>
        <w:tabs>
          <w:tab w:leader="none" w:pos="880" w:val="left"/>
        </w:tabs>
        <w:numPr>
          <w:ilvl w:val="1"/>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bear all expenses in connection with the procedures in paragraphs (i) through (x) of this Section 4(v) and the registration of the Registrable Shares on such Resale Registration Statement and the satisfaction of the blue sky laws of such states.</w:t>
      </w:r>
    </w:p>
    <w:p>
      <w:pPr>
        <w:spacing w:after="0" w:line="137" w:lineRule="exact"/>
        <w:rPr>
          <w:rFonts w:ascii="Times New Roman" w:cs="Times New Roman" w:eastAsia="Times New Roman" w:hAnsi="Times New Roman"/>
          <w:sz w:val="16"/>
          <w:szCs w:val="16"/>
          <w:color w:val="auto"/>
        </w:rPr>
      </w:pPr>
    </w:p>
    <w:p>
      <w:pPr>
        <w:ind w:left="270" w:hanging="270"/>
        <w:spacing w:after="0"/>
        <w:tabs>
          <w:tab w:leader="none" w:pos="27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Rights Indemnification</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jc w:val="both"/>
        <w:ind w:left="10" w:firstLine="582"/>
        <w:spacing w:after="0" w:line="259" w:lineRule="auto"/>
        <w:tabs>
          <w:tab w:leader="none" w:pos="810" w:val="left"/>
        </w:tabs>
        <w:numPr>
          <w:ilvl w:val="1"/>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to indemnify and hold harmless the Holders and their respective affiliates, partners, members, officers, directors, agents and representatives, and each person, if any, who controls a Holder within the meaning of Section 15 of the Securities Act or Section 20 the 1934 Act (each, a “</w:t>
      </w:r>
      <w:r>
        <w:rPr>
          <w:rFonts w:ascii="Times New Roman" w:cs="Times New Roman" w:eastAsia="Times New Roman" w:hAnsi="Times New Roman"/>
          <w:sz w:val="16"/>
          <w:szCs w:val="16"/>
          <w:b w:val="1"/>
          <w:bCs w:val="1"/>
          <w:color w:val="auto"/>
        </w:rPr>
        <w:t>Purchaser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Purchaser Parties</w:t>
      </w:r>
      <w:r>
        <w:rPr>
          <w:rFonts w:ascii="Times New Roman" w:cs="Times New Roman" w:eastAsia="Times New Roman" w:hAnsi="Times New Roman"/>
          <w:sz w:val="16"/>
          <w:szCs w:val="16"/>
          <w:color w:val="auto"/>
        </w:rPr>
        <w:t>”), to the fullest extent permitted by applicable law, from and against any losses, claims, damages or liabilities (collectively, “</w:t>
      </w: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16"/>
          <w:szCs w:val="16"/>
          <w:color w:val="auto"/>
        </w:rPr>
        <w:t>”) to which they may become subject (under the Securities Act or otherwise) insofar as such Losses (or actions or proceedings in respect thereof) arise out of, or are based upon, any untrue statement or alleged untrue statement of a material fact contained in the Resale Registration Statement or any omission or alleged omission to state therein a material fact required to be stated therein or necessary to make the statements therein, in light of the circumstances under which they were made, not misleading or arise out of any failure by the Company to fulfill any undertaking included in the Resale Registration Statement and the Company will, as incurred, reimburse the Purchaser Parties for any legal or other expenses reasonably incurred in investigating, defending or preparing to defend any such action, proceeding or claim; provided, however, that the Company shall not be liable in any such case to the extent that such Loss arises out of, or is based upon an untrue statement or omission or alleged untrue statement or omission made in the Resale Registration Statement in reliance upon and in conformity with written information furnished to the Company by or on behalf of the Holders specifically for use in preparation of the Resale Registration Statement; provided further, however, that the Company shall not be liable to any Purchaser Party (or any partner, member, officer, director or controlling person of a Holder) to the extent that any such Loss is caused by an untrue statement or omission or alleged untrue statement or omission made in any preliminary prospectus if either (i) (A) the Holders failed to send or deliver a copy of the final prospectus with or prior to, or the Holders failed to confirm that a final prospectus was deemed to be delivered prior to (in accordance with Rule 172 of the Securities Act), the delivery of written confirmation of the sale by the Holders to the person asserting the claim from which such Loss resulted and (B) the final prospectus corrected such untrue statement or omission, or (ii) (X) such untrue statement or omission is corrected in an amendment or supplement to the prospectus and (Y) having previously been furnished by or on behalf of the Company with copies of the prospectus as so amended or supplemented or notified by the Company that such amended or supplemented prospectus has been filed with the SEC, in accordance with Rule 172 of the Securities Act, the Holders thereafter fails to deliver such prospectus as so amended or supplemented, with or prior to or the Holders fails to confirm that the prospectus as so amended or supplemented was deemed to be delivered prior to (in accordance with Rule 172 of the Securities Act), the delivery of written confirmation of the sale by the Holders to the person asserting the claim from which such Loss resulted.</w:t>
      </w:r>
    </w:p>
    <w:p>
      <w:pPr>
        <w:spacing w:after="0" w:line="365"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19050</wp:posOffset>
            </wp:positionV>
            <wp:extent cx="714438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0"/>
          </w:cols>
          <w:pgMar w:left="910" w:top="838" w:right="339" w:bottom="1440" w:gutter="0" w:footer="0" w:header="0"/>
        </w:sectPr>
      </w:pPr>
    </w:p>
    <w:bookmarkStart w:id="118" w:name="page119"/>
    <w:bookmarkEnd w:id="118"/>
    <w:p>
      <w:pPr>
        <w:jc w:val="both"/>
        <w:ind w:left="-520" w:firstLine="582"/>
        <w:spacing w:after="0" w:line="260" w:lineRule="auto"/>
        <w:tabs>
          <w:tab w:leader="none" w:pos="31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agree to indemnify and hold harmless the Company and its officers, directors, affiliates, agents and representatives and each person, if any, who controls the Company within the meaning of Section 15 of the Securities Act or Section 20 of the 1934 Act (each a “</w:t>
      </w:r>
      <w:r>
        <w:rPr>
          <w:rFonts w:ascii="Times New Roman" w:cs="Times New Roman" w:eastAsia="Times New Roman" w:hAnsi="Times New Roman"/>
          <w:sz w:val="16"/>
          <w:szCs w:val="16"/>
          <w:b w:val="1"/>
          <w:bCs w:val="1"/>
          <w:color w:val="auto"/>
        </w:rPr>
        <w:t>Company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Company Parties</w:t>
      </w:r>
      <w:r>
        <w:rPr>
          <w:rFonts w:ascii="Times New Roman" w:cs="Times New Roman" w:eastAsia="Times New Roman" w:hAnsi="Times New Roman"/>
          <w:sz w:val="16"/>
          <w:szCs w:val="16"/>
          <w:color w:val="auto"/>
        </w:rPr>
        <w:t>”), to the fullest extent permitted by applicable law, from and against any Losses to which the Company Parties may become subject (under the Securities Act or otherwise), insofar as such Losses (or actions or proceedings in respect thereof) arise out of, or are based upon, any untrue statement or alleged untrue statement of a material fact contained in the Resale Registration Statement (or any omission or alleged omission to state therein a material fact required to be stated therein or necessary to make the statements therein, in light of the circumstances under which they were made, not misleading in each case, on the effective date thereof), if, and only to the extent, such untrue statement or omission or alleged untrue statement or omission was made in reliance upon and in conformity with written information furnished by or on behalf of the Holders specifically for use in preparation of the Resale Registration Statement, and the Holders will, as incurred, reimburse each Company Party for any legal or other expenses reasonably incurred in investigating, defending or preparing to defend any such action, proceeding or claim; provided, however, that in no event shall any indemnity under this Section 4(w) be greater in amount than the dollar amount of the net proceeds received by the Holders upon their sale of the Registrable Shares included in the Resale Registration Statement giving rise to such indemnification obligation.</w:t>
      </w:r>
    </w:p>
    <w:p>
      <w:pPr>
        <w:spacing w:after="0" w:line="370" w:lineRule="exact"/>
        <w:rPr>
          <w:rFonts w:ascii="Times New Roman" w:cs="Times New Roman" w:eastAsia="Times New Roman" w:hAnsi="Times New Roman"/>
          <w:sz w:val="16"/>
          <w:szCs w:val="16"/>
          <w:color w:val="auto"/>
        </w:rPr>
      </w:pPr>
    </w:p>
    <w:p>
      <w:pPr>
        <w:jc w:val="both"/>
        <w:ind w:left="-520" w:firstLine="582"/>
        <w:spacing w:after="0" w:line="261" w:lineRule="auto"/>
        <w:tabs>
          <w:tab w:leader="none" w:pos="359"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receipt by any indemnified person of a notice of a claim or the beginning of any action in respect of which indemnity is to be sought against an indemnifying person pursuant to this Section 4(w), such indemnified person shall notify the indemnifying person in writing of such claim or of the commencement of such action, and, subject to the provisions hereinafter stated, in case any such action shall be brought against an indemnified person and such indemnifying person shall have been notified thereof, such indemnifying person shall be entitled to participate therein, and, to the extent that it shall wish, to assume the defense thereof, with counsel reasonably satisfactory to such indemnified person. After notice from the indemnifying person to such indemnified person of its election to assume the defense thereof, such indemnifying person shall not be liable to such indemnified person for any legal expenses subsequently incurred by such indemnified person in connection with the defense thereof; provided, however, that if there exists or shall exist a conflict of interest that would make it inappropriate in the reasonable judgment of the indemnified person for the same counsel to represent both the indemnified person and such indemnifying person or any affiliate or associate thereof, the indemnified person shall be entitled to retain its own counsel at the expense of such indemnifying person; provided, further, that no indemnifying person shall be responsible for the fees and expense of more than one separate counsel for all indemnified parties. The indemnifying party shall not settle an action without the consent of the indemnified party, which consent shall not be unreasonably withheld.</w:t>
      </w:r>
    </w:p>
    <w:p>
      <w:pPr>
        <w:spacing w:after="0" w:line="165" w:lineRule="exact"/>
        <w:rPr>
          <w:rFonts w:ascii="Times New Roman" w:cs="Times New Roman" w:eastAsia="Times New Roman" w:hAnsi="Times New Roman"/>
          <w:sz w:val="16"/>
          <w:szCs w:val="16"/>
          <w:color w:val="auto"/>
        </w:rPr>
      </w:pPr>
    </w:p>
    <w:p>
      <w:pPr>
        <w:jc w:val="both"/>
        <w:ind w:left="-520" w:firstLine="582"/>
        <w:spacing w:after="0" w:line="263" w:lineRule="auto"/>
        <w:tabs>
          <w:tab w:leader="none" w:pos="36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after proper notice of a claim or the commencement of any action against the indemnified party, the indemnifying party does not choose to participate, then the indemnified party shall assume the defense thereof and upon written notice by the indemnified party requesting advance payment of a stated amount for its reasonable defense costs and expenses, the indemnifying party shall advance payment for such reasonable defense costs and expenses (the “</w:t>
      </w:r>
      <w:r>
        <w:rPr>
          <w:rFonts w:ascii="Times New Roman" w:cs="Times New Roman" w:eastAsia="Times New Roman" w:hAnsi="Times New Roman"/>
          <w:sz w:val="16"/>
          <w:szCs w:val="16"/>
          <w:b w:val="1"/>
          <w:bCs w:val="1"/>
          <w:color w:val="auto"/>
        </w:rPr>
        <w:t>Advance Indemnification Payment</w:t>
      </w:r>
      <w:r>
        <w:rPr>
          <w:rFonts w:ascii="Times New Roman" w:cs="Times New Roman" w:eastAsia="Times New Roman" w:hAnsi="Times New Roman"/>
          <w:sz w:val="16"/>
          <w:szCs w:val="16"/>
          <w:color w:val="auto"/>
        </w:rPr>
        <w:t>”) to the indemnified party. In the event that the indemnified party’s actual defense costs and expenses exceed the amount of the Advance Indemnification Payment, then upon written request by the indemnified party, the indemnifying party shall reimburse the indemnified party for such difference; in the event that the Advance Indemnification Payment exceeds the indemnified party’s actual costs and expenses, the indemnified party shall promptly remit payment of such difference to the indemnifying party.</w:t>
      </w:r>
    </w:p>
    <w:p>
      <w:pPr>
        <w:spacing w:after="0" w:line="3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119" w:name="page120"/>
    <w:bookmarkEnd w:id="119"/>
    <w:p>
      <w:pPr>
        <w:jc w:val="both"/>
        <w:ind w:left="601" w:firstLine="582"/>
        <w:spacing w:after="0" w:line="265" w:lineRule="auto"/>
        <w:tabs>
          <w:tab w:leader="none" w:pos="1425" w:val="left"/>
        </w:tabs>
        <w:numPr>
          <w:ilvl w:val="2"/>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indemnification provided for in this Section 4(w)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as well as any other relevant equitable considerations; provided, that in no event shall any contribution by an indemnifying party hereunder be greater in amount than the dollar amount of the proceeds received by such indemnifying party upon the sale of such Registrable Shares.</w:t>
      </w:r>
    </w:p>
    <w:p>
      <w:pPr>
        <w:spacing w:after="0" w:line="161" w:lineRule="exact"/>
        <w:rPr>
          <w:rFonts w:ascii="Times New Roman" w:cs="Times New Roman" w:eastAsia="Times New Roman" w:hAnsi="Times New Roman"/>
          <w:sz w:val="16"/>
          <w:szCs w:val="16"/>
          <w:color w:val="auto"/>
        </w:rPr>
      </w:pPr>
    </w:p>
    <w:p>
      <w:pPr>
        <w:jc w:val="both"/>
        <w:ind w:left="1" w:firstLine="590"/>
        <w:spacing w:after="0" w:line="262" w:lineRule="auto"/>
        <w:tabs>
          <w:tab w:leader="none" w:pos="838"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Suspensions</w:t>
      </w:r>
      <w:r>
        <w:rPr>
          <w:rFonts w:ascii="Times New Roman" w:cs="Times New Roman" w:eastAsia="Times New Roman" w:hAnsi="Times New Roman"/>
          <w:sz w:val="16"/>
          <w:szCs w:val="16"/>
          <w:color w:val="auto"/>
        </w:rPr>
        <w:t>. The Holders acknowledge that there may be times when the Company must suspend the use of the prospectus forming a part of the Resale Registration Statement until such time as an amendment to such Resale Registration Statement has been filed by the Company and declared effective by the SEC, or until such time as the Company has filed an appropriate report with the SEC pursuant to the Exchange Act. The Holders hereby covenant that they will not sell any Registrable Shares pursuant to said prospectus during the period commencing at the time at which the Company gives the Holders notice of the suspension of the use of said prospectus and ending at the time the Company gives the Holders notice that the Holders may thereafter effect sales pursuant to said prospectus; provided, that such suspension periods shall in no event exceed 30 days in any 12 month period and that, in the good faith judgment of the Board of Directors, the Company would, in the absence of such delay or suspension hereunder, be required under state or federal securities laws to disclose any corporate development, a potentially significant transaction or event involving the Company, or any negotiations, discussions, or proposals directly relating thereto, in either case the disclosure of which would reasonably be expected to have a Material Adverse Effect upon the Company or its stockholders.</w:t>
      </w:r>
    </w:p>
    <w:p>
      <w:pPr>
        <w:spacing w:after="0" w:line="164" w:lineRule="exact"/>
        <w:rPr>
          <w:rFonts w:ascii="Times New Roman" w:cs="Times New Roman" w:eastAsia="Times New Roman" w:hAnsi="Times New Roman"/>
          <w:sz w:val="16"/>
          <w:szCs w:val="16"/>
          <w:color w:val="auto"/>
        </w:rPr>
      </w:pPr>
    </w:p>
    <w:p>
      <w:pPr>
        <w:ind w:left="1" w:firstLine="590"/>
        <w:spacing w:after="0" w:line="296" w:lineRule="auto"/>
        <w:tabs>
          <w:tab w:leader="none" w:pos="825"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Registration Rights</w:t>
      </w:r>
      <w:r>
        <w:rPr>
          <w:rFonts w:ascii="Times New Roman" w:cs="Times New Roman" w:eastAsia="Times New Roman" w:hAnsi="Times New Roman"/>
          <w:sz w:val="16"/>
          <w:szCs w:val="16"/>
          <w:color w:val="auto"/>
        </w:rPr>
        <w:t>. The obligations of the Company pursuant to Section 4(v) hereof shall cease and terminate, with respect to any Registrable Shares, upon such time as such Registrable Shares have been resold.</w:t>
      </w:r>
    </w:p>
    <w:p>
      <w:pPr>
        <w:spacing w:after="0" w:line="133"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REGISTER; TRANSFER AGENT INSTRUCTIONS.</w:t>
      </w:r>
    </w:p>
    <w:p>
      <w:pPr>
        <w:spacing w:after="0" w:line="214" w:lineRule="exact"/>
        <w:rPr>
          <w:rFonts w:ascii="Times New Roman" w:cs="Times New Roman" w:eastAsia="Times New Roman" w:hAnsi="Times New Roman"/>
          <w:sz w:val="16"/>
          <w:szCs w:val="16"/>
          <w:b w:val="1"/>
          <w:bCs w:val="1"/>
          <w:color w:val="auto"/>
        </w:rPr>
      </w:pPr>
    </w:p>
    <w:p>
      <w:pPr>
        <w:jc w:val="both"/>
        <w:ind w:left="1" w:firstLine="590"/>
        <w:spacing w:after="0" w:line="263" w:lineRule="auto"/>
        <w:tabs>
          <w:tab w:leader="none" w:pos="816"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The Company shall maintain at its principal executive offices (or such other office or agency of the Company as it may designate by notice to each holder of Securities), a register for the registration of the Securities in which the Company shall record the name and address of the Person in whose name the Exchange Securities have been issued (including the name and address of each transferee), the aggregate amount of the Exchange Notes and the Exchange Warrants held by such Person, and the number of Warrant Shares issuable pursuant to the terms of the Exchange Warrants held by such Person. The Company shall keep the register open and available at all times during business hours for inspection of any Holder or its legal representatives. This provision shall be construed such that the Securities, the Exchange Notes, and the Exchange Warrants are at all times maintained in “registered form” within the meanings of Sections 163(f), 871(h)(2) and 881(c)(2) of the Code and any Treasury Regulations promulgated thereunder.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20" w:name="page121"/>
    <w:bookmarkEnd w:id="120"/>
    <w:p>
      <w:pPr>
        <w:jc w:val="both"/>
        <w:ind w:firstLine="590"/>
        <w:spacing w:after="0" w:line="259" w:lineRule="auto"/>
        <w:tabs>
          <w:tab w:leader="none" w:pos="836"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Agent Instructions</w:t>
      </w:r>
      <w:r>
        <w:rPr>
          <w:rFonts w:ascii="Times New Roman" w:cs="Times New Roman" w:eastAsia="Times New Roman" w:hAnsi="Times New Roman"/>
          <w:sz w:val="16"/>
          <w:szCs w:val="16"/>
          <w:color w:val="auto"/>
        </w:rPr>
        <w:t>. The Company shall issue irrevocable instructions to its transfer agent and any subsequent transfer agent (as applicable) (the “</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in a form acceptable to each of the Holders (the “</w:t>
      </w:r>
      <w:r>
        <w:rPr>
          <w:rFonts w:ascii="Times New Roman" w:cs="Times New Roman" w:eastAsia="Times New Roman" w:hAnsi="Times New Roman"/>
          <w:sz w:val="16"/>
          <w:szCs w:val="16"/>
          <w:b w:val="1"/>
          <w:bCs w:val="1"/>
          <w:color w:val="auto"/>
        </w:rPr>
        <w:t>Irrevocable Transfer Agent Instructions</w:t>
      </w:r>
      <w:r>
        <w:rPr>
          <w:rFonts w:ascii="Times New Roman" w:cs="Times New Roman" w:eastAsia="Times New Roman" w:hAnsi="Times New Roman"/>
          <w:sz w:val="16"/>
          <w:szCs w:val="16"/>
          <w:color w:val="auto"/>
        </w:rPr>
        <w:t>”) to credit shares to each such Holder’s (or its designee’s) account at DTC through its Deposit/Withdrawal At Custodian (“</w:t>
      </w:r>
      <w:r>
        <w:rPr>
          <w:rFonts w:ascii="Times New Roman" w:cs="Times New Roman" w:eastAsia="Times New Roman" w:hAnsi="Times New Roman"/>
          <w:sz w:val="16"/>
          <w:szCs w:val="16"/>
          <w:b w:val="1"/>
          <w:bCs w:val="1"/>
          <w:color w:val="auto"/>
        </w:rPr>
        <w:t>DWAC</w:t>
      </w:r>
      <w:r>
        <w:rPr>
          <w:rFonts w:ascii="Times New Roman" w:cs="Times New Roman" w:eastAsia="Times New Roman" w:hAnsi="Times New Roman"/>
          <w:sz w:val="16"/>
          <w:szCs w:val="16"/>
          <w:color w:val="auto"/>
        </w:rPr>
        <w:t>”) System, provided that the Transfer Agent is participating in the DTC Fast Automated Securities Transfer Program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and the shares are then eligible for transfer through the DWAC System, or, if the Transfer Agent is not participating in FAST or if the shares are not then eligible for transfer through the DWAC system, issue and dispatch by overnight courier to the address as specified in the exercise notice of the Exchange Warrant a certificate, registered in the name of such Holder or its designee, for the number of Warrant Shares to which the Holder is entitled pursuant to such exercise, for the Underlying Shares in such amounts as specified from time to time by each Holder to the Company pursuant to the Exchange Warrants, and that if such Underlying Shares shall be issued on or after September 23, 2022, with respect to the Exchange Securities, and the Company is then in compliance with its obligations under Section 4(c) hereof (or if such Underlying Shares shall be issued on or after March 23, 2023, with respect to the Exchange Securities regardless of whether the Company is then in compliance with its obligations under Section 4(c) hereof) such shares shall not bear any legend referring to transfer restrictions under the Securities Act or other securities law. The Company represents and warrants that no instruction other than the Irrevocable Transfer Agent Instructions referred to in this Section 5(b), and stop transfer instructions to give effect to Section 2(h) hereof, will be given by the Company to the Transfer Agent with respect to the Securities, and that the Securities shall otherwise be freely transferable on the books and records of the Company, as applicable, to the extent provided in this Agreement and the other Transaction Documents. If a Holder effects a sale, assignment or transfer of the Securities in accordance with Section 2(h), the Company shall permit the transfer and shall promptly instruct the Transfer Agent to issue one or more certificates or credit shares to the applicable balance accounts at DTC in such name and in such denominations as specified by such Holder to effect such sale, transfer or assignment. In the event that such sale, assignment or transfer involves Underlying Shares sold, assigned or transferred pursuant to an effective registration statement or in compliance with Rule 144, the Transfer Agent shall issue such shares to such Holder, assignee or transferee (as the case may be) without any restrictive legend in accordance with Section 5(d). The Company acknowledges that a breach by it of its obligations hereunder will cause irreparable harm to a Holder. Accordingly, the Company acknowledges that the remedy at law for a breach of its obligations under this Section 5(b) will be inadequate and agrees, in the event of a breach or threatened breach by the Company of the provisions of this Section 5(b), that a Holder shall be entitled, in addition to all other available remedies, to an order and/or injunction restraining any breach and requiring immediate issuance and transfer, without the necessity of showing economic loss and without any bond or other security being required. Any fees (with respect to the Transfer Agent, counsel to the Company or otherwise) associated with the removal of any legends on any of the Securities shall be borne by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21" w:name="page122"/>
    <w:bookmarkEnd w:id="121"/>
    <w:p>
      <w:pPr>
        <w:jc w:val="both"/>
        <w:ind w:firstLine="590"/>
        <w:spacing w:after="0" w:line="277" w:lineRule="auto"/>
        <w:tabs>
          <w:tab w:leader="none" w:pos="815"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Legends</w:t>
      </w:r>
      <w:r>
        <w:rPr>
          <w:rFonts w:ascii="Times New Roman" w:cs="Times New Roman" w:eastAsia="Times New Roman" w:hAnsi="Times New Roman"/>
          <w:sz w:val="16"/>
          <w:szCs w:val="16"/>
          <w:color w:val="auto"/>
        </w:rPr>
        <w:t>. Each Holder understands that the Securities have been issued (or will be issued in the case of the Underlying Shares) pursuant to an exemption from registration or qualification under the 1933 Act and applicable state securities laws, and except as set forth herein, the Securities shall bear any legend as required by the “blue sky” laws of any state and a restrictive legend in substantially the following form (and a stop-transfer order may be placed against transfer of such stock certificates):</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Exchange Note Legend</w:t>
      </w:r>
    </w:p>
    <w:p>
      <w:pPr>
        <w:spacing w:after="0" w:line="214" w:lineRule="exact"/>
        <w:rPr>
          <w:sz w:val="20"/>
          <w:szCs w:val="20"/>
          <w:color w:val="auto"/>
        </w:rPr>
      </w:pPr>
    </w:p>
    <w:p>
      <w:pPr>
        <w:jc w:val="both"/>
        <w:ind w:left="600"/>
        <w:spacing w:after="0" w:line="267" w:lineRule="auto"/>
        <w:rPr>
          <w:sz w:val="20"/>
          <w:szCs w:val="20"/>
          <w:color w:val="auto"/>
        </w:rPr>
      </w:pPr>
      <w:r>
        <w:rPr>
          <w:rFonts w:ascii="Times New Roman" w:cs="Times New Roman" w:eastAsia="Times New Roman" w:hAnsi="Times New Roman"/>
          <w:sz w:val="16"/>
          <w:szCs w:val="16"/>
          <w:color w:val="auto"/>
        </w:rPr>
        <w:t>THE ISSUANCE AND SALE OF THE SECURITIES REPRESENTED BY THIS CERTIFICATE HAVE BEEN REGISTERED UNDER THE SECURITIES ACT OF 1933, AS AMENDED (THE “SECURITIES ACT”), OR APPLICABLE STATE SECURITIES LAWS. UNTIL MARCH 23, 2023,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1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Underlying Shares Legend</w:t>
      </w:r>
    </w:p>
    <w:p>
      <w:pPr>
        <w:spacing w:after="0" w:line="214"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6"/>
          <w:szCs w:val="16"/>
          <w:color w:val="auto"/>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3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Exchange Warrant Legend</w:t>
      </w:r>
    </w:p>
    <w:p>
      <w:pPr>
        <w:spacing w:after="0" w:line="214"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6"/>
          <w:szCs w:val="16"/>
          <w:color w:val="auto"/>
        </w:rPr>
        <w:t>THE SECURITIES REPRESENTED BY THIS WARRANT, AND THE SECURITIES ISSUABLE UPON EXERCISE HEREOF, HAVE NOT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OR AN OPINION OF COUNSEL IN A FORM REASONABLY SATISFACTORY TO THE ISSUER THAT REGISTRATION IS NOT REQUIRED UNDER SAID ACT OR APPLICABLE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22" w:name="page123"/>
    <w:bookmarkEnd w:id="122"/>
    <w:p>
      <w:pPr>
        <w:jc w:val="both"/>
        <w:ind w:firstLine="590"/>
        <w:spacing w:after="0" w:line="259" w:lineRule="auto"/>
        <w:tabs>
          <w:tab w:leader="none" w:pos="836"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 of Legends</w:t>
      </w:r>
      <w:r>
        <w:rPr>
          <w:rFonts w:ascii="Times New Roman" w:cs="Times New Roman" w:eastAsia="Times New Roman" w:hAnsi="Times New Roman"/>
          <w:sz w:val="16"/>
          <w:szCs w:val="16"/>
          <w:color w:val="auto"/>
        </w:rPr>
        <w:t>. Certificates evidencing Securities shall not be required to contain the legend set forth in Section 5(c) or any other legend (i) while a registration statement covering the resale of such Securities is effective under the 1933 Act, (ii) following any sale of such Securities pursuant to Rule 144 (assuming the transferor is not an affiliate of the Company), provided that a Holder furnishes the Company with reasonable assurances that such Securities are eligible for sale, assignment or transfer under Rule 144, which shall not include an opinion of Holder’s counsel, (iii) if such Securities are eligible to be sold, assigned or transferred under Rule 144 free of the current public information reporting requirement contained in Rule 144(c)(1), (iv) in connection with a sale, assignment or other transfer (other than under Rule 144), provided that such Holder provides the Company with an opinion of counsel to such Holder, in a generally acceptable form, to the effect that such sale, assignment or transfer of the Securities may be made without registration under the applicable provisions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two (2) Business Days (or such earlier date as required pursuant to the 1934 Act or other applicable law, rule or regulation for the settlement of a trade initiated on the date such Holder delivers such legended certificate representing such Securities to the Company) following the delivery by a Holder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Holder as may be reasonably required above in this Section 5(d) (such date, the “</w:t>
      </w:r>
      <w:r>
        <w:rPr>
          <w:rFonts w:ascii="Times New Roman" w:cs="Times New Roman" w:eastAsia="Times New Roman" w:hAnsi="Times New Roman"/>
          <w:sz w:val="16"/>
          <w:szCs w:val="16"/>
          <w:b w:val="1"/>
          <w:bCs w:val="1"/>
          <w:color w:val="auto"/>
        </w:rPr>
        <w:t>Legend Removal Date</w:t>
      </w:r>
      <w:r>
        <w:rPr>
          <w:rFonts w:ascii="Times New Roman" w:cs="Times New Roman" w:eastAsia="Times New Roman" w:hAnsi="Times New Roman"/>
          <w:sz w:val="16"/>
          <w:szCs w:val="16"/>
          <w:color w:val="auto"/>
        </w:rPr>
        <w:t>”), as directed by such Holder, either: (A) provided that the Transfer Agent is participating in FAST, credit the applicable number of shares of Common Stock to which such Holder shall be entitled to such Holder’s or its designee’s balance account with DTC through its DWAC system or (B) if the Transfer Agent is not participating in FAST, issue and deliver (via reputable overnight courier) to such Holder, a certificate representing such Exchange Securities that is free from all restrictive and other legends, registered in the name of such Holder or its designee. The Company shall be responsible for any transfer agent fees or DTC fees with respect to any issuance of Securities or the removal of any legends with respect to any Securities in accordance herewith and the Holder shall not be required to deliver or cause to be delivered a legal opinion in connection with a sale of such Securities pursuant to Rule 144.</w:t>
      </w:r>
    </w:p>
    <w:p>
      <w:pPr>
        <w:spacing w:after="0" w:line="369" w:lineRule="exact"/>
        <w:rPr>
          <w:rFonts w:ascii="Times New Roman" w:cs="Times New Roman" w:eastAsia="Times New Roman" w:hAnsi="Times New Roman"/>
          <w:sz w:val="16"/>
          <w:szCs w:val="16"/>
          <w:color w:val="auto"/>
        </w:rPr>
      </w:pPr>
    </w:p>
    <w:p>
      <w:pPr>
        <w:jc w:val="both"/>
        <w:ind w:firstLine="590"/>
        <w:spacing w:after="0" w:line="260" w:lineRule="auto"/>
        <w:tabs>
          <w:tab w:leader="none" w:pos="815"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or the Transfer Agent fails to deliver shares to a Holder or an applicable assignee or transferee (as the case may be) without any restrictive legend in accordance with Section 5(b) or Section 5(d), then in addition to such Holder’s other available remedies hereunder, the Company shall pay to such Holder, in cash, (1) as partial liquidated damages and not as a penalty, for each $1,000 of Underlying Shares (based on the Weighted Average Price (as defined in the Exchange Warrants) of the Common Stock on the date such Holder delivers notice or a legended certificate, as applicable, to the Company or the Transfer Agent) for which the Company or the Transfer Agent fails to deliver shares without any restrictive legend an amount equal to $10 per Trading Day (increasing to $20 per Trading Day five (5) Trading Days after such damages have begun to accrue) for each Trading Day after the Legend Removal Date until such undelivered shares are delivered without a legend; and (2) if the Company is obligated to remove the restrictive legends pursuant to Section 5(d) but fails to (a) issue and deliver (or cause to be delivered) shares to a Holder by the Legend Removal Date that are free from all restrictive and other legends and (b) if after the Legend Removal Date a Holder purchases (in an open market transaction or otherwise) shares of Common Stock to deliver in settlement of a sale by the Holder of all or any portion of the number of shares of Common Stock, or a sale of a number of shares of Common Stock equal to all or any portion of the number of shares of Common Stock, that the Holder anticipated receiving from the Company without any restrictive legend, then an amount equal to the excess of the Holder’s total purchase price (including brokerage commissions and other out-of-pocket expenses, if any) for the shares of Common Stock so purchased (including brokerage commissions and other out-of-pocket expenses, if any) over the product of (A) such number of shares of Common Stock that the Company was required to deliver to the Holder by the Legend Removal Date multiplied by (B) the price at which the sell order giving rise to such purchase obligation was executed. For avoidance of doubt, this Section 5(e) shall not be duplicative with any provisions in the Exchange Notes or the Exchange Warrants addressing any failure to deliver shares without restrictive legends.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23" w:name="page124"/>
    <w:bookmarkEnd w:id="123"/>
    <w:p>
      <w:pPr>
        <w:ind w:left="601"/>
        <w:spacing w:after="0"/>
        <w:rPr>
          <w:sz w:val="20"/>
          <w:szCs w:val="20"/>
          <w:color w:val="auto"/>
        </w:rPr>
      </w:pPr>
      <w:r>
        <w:rPr>
          <w:rFonts w:ascii="Times New Roman" w:cs="Times New Roman" w:eastAsia="Times New Roman" w:hAnsi="Times New Roman"/>
          <w:sz w:val="16"/>
          <w:szCs w:val="16"/>
          <w:color w:val="auto"/>
        </w:rPr>
        <w:t xml:space="preserve">(f) </w:t>
      </w:r>
      <w:r>
        <w:rPr>
          <w:rFonts w:ascii="Times New Roman" w:cs="Times New Roman" w:eastAsia="Times New Roman" w:hAnsi="Times New Roman"/>
          <w:sz w:val="16"/>
          <w:szCs w:val="16"/>
          <w:u w:val="single" w:color="auto"/>
          <w:color w:val="auto"/>
        </w:rPr>
        <w:t>FAST Compliance</w:t>
      </w:r>
      <w:r>
        <w:rPr>
          <w:rFonts w:ascii="Times New Roman" w:cs="Times New Roman" w:eastAsia="Times New Roman" w:hAnsi="Times New Roman"/>
          <w:sz w:val="16"/>
          <w:szCs w:val="16"/>
          <w:color w:val="auto"/>
        </w:rPr>
        <w:t>. While any Exchange Notes or Exchange Warrants remain outstanding, the Company shall maintain a transfer agent that participates in</w:t>
      </w:r>
    </w:p>
    <w:p>
      <w:pPr>
        <w:spacing w:after="0" w:line="3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FAST.</w:t>
      </w:r>
    </w:p>
    <w:p>
      <w:pPr>
        <w:spacing w:after="0" w:line="189" w:lineRule="exact"/>
        <w:rPr>
          <w:sz w:val="20"/>
          <w:szCs w:val="20"/>
          <w:color w:val="auto"/>
        </w:rPr>
      </w:pPr>
    </w:p>
    <w:p>
      <w:pPr>
        <w:ind w:left="601" w:hanging="601"/>
        <w:spacing w:after="0"/>
        <w:tabs>
          <w:tab w:leader="none" w:pos="601" w:val="left"/>
        </w:tabs>
        <w:numPr>
          <w:ilvl w:val="0"/>
          <w:numId w:val="1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TO THE COMPANY’S OBLIGATION TO EXCHANGE THE PRIOR SECURITIES FOR THE EXCHANGE SECURITIES.</w:t>
      </w:r>
    </w:p>
    <w:p>
      <w:pPr>
        <w:spacing w:after="0" w:line="214" w:lineRule="exact"/>
        <w:rPr>
          <w:rFonts w:ascii="Times New Roman" w:cs="Times New Roman" w:eastAsia="Times New Roman" w:hAnsi="Times New Roman"/>
          <w:sz w:val="16"/>
          <w:szCs w:val="16"/>
          <w:b w:val="1"/>
          <w:bCs w:val="1"/>
          <w:color w:val="auto"/>
        </w:rPr>
      </w:pPr>
    </w:p>
    <w:p>
      <w:pPr>
        <w:jc w:val="both"/>
        <w:ind w:left="1" w:firstLine="590"/>
        <w:spacing w:after="0" w:line="277" w:lineRule="auto"/>
        <w:tabs>
          <w:tab w:leader="none" w:pos="816" w:val="left"/>
        </w:tabs>
        <w:numPr>
          <w:ilvl w:val="1"/>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the Company hereunder to issue the Exchange Securities to each Holder at the Closing is subject to the satisfaction, at or before the Closing Date, of each of the following conditions, provided that these conditions are for the Company’s sole benefit and may be waived by the Company at any time in its sole discretion by providing each Holder with prior written notice thereof:</w:t>
      </w:r>
    </w:p>
    <w:p>
      <w:pPr>
        <w:spacing w:after="0" w:line="151" w:lineRule="exact"/>
        <w:rPr>
          <w:rFonts w:ascii="Times New Roman" w:cs="Times New Roman" w:eastAsia="Times New Roman" w:hAnsi="Times New Roman"/>
          <w:sz w:val="16"/>
          <w:szCs w:val="16"/>
          <w:color w:val="auto"/>
        </w:rPr>
      </w:pPr>
    </w:p>
    <w:p>
      <w:pPr>
        <w:ind w:left="1381" w:hanging="198"/>
        <w:spacing w:after="0"/>
        <w:tabs>
          <w:tab w:leader="none" w:pos="1381"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executed each of the other Transaction Documents to which it is a party and delivered the same to the Company.</w:t>
      </w:r>
    </w:p>
    <w:p>
      <w:pPr>
        <w:spacing w:after="0" w:line="210" w:lineRule="exact"/>
        <w:rPr>
          <w:rFonts w:ascii="Times New Roman" w:cs="Times New Roman" w:eastAsia="Times New Roman" w:hAnsi="Times New Roman"/>
          <w:sz w:val="16"/>
          <w:szCs w:val="16"/>
          <w:color w:val="auto"/>
        </w:rPr>
      </w:pPr>
    </w:p>
    <w:p>
      <w:pPr>
        <w:ind w:left="1421" w:hanging="238"/>
        <w:spacing w:after="0"/>
        <w:tabs>
          <w:tab w:leader="none" w:pos="1421"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and each other Holder shall have been deemed to have delivered to the Company its Prior Securities in accordance with Section 1.</w:t>
      </w:r>
    </w:p>
    <w:p>
      <w:pPr>
        <w:spacing w:after="0" w:line="210" w:lineRule="exact"/>
        <w:rPr>
          <w:rFonts w:ascii="Times New Roman" w:cs="Times New Roman" w:eastAsia="Times New Roman" w:hAnsi="Times New Roman"/>
          <w:sz w:val="16"/>
          <w:szCs w:val="16"/>
          <w:color w:val="auto"/>
        </w:rPr>
      </w:pPr>
    </w:p>
    <w:p>
      <w:pPr>
        <w:jc w:val="both"/>
        <w:ind w:left="601" w:firstLine="582"/>
        <w:spacing w:after="0" w:line="267" w:lineRule="auto"/>
        <w:tabs>
          <w:tab w:leader="none" w:pos="1480" w:val="left"/>
        </w:tabs>
        <w:numPr>
          <w:ilvl w:val="2"/>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such Holder shall be true and correct in all material respects (except for such representations and warranties that are qualified by materiality or material adverse effect, which shall be true and correct in all respects) as of the date when made and as of the Closing Date as though originally made at that time (except for representations and warranties that speak as of a specific date, which shall be true and correct as of such specific date), and such Holder shall have performed, satisfied and complied in all material respects with the covenants, agreements and conditions required by this Agreement to be performed, satisfied or complied with by such Holder at or prior to the Closing Date.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24" w:name="page125"/>
    <w:bookmarkEnd w:id="124"/>
    <w:p>
      <w:pPr>
        <w:ind w:left="601" w:hanging="601"/>
        <w:spacing w:after="0"/>
        <w:tabs>
          <w:tab w:leader="none" w:pos="601"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CONDITIONS TO EACH HOLDER’S OBLIGATION TO EXCHANGE THE PRIOR SECURITIES FOR THE EXCHANGE SECURITIES.</w:t>
      </w:r>
    </w:p>
    <w:p>
      <w:pPr>
        <w:spacing w:after="0" w:line="214" w:lineRule="exact"/>
        <w:rPr>
          <w:rFonts w:ascii="Times New Roman" w:cs="Times New Roman" w:eastAsia="Times New Roman" w:hAnsi="Times New Roman"/>
          <w:sz w:val="16"/>
          <w:szCs w:val="16"/>
          <w:b w:val="1"/>
          <w:bCs w:val="1"/>
          <w:color w:val="auto"/>
        </w:rPr>
      </w:pPr>
    </w:p>
    <w:p>
      <w:pPr>
        <w:jc w:val="both"/>
        <w:ind w:left="1" w:firstLine="590"/>
        <w:spacing w:after="0" w:line="277" w:lineRule="auto"/>
        <w:tabs>
          <w:tab w:leader="none" w:pos="816"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 of each Holder hereunder to exchange its Prior Securities for the Exchange Securities at the Closing is subject to the satisfaction, at or before the Closing Date, of each of the following conditions, provided that these conditions are for each Holder’s sole benefit and may be waived by such Holder at any time in its sole discretion by providing the Company with prior written notice thereof:</w:t>
      </w:r>
    </w:p>
    <w:p>
      <w:pPr>
        <w:spacing w:after="0" w:line="151" w:lineRule="exact"/>
        <w:rPr>
          <w:rFonts w:ascii="Times New Roman" w:cs="Times New Roman" w:eastAsia="Times New Roman" w:hAnsi="Times New Roman"/>
          <w:sz w:val="16"/>
          <w:szCs w:val="16"/>
          <w:color w:val="auto"/>
        </w:rPr>
      </w:pPr>
    </w:p>
    <w:p>
      <w:pPr>
        <w:jc w:val="both"/>
        <w:ind w:left="601" w:firstLine="582"/>
        <w:spacing w:after="0" w:line="277" w:lineRule="auto"/>
        <w:tabs>
          <w:tab w:leader="none" w:pos="1389"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Subsidiary (as the case may be) shall have duly executed and delivered to such Holder each of the Transaction Documents to which it is a party and the Company shall have duly executed and delivered to such Holder the Exchange Securities set forth across from such Holder’s name on the Schedule of Holders at the Closing pursuant to this Agreement.</w:t>
      </w:r>
    </w:p>
    <w:p>
      <w:pPr>
        <w:spacing w:after="0" w:line="151" w:lineRule="exact"/>
        <w:rPr>
          <w:rFonts w:ascii="Times New Roman" w:cs="Times New Roman" w:eastAsia="Times New Roman" w:hAnsi="Times New Roman"/>
          <w:sz w:val="16"/>
          <w:szCs w:val="16"/>
          <w:color w:val="auto"/>
        </w:rPr>
      </w:pPr>
    </w:p>
    <w:p>
      <w:pPr>
        <w:ind w:left="601" w:firstLine="582"/>
        <w:spacing w:after="0" w:line="296" w:lineRule="auto"/>
        <w:tabs>
          <w:tab w:leader="none" w:pos="1435"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Burns &amp; Levinson LLP, the Company’s counsel, dated as of the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1" w:firstLine="582"/>
        <w:spacing w:after="0" w:line="296" w:lineRule="auto"/>
        <w:tabs>
          <w:tab w:leader="none" w:pos="1480"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Sherman &amp; Howard LLC, in its capacity as the Company’s Nevada counsel, dated as of the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1" w:firstLine="582"/>
        <w:spacing w:after="0" w:line="296" w:lineRule="auto"/>
        <w:tabs>
          <w:tab w:leader="none" w:pos="1471"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Holder shall have received the opinion of Sherman &amp; Howard LLC, in its capacity as the Company’s Colorado counsel, dated as of the Closing Date, in the form acceptable to such Holder.</w:t>
      </w:r>
    </w:p>
    <w:p>
      <w:pPr>
        <w:spacing w:after="0" w:line="137" w:lineRule="exact"/>
        <w:rPr>
          <w:rFonts w:ascii="Times New Roman" w:cs="Times New Roman" w:eastAsia="Times New Roman" w:hAnsi="Times New Roman"/>
          <w:sz w:val="16"/>
          <w:szCs w:val="16"/>
          <w:color w:val="auto"/>
        </w:rPr>
      </w:pPr>
    </w:p>
    <w:p>
      <w:pPr>
        <w:ind w:left="601" w:firstLine="582"/>
        <w:spacing w:after="0" w:line="296" w:lineRule="auto"/>
        <w:tabs>
          <w:tab w:leader="none" w:pos="1425"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copy of the Irrevocable Transfer Agent Instructions, dated as of the Closing Date, in the form acceptable to such Holder, which instructions shall have been delivered to and acknowledged in writing by the Transfer Agent.</w:t>
      </w:r>
    </w:p>
    <w:p>
      <w:pPr>
        <w:spacing w:after="0" w:line="137" w:lineRule="exact"/>
        <w:rPr>
          <w:rFonts w:ascii="Times New Roman" w:cs="Times New Roman" w:eastAsia="Times New Roman" w:hAnsi="Times New Roman"/>
          <w:sz w:val="16"/>
          <w:szCs w:val="16"/>
          <w:color w:val="auto"/>
        </w:rPr>
      </w:pPr>
    </w:p>
    <w:p>
      <w:pPr>
        <w:jc w:val="both"/>
        <w:ind w:left="601" w:firstLine="582"/>
        <w:spacing w:after="0" w:line="289" w:lineRule="auto"/>
        <w:tabs>
          <w:tab w:leader="none" w:pos="1496"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certificate evidencing the formation and good standing of the Company in such entity’s jurisdiction of formation issued by the Secretary of State (or comparable office) of such jurisdiction of formation as of a date within ten (10) days of the Closing Date.</w:t>
      </w:r>
    </w:p>
    <w:p>
      <w:pPr>
        <w:spacing w:after="0" w:line="345" w:lineRule="exact"/>
        <w:rPr>
          <w:rFonts w:ascii="Times New Roman" w:cs="Times New Roman" w:eastAsia="Times New Roman" w:hAnsi="Times New Roman"/>
          <w:sz w:val="16"/>
          <w:szCs w:val="16"/>
          <w:color w:val="auto"/>
        </w:rPr>
      </w:pPr>
    </w:p>
    <w:p>
      <w:pPr>
        <w:jc w:val="both"/>
        <w:ind w:left="601" w:firstLine="582"/>
        <w:spacing w:after="0" w:line="267" w:lineRule="auto"/>
        <w:tabs>
          <w:tab w:leader="none" w:pos="1517" w:val="left"/>
        </w:tabs>
        <w:numPr>
          <w:ilvl w:val="2"/>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a certificate, in the form acceptable to such Holder, executed by the Secretary of the Company and dated as of the Closing Date, as to (i) the resolutions consistent with Section 3(b) as adopted by the Company’s Board of Directors or a committee thereof in a form reasonably acceptable to such Holder, (ii) the Articles of Incorporation of the Company and (iii) the Bylaws of the Company, each as in effect at the Closing, or with respect to clauses (ii) and (iii), certifying that there have been no changes to the Articles of Incorporation of the Company or the Bylaws of the Company since last delivered to the Holders.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4" w:right="339" w:bottom="1440" w:gutter="0" w:footer="0" w:header="0"/>
        </w:sectPr>
      </w:pPr>
    </w:p>
    <w:bookmarkStart w:id="125" w:name="page126"/>
    <w:bookmarkEnd w:id="125"/>
    <w:p>
      <w:pPr>
        <w:jc w:val="both"/>
        <w:ind w:firstLine="582"/>
        <w:spacing w:after="0" w:line="263" w:lineRule="auto"/>
        <w:tabs>
          <w:tab w:leader="none" w:pos="96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and every representation and warranty of the Company shall be true and correct in all material respects (except for such representations and warranties that are qualified by materiality or material adverse effect,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Holder shall have received a certificate, duly executed by the Chief Executive Officer or Chief Financial Officer of the Company, dated as of the Closing Date, to the foregoing effect and as to such other matters as may be reasonably requested by such Holder in the form acceptable to such Holder.</w:t>
      </w:r>
    </w:p>
    <w:p>
      <w:pPr>
        <w:spacing w:after="0" w:line="166" w:lineRule="exact"/>
        <w:rPr>
          <w:rFonts w:ascii="Times New Roman" w:cs="Times New Roman" w:eastAsia="Times New Roman" w:hAnsi="Times New Roman"/>
          <w:sz w:val="16"/>
          <w:szCs w:val="16"/>
          <w:color w:val="auto"/>
        </w:rPr>
      </w:pPr>
    </w:p>
    <w:p>
      <w:pPr>
        <w:jc w:val="both"/>
        <w:ind w:firstLine="582"/>
        <w:spacing w:after="0" w:line="270" w:lineRule="auto"/>
        <w:tabs>
          <w:tab w:leader="none" w:pos="87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Stock (A) shall be designated for quotation or listed (as applicable) on the Principal Market and (B) shall not have been suspended, as of the Closing Date, by the SEC or the Principal Market from trading on the Principal Market nor shall suspension by the SEC or the Principal Market have been threatened, as of the Closing Date, either (1) in writing by the SEC or the Principal Market or (2) by falling below the minimum maintenance requirements of the Principal Market.</w:t>
      </w:r>
    </w:p>
    <w:p>
      <w:pPr>
        <w:spacing w:after="0" w:line="157" w:lineRule="exact"/>
        <w:rPr>
          <w:rFonts w:ascii="Times New Roman" w:cs="Times New Roman" w:eastAsia="Times New Roman" w:hAnsi="Times New Roman"/>
          <w:sz w:val="16"/>
          <w:szCs w:val="16"/>
          <w:color w:val="auto"/>
        </w:rPr>
      </w:pPr>
    </w:p>
    <w:p>
      <w:pPr>
        <w:ind w:firstLine="582"/>
        <w:spacing w:after="0" w:line="296" w:lineRule="auto"/>
        <w:tabs>
          <w:tab w:leader="none" w:pos="824"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all governmental, regulatory or third party consents and approvals, if any, necessary for the sale of the Exchange Securities, including without limitation, those required by the Principal Market, if any.</w:t>
      </w:r>
    </w:p>
    <w:p>
      <w:pPr>
        <w:spacing w:after="0" w:line="137" w:lineRule="exact"/>
        <w:rPr>
          <w:rFonts w:ascii="Times New Roman" w:cs="Times New Roman" w:eastAsia="Times New Roman" w:hAnsi="Times New Roman"/>
          <w:sz w:val="16"/>
          <w:szCs w:val="16"/>
          <w:color w:val="auto"/>
        </w:rPr>
      </w:pPr>
    </w:p>
    <w:p>
      <w:pPr>
        <w:ind w:firstLine="582"/>
        <w:spacing w:after="0" w:line="296" w:lineRule="auto"/>
        <w:tabs>
          <w:tab w:leader="none" w:pos="87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37" w:lineRule="exact"/>
        <w:rPr>
          <w:rFonts w:ascii="Times New Roman" w:cs="Times New Roman" w:eastAsia="Times New Roman" w:hAnsi="Times New Roman"/>
          <w:sz w:val="16"/>
          <w:szCs w:val="16"/>
          <w:color w:val="auto"/>
        </w:rPr>
      </w:pPr>
    </w:p>
    <w:p>
      <w:pPr>
        <w:ind w:left="920" w:hanging="338"/>
        <w:spacing w:after="0"/>
        <w:tabs>
          <w:tab w:leader="none" w:pos="9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execution of this Agreement, no event or series of events shall have occurred that would have or result in a Material Adverse</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w:t>
      </w:r>
    </w:p>
    <w:p>
      <w:pPr>
        <w:spacing w:after="0" w:line="193" w:lineRule="exact"/>
        <w:rPr>
          <w:rFonts w:ascii="Times New Roman" w:cs="Times New Roman" w:eastAsia="Times New Roman" w:hAnsi="Times New Roman"/>
          <w:sz w:val="16"/>
          <w:szCs w:val="16"/>
          <w:color w:val="auto"/>
        </w:rPr>
      </w:pPr>
    </w:p>
    <w:p>
      <w:pPr>
        <w:jc w:val="both"/>
        <w:ind w:firstLine="582"/>
        <w:spacing w:after="0" w:line="277" w:lineRule="auto"/>
        <w:tabs>
          <w:tab w:leader="none" w:pos="961"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approval of the Principal Market to list or designate for quotation (as the case may be) the Underlying Shares for the Exchange Securities and confirmation from the Principal Market that no stockholder vote or other conditions under the rules of the Principal Market shall apply to the sale of the Exchange Securities or the issuance of such Underlying Shares.</w:t>
      </w:r>
    </w:p>
    <w:p>
      <w:pPr>
        <w:spacing w:after="0" w:line="151" w:lineRule="exact"/>
        <w:rPr>
          <w:rFonts w:ascii="Times New Roman" w:cs="Times New Roman" w:eastAsia="Times New Roman" w:hAnsi="Times New Roman"/>
          <w:sz w:val="16"/>
          <w:szCs w:val="16"/>
          <w:color w:val="auto"/>
        </w:rPr>
      </w:pPr>
    </w:p>
    <w:p>
      <w:pPr>
        <w:jc w:val="both"/>
        <w:ind w:firstLine="582"/>
        <w:spacing w:after="0" w:line="289" w:lineRule="auto"/>
        <w:tabs>
          <w:tab w:leader="none" w:pos="952"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costs, fees, expenses (including, without limitation legal fees and expenses) contemplated hereby to be payable to the Holders shall have been paid to the extent due and, in the case of expenses of the Holders that are reimbursable in accordance herewith, invoiced at least one day prior to the Closing Date.</w:t>
      </w:r>
    </w:p>
    <w:p>
      <w:pPr>
        <w:spacing w:after="0" w:line="345" w:lineRule="exact"/>
        <w:rPr>
          <w:rFonts w:ascii="Times New Roman" w:cs="Times New Roman" w:eastAsia="Times New Roman" w:hAnsi="Times New Roman"/>
          <w:sz w:val="16"/>
          <w:szCs w:val="16"/>
          <w:color w:val="auto"/>
        </w:rPr>
      </w:pPr>
    </w:p>
    <w:p>
      <w:pPr>
        <w:ind w:left="900" w:hanging="318"/>
        <w:spacing w:after="0"/>
        <w:tabs>
          <w:tab w:leader="none" w:pos="9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such Holder executed copies of the Stockholder Agreements executed by each of the parties set forth on</w:t>
      </w:r>
    </w:p>
    <w:p>
      <w:pPr>
        <w:spacing w:after="0" w:line="3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Exhibit F</w:t>
      </w:r>
      <w:r>
        <w:rPr>
          <w:rFonts w:ascii="Times New Roman" w:cs="Times New Roman" w:eastAsia="Times New Roman" w:hAnsi="Times New Roman"/>
          <w:sz w:val="16"/>
          <w:szCs w:val="16"/>
          <w:color w:val="auto"/>
        </w:rPr>
        <w:t>.</w:t>
      </w:r>
    </w:p>
    <w:p>
      <w:pPr>
        <w:spacing w:after="0" w:line="39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19050</wp:posOffset>
            </wp:positionV>
            <wp:extent cx="714438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40"/>
          </w:cols>
          <w:pgMar w:left="920" w:top="838" w:right="339" w:bottom="1440" w:gutter="0" w:footer="0" w:header="0"/>
        </w:sectPr>
      </w:pPr>
    </w:p>
    <w:bookmarkStart w:id="126" w:name="page127"/>
    <w:bookmarkEnd w:id="126"/>
    <w:p>
      <w:pPr>
        <w:ind w:left="601" w:firstLine="582"/>
        <w:spacing w:after="0" w:line="296" w:lineRule="auto"/>
        <w:tabs>
          <w:tab w:leader="none" w:pos="1553"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to the Holder the Prior Note Pay Down along with all accrued but unpaid interest, to, and including the Closing Date, on the amount of principal being repaid.</w:t>
      </w:r>
    </w:p>
    <w:p>
      <w:pPr>
        <w:spacing w:after="0" w:line="137" w:lineRule="exact"/>
        <w:rPr>
          <w:rFonts w:ascii="Times New Roman" w:cs="Times New Roman" w:eastAsia="Times New Roman" w:hAnsi="Times New Roman"/>
          <w:sz w:val="16"/>
          <w:szCs w:val="16"/>
          <w:color w:val="auto"/>
        </w:rPr>
      </w:pPr>
    </w:p>
    <w:p>
      <w:pPr>
        <w:ind w:left="601" w:firstLine="582"/>
        <w:spacing w:after="0" w:line="296" w:lineRule="auto"/>
        <w:tabs>
          <w:tab w:leader="none" w:pos="1599"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paid to the Holder all accrued but unpaid interest, to, and including, the Closing Date, on the amount of principal being exchanged hereunder.</w:t>
      </w:r>
    </w:p>
    <w:p>
      <w:pPr>
        <w:spacing w:after="0" w:line="137" w:lineRule="exact"/>
        <w:rPr>
          <w:rFonts w:ascii="Times New Roman" w:cs="Times New Roman" w:eastAsia="Times New Roman" w:hAnsi="Times New Roman"/>
          <w:sz w:val="16"/>
          <w:szCs w:val="16"/>
          <w:color w:val="auto"/>
        </w:rPr>
      </w:pPr>
    </w:p>
    <w:p>
      <w:pPr>
        <w:ind w:left="601" w:firstLine="582"/>
        <w:spacing w:after="0" w:line="296" w:lineRule="auto"/>
        <w:tabs>
          <w:tab w:leader="none" w:pos="1681" w:val="left"/>
        </w:tabs>
        <w:numPr>
          <w:ilvl w:val="1"/>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have delivered to such Holder such other documents, instruments or certificates relating to the transactions contemplated by the Transaction Documents as such Holder or its counsel may reasonably request.</w:t>
      </w:r>
    </w:p>
    <w:p>
      <w:pPr>
        <w:spacing w:after="0" w:line="133" w:lineRule="exact"/>
        <w:rPr>
          <w:rFonts w:ascii="Times New Roman" w:cs="Times New Roman" w:eastAsia="Times New Roman" w:hAnsi="Times New Roman"/>
          <w:sz w:val="16"/>
          <w:szCs w:val="16"/>
          <w:color w:val="auto"/>
        </w:rPr>
      </w:pPr>
    </w:p>
    <w:p>
      <w:pPr>
        <w:ind w:left="601" w:hanging="601"/>
        <w:spacing w:after="0"/>
        <w:tabs>
          <w:tab w:leader="none" w:pos="601"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TERMINATION.</w:t>
      </w:r>
    </w:p>
    <w:p>
      <w:pPr>
        <w:spacing w:after="0" w:line="214" w:lineRule="exact"/>
        <w:rPr>
          <w:sz w:val="20"/>
          <w:szCs w:val="20"/>
          <w:color w:val="auto"/>
        </w:rPr>
      </w:pPr>
    </w:p>
    <w:p>
      <w:pPr>
        <w:jc w:val="both"/>
        <w:ind w:left="1" w:firstLine="591"/>
        <w:spacing w:after="0" w:line="261" w:lineRule="auto"/>
        <w:rPr>
          <w:sz w:val="20"/>
          <w:szCs w:val="20"/>
          <w:color w:val="auto"/>
        </w:rPr>
      </w:pPr>
      <w:r>
        <w:rPr>
          <w:rFonts w:ascii="Times New Roman" w:cs="Times New Roman" w:eastAsia="Times New Roman" w:hAnsi="Times New Roman"/>
          <w:sz w:val="16"/>
          <w:szCs w:val="16"/>
          <w:color w:val="auto"/>
        </w:rPr>
        <w:t>In the event that the Closing shall not have occurred with respect to a Holder within five (5) Business Days of the date hereof, then such Holder shall have the right to terminate its obligations under this Agreement with respect to itself at any time on or after the close of business on such date without liability of such Holder to any other party; provided, however, (i) the right to terminate this Agreement under this Section 8 shall not be available to such Holder if the failure of the transactions contemplated by this Agreement to have been consummated by such date is the result of such Holder’s breach of this Agreement and (ii) the abandonment of the exchange of the Exchange Securities shall be applicable only to such Holder providing such written notice; provided further that no such termination shall affect any obligation of the Company under this Agreement to reimburse such Holder for the expenses described in Section 4(f)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that this Agreement is terminated prior to Closing, then neither this Agreement nor any of the other Transaction Documents will have any impact on the Prior SPA or the Transaction Documents (as defined in the Prior SPA).</w:t>
      </w:r>
    </w:p>
    <w:p>
      <w:pPr>
        <w:spacing w:after="0" w:line="364" w:lineRule="exact"/>
        <w:rPr>
          <w:sz w:val="20"/>
          <w:szCs w:val="20"/>
          <w:color w:val="auto"/>
        </w:rPr>
      </w:pPr>
    </w:p>
    <w:p>
      <w:pPr>
        <w:ind w:left="601" w:hanging="601"/>
        <w:spacing w:after="0"/>
        <w:tabs>
          <w:tab w:leader="none" w:pos="601"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MISCELLANEOUS.</w:t>
      </w:r>
    </w:p>
    <w:p>
      <w:pPr>
        <w:spacing w:after="0" w:line="214" w:lineRule="exact"/>
        <w:rPr>
          <w:rFonts w:ascii="Times New Roman" w:cs="Times New Roman" w:eastAsia="Times New Roman" w:hAnsi="Times New Roman"/>
          <w:sz w:val="16"/>
          <w:szCs w:val="16"/>
          <w:b w:val="1"/>
          <w:bCs w:val="1"/>
          <w:color w:val="auto"/>
        </w:rPr>
      </w:pPr>
    </w:p>
    <w:p>
      <w:pPr>
        <w:jc w:val="both"/>
        <w:ind w:left="1" w:firstLine="590"/>
        <w:spacing w:after="0" w:line="259" w:lineRule="auto"/>
        <w:tabs>
          <w:tab w:leader="none" w:pos="841" w:val="left"/>
        </w:tabs>
        <w:numPr>
          <w:ilvl w:val="1"/>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Jury Trial</w:t>
      </w:r>
      <w:r>
        <w:rPr>
          <w:rFonts w:ascii="Times New Roman" w:cs="Times New Roman" w:eastAsia="Times New Roman" w:hAnsi="Times New Roman"/>
          <w:sz w:val="16"/>
          <w:szCs w:val="16"/>
          <w:color w:val="auto"/>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w:t>
      </w:r>
      <w:r>
        <w:rPr>
          <w:rFonts w:ascii="Times New Roman" w:cs="Times New Roman" w:eastAsia="Times New Roman" w:hAnsi="Times New Roman"/>
          <w:sz w:val="16"/>
          <w:szCs w:val="16"/>
          <w:b w:val="1"/>
          <w:bCs w:val="1"/>
          <w:color w:val="auto"/>
        </w:rPr>
        <w:t>EACH PARTY</w:t>
      </w:r>
    </w:p>
    <w:p>
      <w:pPr>
        <w:spacing w:after="0" w:line="1" w:lineRule="exact"/>
        <w:rPr>
          <w:rFonts w:ascii="Times New Roman" w:cs="Times New Roman" w:eastAsia="Times New Roman" w:hAnsi="Times New Roman"/>
          <w:sz w:val="16"/>
          <w:szCs w:val="16"/>
          <w:color w:val="auto"/>
        </w:rPr>
      </w:pPr>
    </w:p>
    <w:p>
      <w:pPr>
        <w:jc w:val="both"/>
        <w:ind w:left="1"/>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27" w:name="page128"/>
    <w:bookmarkEnd w:id="127"/>
    <w:p>
      <w:pPr>
        <w:jc w:val="both"/>
        <w:ind w:left="1" w:firstLine="590"/>
        <w:spacing w:after="0" w:line="265" w:lineRule="auto"/>
        <w:tabs>
          <w:tab w:leader="none" w:pos="838"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 Electronic Signatures</w:t>
      </w:r>
      <w:r>
        <w:rPr>
          <w:rFonts w:ascii="Times New Roman" w:cs="Times New Roman" w:eastAsia="Times New Roman" w:hAnsi="Times New Roman"/>
          <w:sz w:val="16"/>
          <w:szCs w:val="16"/>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61" w:lineRule="exact"/>
        <w:rPr>
          <w:rFonts w:ascii="Times New Roman" w:cs="Times New Roman" w:eastAsia="Times New Roman" w:hAnsi="Times New Roman"/>
          <w:sz w:val="16"/>
          <w:szCs w:val="16"/>
          <w:color w:val="auto"/>
        </w:rPr>
      </w:pPr>
    </w:p>
    <w:p>
      <w:pPr>
        <w:jc w:val="both"/>
        <w:ind w:left="1" w:firstLine="590"/>
        <w:spacing w:after="0" w:line="261" w:lineRule="auto"/>
        <w:tabs>
          <w:tab w:leader="none" w:pos="816" w:val="left"/>
        </w:tabs>
        <w:numPr>
          <w:ilvl w:val="1"/>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Gender; Interpretation</w:t>
      </w:r>
      <w:r>
        <w:rPr>
          <w:rFonts w:ascii="Times New Roman" w:cs="Times New Roman" w:eastAsia="Times New Roman" w:hAnsi="Times New Roman"/>
          <w:sz w:val="16"/>
          <w:szCs w:val="16"/>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 Unless the context otherwise requires, references herein: (x) to Articles, Sections, Schedules and Exhibits mean the Articles and Sections of, and Schedules and Exhibits attached to, this Agreement;</w:t>
      </w:r>
    </w:p>
    <w:p>
      <w:pPr>
        <w:spacing w:after="0" w:line="2" w:lineRule="exact"/>
        <w:rPr>
          <w:rFonts w:ascii="Times New Roman" w:cs="Times New Roman" w:eastAsia="Times New Roman" w:hAnsi="Times New Roman"/>
          <w:sz w:val="16"/>
          <w:szCs w:val="16"/>
          <w:color w:val="auto"/>
        </w:rPr>
      </w:pPr>
    </w:p>
    <w:p>
      <w:pPr>
        <w:jc w:val="both"/>
        <w:ind w:left="1" w:hanging="1"/>
        <w:spacing w:after="0" w:line="265" w:lineRule="auto"/>
        <w:tabs>
          <w:tab w:leader="none" w:pos="236"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w:t>
      </w:r>
    </w:p>
    <w:p>
      <w:pPr>
        <w:spacing w:after="0" w:line="162" w:lineRule="exact"/>
        <w:rPr>
          <w:rFonts w:ascii="Times New Roman" w:cs="Times New Roman" w:eastAsia="Times New Roman" w:hAnsi="Times New Roman"/>
          <w:sz w:val="16"/>
          <w:szCs w:val="16"/>
          <w:color w:val="auto"/>
        </w:rPr>
      </w:pPr>
    </w:p>
    <w:p>
      <w:pPr>
        <w:jc w:val="both"/>
        <w:ind w:left="1" w:firstLine="590"/>
        <w:spacing w:after="0" w:line="259" w:lineRule="auto"/>
        <w:tabs>
          <w:tab w:leader="none" w:pos="825" w:val="left"/>
        </w:tabs>
        <w:numPr>
          <w:ilvl w:val="1"/>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 Maximum Payment Amounts</w:t>
      </w:r>
      <w:r>
        <w:rPr>
          <w:rFonts w:ascii="Times New Roman" w:cs="Times New Roman" w:eastAsia="Times New Roman" w:hAnsi="Times New Roman"/>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Holders, under the Transaction Documents (including without limitation, any amounts that would be characterized as “interest” under applicable law) exceed amounts permitted under any applicable law. Accordingly, if any obligation to pay, payment made to any Holder, or collection by any Holder pursuant the Transaction Documents is finally judicially determined to be contrary to any such applicable law, such obligation to pay, payment or collection shall be deemed to have been made by mutual mistake of such Holder,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Holder, the amount of interest or any other amounts which would constitute unlawful amounts required to be paid or actually paid to such Holder under the Transaction Documents. For greater certainty, to the extent that any interest, charges, fees, expenses or other amounts required to be paid to or received by such Holder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28" w:name="page129"/>
    <w:bookmarkEnd w:id="128"/>
    <w:p>
      <w:pPr>
        <w:jc w:val="both"/>
        <w:ind w:left="1" w:firstLine="590"/>
        <w:spacing w:after="0" w:line="258" w:lineRule="auto"/>
        <w:tabs>
          <w:tab w:leader="none" w:pos="841"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 Amendments</w:t>
      </w:r>
      <w:r>
        <w:rPr>
          <w:rFonts w:ascii="Times New Roman" w:cs="Times New Roman" w:eastAsia="Times New Roman" w:hAnsi="Times New Roman"/>
          <w:sz w:val="16"/>
          <w:szCs w:val="16"/>
          <w:color w:val="auto"/>
        </w:rPr>
        <w:t>. This Agreement, the other Transaction Documents and the schedules and exhibits attached hereto and thereto and the instruments referenced herein and therein, and the Prior Transaction Documents and the schedules and exhibits attached thereto and the instruments referenced therein supersede all other prior oral or written agreements between the Holders, the Company, its Subsidiaries, their affiliates and Persons acting on their behalf, including, without limitation, any transactions by any Holder with respect to Common Stock or the Securities, and the other matters contained herein and therein, and this Agreement, the other Transaction Documents, the schedules and exhibits attached hereto and thereto and the instruments referenced herein and therein, and the Prior Transaction Documents, the schedules and exhibits attached thereto and the instruments referenced therein contain the entire understanding of the parties solely with respect to the matters covered herein and therein; provided, however, nothing contained in this Agreement or any other Transaction Document or the Prior Transaction Documents shall (or shall be deemed to) (i) have any effect on any agreements any Holder has entered into with, or any instruments any Holder has received from, the Company or any of its Subsidiaries prior to the date hereof with respect to any prior investment (other than in connection with the Prior Transaction Documents) made by such Holder in the Company or (ii) waive, alter, modify or amend in any respect any obligations of the Company or any of its Subsidiaries, or any rights of or benefits to any Holder or any other Person, in any agreement entered into prior to the date hereof between or among the Company and/or any of its Subsidiaries and any Holder, or any instruments any Holder received from the Company and/or any of its Subsidiaries prior to the date hereof, and all such agreements and instruments (other than the Prior Securities, which for the avoidance of doubt shall automatically terminate in all respects upon the Closing) shall continue in full force and effect. For the avoidance of doubt, except for the matters expressly set forth in the Transaction Documents, all other terms of the Prior Transaction Documents are hereby ratified and shall remain unchanged and in full force and effect. Except as specifically set forth herein or therein, neither the Company nor any Holder makes any representation, warranty, covenant or undertaking. For clarification purposes, the Recitals are part of this Agreement. No provision of this Agreement may be amended other than by an instrument in writing signed by the Company and the Required Holders, and any amendment to any provision of this Agreement made in conformity with the provisions of this Section 9(e) shall be binding on all Holders and holders of Securities, as applicable; provided that no such amendment shall be effective to the extent that it (A) applies to less than all of the holders of the Securities then outstanding or (B) imposes any obligation or liability on any Holder without such Holder’s prior written consent (which may be granted or withheld in such Holder’s sole discretion). No waiver shall be effective unless it is in writing and signed by an authorized representative of the waiving party, provided that the Required Holders may waive any provision of this Agreement, and any waiver of any provision of this Agreement made in conformity with the provisions of this Section 9(e) shall be binding on all Holders and holders of Securities, as applicable, provided that no such waiver shall be effective to the extent that it</w:t>
      </w:r>
    </w:p>
    <w:p>
      <w:pPr>
        <w:spacing w:after="0" w:line="3" w:lineRule="exact"/>
        <w:rPr>
          <w:rFonts w:ascii="Times New Roman" w:cs="Times New Roman" w:eastAsia="Times New Roman" w:hAnsi="Times New Roman"/>
          <w:sz w:val="16"/>
          <w:szCs w:val="16"/>
          <w:color w:val="auto"/>
        </w:rPr>
      </w:pPr>
    </w:p>
    <w:p>
      <w:pPr>
        <w:jc w:val="both"/>
        <w:ind w:left="1" w:hanging="1"/>
        <w:spacing w:after="0" w:line="258" w:lineRule="auto"/>
        <w:tabs>
          <w:tab w:leader="none" w:pos="237"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applies to less than all of the holders of the Securities then outstanding (unless a party gives a waiver as to itself only) or (2) imposes any obligation or liability on any Holder without such Holder’s prior written consent (which may be granted or withheld in such Holder’s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and all holders of the Exchange Securities. From the date hereof and while any Exchange Securities are outstanding, the Company shall not be permitted to receive any consideration from a Holder or a holder of Exchange Securities that is not otherwise contemplated by the Transaction Documents in order to, directly or indirectly, induce the Company or any Subsidiary (i) to treat such Holder or holder of Exchange Securities in a manner that is more favorable than to other similarly situated Holders or holders of Exchange Securities, or (ii) to treat any Holder(s) or holder(s) of Exchange Securities in a manner that is less favorable than the Holder or holder of Exchange Securities that is paying such consideration; provided, however, that the determination of whether a Holder has been treated more or less favorably than another Holder shall disregard any securities of the Company purchased or sold by any Holder. The Company has not, directly or indirectly, made any agreements with any Holders relating to the terms or conditions of the transactions contemplated by the Transaction Documents or the Prior Transaction Documents except as set forth in the Transaction Documents and the Prior Transaction Documents. Without limiting the foregoing, the Company confirms that, except as set forth in this Agreement, no Holder has made any commitment or promise or has any other obligation to provide any financing to the Company, any Subsidiary or otherwise. As a material inducement for each Holder to enter into this Agreement, the Company expressly acknowledges and agrees that (x) no due diligence or other investigation or inquiry conducted by a Holder, any of its advisors or any of its representatives shall affect such Holder’s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or other similar language, nothing contained in any of the SEC Documents shall affect such Holder’s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6"/>
          <w:szCs w:val="16"/>
          <w:b w:val="1"/>
          <w:bCs w:val="1"/>
          <w:color w:val="auto"/>
        </w:rPr>
        <w:t>Required Holders</w:t>
      </w:r>
      <w:r>
        <w:rPr>
          <w:rFonts w:ascii="Times New Roman" w:cs="Times New Roman" w:eastAsia="Times New Roman" w:hAnsi="Times New Roman"/>
          <w:sz w:val="16"/>
          <w:szCs w:val="16"/>
          <w:color w:val="auto"/>
        </w:rPr>
        <w:t>” means (I) prior to the Closing Date, each Holder entitled to exchange its Prior Securities for Exchange Securities at the Closing, and (II) on or after the Closing Date, holders of a majority of the Underlying Shares in the aggregate as of such time issued or issuable hereunder or pursuant to the Exchange Warrants; provided that such majority must include High Trail Special Situations LLC, so long as High Trail Special Situations LLC or any of its affiliates holds at least 50% of the aggregate principal amount of the Exchange Notes outstanding or fifty percent (50%) of the outstanding Exchange Warrants.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29" w:name="page130"/>
    <w:bookmarkEnd w:id="129"/>
    <w:p>
      <w:pPr>
        <w:jc w:val="both"/>
        <w:ind w:left="-590" w:firstLine="590"/>
        <w:spacing w:after="0" w:line="267" w:lineRule="auto"/>
        <w:tabs>
          <w:tab w:leader="none" w:pos="207"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addresses and e-mail addresses for such communications shall be:</w:t>
      </w:r>
    </w:p>
    <w:p>
      <w:pPr>
        <w:spacing w:after="0" w:line="160" w:lineRule="exact"/>
        <w:rPr>
          <w:sz w:val="20"/>
          <w:szCs w:val="20"/>
          <w:color w:val="auto"/>
        </w:rPr>
      </w:pPr>
    </w:p>
    <w:p>
      <w:pPr>
        <w:ind w:left="119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10" w:lineRule="exact"/>
        <w:rPr>
          <w:sz w:val="20"/>
          <w:szCs w:val="20"/>
          <w:color w:val="auto"/>
        </w:rPr>
      </w:pPr>
    </w:p>
    <w:p>
      <w:pPr>
        <w:ind w:left="1770"/>
        <w:spacing w:after="0"/>
        <w:rPr>
          <w:sz w:val="20"/>
          <w:szCs w:val="20"/>
          <w:color w:val="auto"/>
        </w:rPr>
      </w:pPr>
      <w:r>
        <w:rPr>
          <w:rFonts w:ascii="Times New Roman" w:cs="Times New Roman" w:eastAsia="Times New Roman" w:hAnsi="Times New Roman"/>
          <w:sz w:val="16"/>
          <w:szCs w:val="16"/>
          <w:color w:val="auto"/>
        </w:rPr>
        <w:t>Agrify Corporation</w:t>
      </w:r>
    </w:p>
    <w:p>
      <w:pPr>
        <w:spacing w:after="0" w:line="30" w:lineRule="exact"/>
        <w:rPr>
          <w:sz w:val="20"/>
          <w:szCs w:val="20"/>
          <w:color w:val="auto"/>
        </w:rPr>
      </w:pPr>
    </w:p>
    <w:p>
      <w:pPr>
        <w:ind w:left="1770"/>
        <w:spacing w:after="0"/>
        <w:rPr>
          <w:sz w:val="20"/>
          <w:szCs w:val="20"/>
          <w:color w:val="auto"/>
        </w:rPr>
      </w:pPr>
      <w:r>
        <w:rPr>
          <w:rFonts w:ascii="Times New Roman" w:cs="Times New Roman" w:eastAsia="Times New Roman" w:hAnsi="Times New Roman"/>
          <w:sz w:val="16"/>
          <w:szCs w:val="16"/>
          <w:color w:val="auto"/>
        </w:rPr>
        <w:t>76 Treble Cove Road, Building 3</w:t>
      </w:r>
    </w:p>
    <w:p>
      <w:pPr>
        <w:spacing w:after="0" w:line="13" w:lineRule="exact"/>
        <w:rPr>
          <w:sz w:val="20"/>
          <w:szCs w:val="20"/>
          <w:color w:val="auto"/>
        </w:rPr>
      </w:pPr>
    </w:p>
    <w:p>
      <w:pPr>
        <w:ind w:left="1770"/>
        <w:spacing w:after="0"/>
        <w:rPr>
          <w:sz w:val="20"/>
          <w:szCs w:val="20"/>
          <w:color w:val="auto"/>
        </w:rPr>
      </w:pPr>
      <w:r>
        <w:rPr>
          <w:rFonts w:ascii="Times New Roman" w:cs="Times New Roman" w:eastAsia="Times New Roman" w:hAnsi="Times New Roman"/>
          <w:sz w:val="16"/>
          <w:szCs w:val="16"/>
          <w:color w:val="auto"/>
        </w:rPr>
        <w:t>Billerica, MA 01862</w:t>
      </w:r>
    </w:p>
    <w:p>
      <w:pPr>
        <w:sectPr>
          <w:pgSz w:w="11900" w:h="16838" w:orient="portrait"/>
          <w:cols w:equalWidth="0" w:num="1">
            <w:col w:w="10650"/>
          </w:cols>
          <w:pgMar w:left="910" w:top="838" w:right="339" w:bottom="1440" w:gutter="0" w:footer="0" w:header="0"/>
        </w:sectPr>
      </w:pPr>
    </w:p>
    <w:p>
      <w:pPr>
        <w:spacing w:after="0" w:line="193" w:lineRule="exact"/>
        <w:rPr>
          <w:sz w:val="20"/>
          <w:szCs w:val="20"/>
          <w:color w:val="auto"/>
        </w:rPr>
      </w:pPr>
    </w:p>
    <w:p>
      <w:pPr>
        <w:ind w:left="1770"/>
        <w:spacing w:after="0"/>
        <w:rPr>
          <w:sz w:val="20"/>
          <w:szCs w:val="20"/>
          <w:color w:val="auto"/>
        </w:rPr>
      </w:pPr>
      <w:r>
        <w:rPr>
          <w:rFonts w:ascii="Times New Roman" w:cs="Times New Roman" w:eastAsia="Times New Roman" w:hAnsi="Times New Roman"/>
          <w:sz w:val="16"/>
          <w:szCs w:val="16"/>
          <w:color w:val="auto"/>
        </w:rPr>
        <w:t>Telephone:</w:t>
      </w:r>
    </w:p>
    <w:p>
      <w:pPr>
        <w:spacing w:after="0" w:line="30" w:lineRule="exact"/>
        <w:rPr>
          <w:sz w:val="20"/>
          <w:szCs w:val="20"/>
          <w:color w:val="auto"/>
        </w:rPr>
      </w:pPr>
    </w:p>
    <w:p>
      <w:pPr>
        <w:ind w:left="1770"/>
        <w:spacing w:after="0"/>
        <w:rPr>
          <w:sz w:val="20"/>
          <w:szCs w:val="20"/>
          <w:color w:val="auto"/>
        </w:rPr>
      </w:pPr>
      <w:r>
        <w:rPr>
          <w:rFonts w:ascii="Times New Roman" w:cs="Times New Roman" w:eastAsia="Times New Roman" w:hAnsi="Times New Roman"/>
          <w:sz w:val="16"/>
          <w:szCs w:val="16"/>
          <w:color w:val="auto"/>
        </w:rPr>
        <w:t>Attention:</w:t>
      </w:r>
    </w:p>
    <w:p>
      <w:pPr>
        <w:spacing w:after="0" w:line="13" w:lineRule="exact"/>
        <w:rPr>
          <w:sz w:val="20"/>
          <w:szCs w:val="20"/>
          <w:color w:val="auto"/>
        </w:rPr>
      </w:pPr>
    </w:p>
    <w:p>
      <w:pPr>
        <w:ind w:left="1770"/>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(919) 619-7346</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Joshua Savitz, Esq., Associate General Counsel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josh.savitz@agrify.com</w:t>
      </w:r>
    </w:p>
    <w:p>
      <w:pPr>
        <w:spacing w:after="0" w:line="193" w:lineRule="exact"/>
        <w:rPr>
          <w:sz w:val="20"/>
          <w:szCs w:val="20"/>
          <w:color w:val="auto"/>
        </w:rPr>
      </w:pPr>
    </w:p>
    <w:p>
      <w:pPr>
        <w:sectPr>
          <w:pgSz w:w="11900" w:h="16838" w:orient="portrait"/>
          <w:cols w:equalWidth="0" w:num="2">
            <w:col w:w="2510" w:space="180"/>
            <w:col w:w="7960"/>
          </w:cols>
          <w:pgMar w:left="910" w:top="838" w:right="339" w:bottom="1440" w:gutter="0" w:footer="0" w:header="0"/>
          <w:type w:val="continuous"/>
        </w:sectPr>
      </w:pPr>
    </w:p>
    <w:p>
      <w:pPr>
        <w:ind w:left="1190"/>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210"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6"/>
          <w:szCs w:val="16"/>
          <w:color w:val="auto"/>
        </w:rPr>
        <w:t>Burns &amp; Levinson LLP</w:t>
      </w:r>
    </w:p>
    <w:p>
      <w:pPr>
        <w:spacing w:after="0" w:line="30"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6"/>
          <w:szCs w:val="16"/>
          <w:color w:val="auto"/>
        </w:rPr>
        <w:t>125 High Street</w:t>
      </w:r>
    </w:p>
    <w:p>
      <w:pPr>
        <w:spacing w:after="0" w:line="13"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6"/>
          <w:szCs w:val="16"/>
          <w:color w:val="auto"/>
        </w:rPr>
        <w:t>Boston, MA 02110</w:t>
      </w:r>
    </w:p>
    <w:p>
      <w:pPr>
        <w:spacing w:after="0" w:line="13"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6"/>
          <w:szCs w:val="16"/>
          <w:color w:val="auto"/>
        </w:rPr>
        <w:t>Telephone: 617-345-3684</w:t>
      </w:r>
    </w:p>
    <w:p>
      <w:pPr>
        <w:spacing w:after="0" w:line="13"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6"/>
          <w:szCs w:val="16"/>
          <w:color w:val="auto"/>
        </w:rPr>
        <w:t>Attention: Frank A. Segall, Esq.</w:t>
      </w:r>
    </w:p>
    <w:p>
      <w:pPr>
        <w:spacing w:after="0" w:line="13" w:lineRule="exact"/>
        <w:rPr>
          <w:sz w:val="20"/>
          <w:szCs w:val="20"/>
          <w:color w:val="auto"/>
        </w:rPr>
      </w:pPr>
    </w:p>
    <w:p>
      <w:pPr>
        <w:ind w:left="1710"/>
        <w:spacing w:after="0"/>
        <w:rPr>
          <w:sz w:val="20"/>
          <w:szCs w:val="20"/>
          <w:color w:val="auto"/>
        </w:rPr>
      </w:pPr>
      <w:r>
        <w:rPr>
          <w:rFonts w:ascii="Times New Roman" w:cs="Times New Roman" w:eastAsia="Times New Roman" w:hAnsi="Times New Roman"/>
          <w:sz w:val="16"/>
          <w:szCs w:val="16"/>
          <w:color w:val="auto"/>
        </w:rPr>
        <w:t>Email: FSegall@burnslev.com</w:t>
      </w:r>
    </w:p>
    <w:p>
      <w:pPr>
        <w:spacing w:after="0" w:line="390" w:lineRule="exact"/>
        <w:rPr>
          <w:sz w:val="20"/>
          <w:szCs w:val="20"/>
          <w:color w:val="auto"/>
        </w:rPr>
      </w:pPr>
    </w:p>
    <w:p>
      <w:pPr>
        <w:jc w:val="center"/>
        <w:ind w:right="59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19050</wp:posOffset>
            </wp:positionV>
            <wp:extent cx="714438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0"/>
          </w:cols>
          <w:pgMar w:left="910" w:top="838" w:right="339" w:bottom="1440" w:gutter="0" w:footer="0" w:header="0"/>
          <w:type w:val="continuous"/>
        </w:sectPr>
      </w:pPr>
    </w:p>
    <w:bookmarkStart w:id="130" w:name="page131"/>
    <w:bookmarkEnd w:id="130"/>
    <w:p>
      <w:pPr>
        <w:ind w:left="1781"/>
        <w:spacing w:after="0"/>
        <w:rPr>
          <w:sz w:val="20"/>
          <w:szCs w:val="20"/>
          <w:color w:val="auto"/>
        </w:rPr>
      </w:pPr>
      <w:r>
        <w:rPr>
          <w:rFonts w:ascii="Times New Roman" w:cs="Times New Roman" w:eastAsia="Times New Roman" w:hAnsi="Times New Roman"/>
          <w:sz w:val="16"/>
          <w:szCs w:val="16"/>
          <w:color w:val="auto"/>
        </w:rPr>
        <w:t>If to the Transfer Agent:</w:t>
      </w:r>
    </w:p>
    <w:p>
      <w:pPr>
        <w:spacing w:after="0" w:line="210"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Broadridge Financial Solutions, Inc.</w:t>
      </w:r>
    </w:p>
    <w:p>
      <w:pPr>
        <w:spacing w:after="0" w:line="30"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51 Mercedes Way</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Edgewood, NY 11717</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Attention: Lia Ludwig</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Email: lia.ludwig@broadridge.com</w:t>
      </w:r>
    </w:p>
    <w:p>
      <w:pPr>
        <w:spacing w:after="0" w:line="193" w:lineRule="exact"/>
        <w:rPr>
          <w:sz w:val="20"/>
          <w:szCs w:val="20"/>
          <w:color w:val="auto"/>
        </w:rPr>
      </w:pPr>
    </w:p>
    <w:p>
      <w:pPr>
        <w:ind w:left="1"/>
        <w:spacing w:after="0" w:line="296" w:lineRule="auto"/>
        <w:rPr>
          <w:sz w:val="20"/>
          <w:szCs w:val="20"/>
          <w:color w:val="auto"/>
        </w:rPr>
      </w:pPr>
      <w:r>
        <w:rPr>
          <w:rFonts w:ascii="Times New Roman" w:cs="Times New Roman" w:eastAsia="Times New Roman" w:hAnsi="Times New Roman"/>
          <w:sz w:val="16"/>
          <w:szCs w:val="16"/>
          <w:color w:val="auto"/>
        </w:rPr>
        <w:t>If to a Holder, to (i) its e-mail address set forth on the Schedule of Holders, with copies to such Holder’s representatives as set forth on the Schedule of Holders and (ii) to Eric Helenek, High Trail Capital, 80 River Street, Suite 4C, Hoboken, NJ 07030 (telephone: (917) 414-1733).</w:t>
      </w:r>
    </w:p>
    <w:p>
      <w:pPr>
        <w:spacing w:after="0" w:line="138" w:lineRule="exact"/>
        <w:rPr>
          <w:sz w:val="20"/>
          <w:szCs w:val="20"/>
          <w:color w:val="auto"/>
        </w:rPr>
      </w:pPr>
    </w:p>
    <w:p>
      <w:pPr>
        <w:ind w:left="1781"/>
        <w:spacing w:after="0"/>
        <w:rPr>
          <w:sz w:val="20"/>
          <w:szCs w:val="20"/>
          <w:color w:val="auto"/>
        </w:rPr>
      </w:pPr>
      <w:r>
        <w:rPr>
          <w:rFonts w:ascii="Times New Roman" w:cs="Times New Roman" w:eastAsia="Times New Roman" w:hAnsi="Times New Roman"/>
          <w:sz w:val="16"/>
          <w:szCs w:val="16"/>
          <w:color w:val="auto"/>
        </w:rPr>
        <w:t>with a copy (for informational purposes only) to:</w:t>
      </w:r>
    </w:p>
    <w:p>
      <w:pPr>
        <w:spacing w:after="0" w:line="210"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30"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12670 High Bluff Drive</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San Diego, CA 92130</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Telephone: (858) 523-5400</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Attention: Michael E. Sullivan</w:t>
      </w:r>
    </w:p>
    <w:p>
      <w:pPr>
        <w:spacing w:after="0" w:line="13" w:lineRule="exact"/>
        <w:rPr>
          <w:sz w:val="20"/>
          <w:szCs w:val="20"/>
          <w:color w:val="auto"/>
        </w:rPr>
      </w:pPr>
    </w:p>
    <w:p>
      <w:pPr>
        <w:ind w:left="2361"/>
        <w:spacing w:after="0"/>
        <w:rPr>
          <w:sz w:val="20"/>
          <w:szCs w:val="20"/>
          <w:color w:val="auto"/>
        </w:rPr>
      </w:pPr>
      <w:r>
        <w:rPr>
          <w:rFonts w:ascii="Times New Roman" w:cs="Times New Roman" w:eastAsia="Times New Roman" w:hAnsi="Times New Roman"/>
          <w:sz w:val="16"/>
          <w:szCs w:val="16"/>
          <w:color w:val="auto"/>
        </w:rPr>
        <w:t>E-mail: michael.sullivan@lw.com</w:t>
      </w:r>
    </w:p>
    <w:p>
      <w:pPr>
        <w:spacing w:after="0" w:line="19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or to such other address, e-mail address and/or to the attention of such other Person as the recipient party has specified by written notice given to each other party five</w:t>
      </w:r>
    </w:p>
    <w:p>
      <w:pPr>
        <w:spacing w:after="0" w:line="30" w:lineRule="exact"/>
        <w:rPr>
          <w:sz w:val="20"/>
          <w:szCs w:val="20"/>
          <w:color w:val="auto"/>
        </w:rPr>
      </w:pPr>
    </w:p>
    <w:p>
      <w:pPr>
        <w:jc w:val="both"/>
        <w:ind w:left="1" w:hanging="1"/>
        <w:spacing w:after="0" w:line="265" w:lineRule="auto"/>
        <w:tabs>
          <w:tab w:leader="none" w:pos="24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prior to the effectiveness of such change. Written confirmation of receipt (A) given by the recipient of such notice, consent, waiver or other communication, (B) electronically generated by the sender’s e-mail or (C) provided by an overnight courier service shall be rebuttable evidence of personal service, receipt by e-mail or receipt from an overnight courier service in accordance with clause (i), (ii) or (iii) above, respectively.</w:t>
      </w:r>
    </w:p>
    <w:p>
      <w:pPr>
        <w:spacing w:after="0" w:line="162" w:lineRule="exact"/>
        <w:rPr>
          <w:rFonts w:ascii="Times New Roman" w:cs="Times New Roman" w:eastAsia="Times New Roman" w:hAnsi="Times New Roman"/>
          <w:sz w:val="16"/>
          <w:szCs w:val="16"/>
          <w:color w:val="auto"/>
        </w:rPr>
      </w:pPr>
    </w:p>
    <w:p>
      <w:pPr>
        <w:jc w:val="both"/>
        <w:ind w:left="1" w:firstLine="590"/>
        <w:spacing w:after="0" w:line="263" w:lineRule="auto"/>
        <w:tabs>
          <w:tab w:leader="none" w:pos="85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be binding upon and inure to the benefit of the parties and their respective successors and assigns. The Company shall not assign this Agreement or any rights or obligations hereunder without the prior written consent of the Required Holders, including, without limitation, by way of a Fundamental Change (as defined in the Exchange Notes) or a Fundamental Transaction (as defined in the Exchange Warrants) (unless the Company is in compliance with the applicable provisions governing Fundamental Changes set forth in the Exchange Notes and the provisions governing Fundamental Transaction set forth in the Exchange Warrants). A Holder may assign some or all of its rights hereunder in connection with any transfer of any of its Securities without the consent of the Company, provided such assignee agrees in writing to be bound by the provisions hereof that apply to Holders in which event such assignee shall be deemed to be a Holder hereunder with respect to such assigned rights, and provided further that such Holder shall provide the Company with notice of the assignment at least two (2) Business Days prior to such assignment.</w:t>
      </w:r>
    </w:p>
    <w:p>
      <w:pPr>
        <w:spacing w:after="0" w:line="363" w:lineRule="exact"/>
        <w:rPr>
          <w:rFonts w:ascii="Times New Roman" w:cs="Times New Roman" w:eastAsia="Times New Roman" w:hAnsi="Times New Roman"/>
          <w:sz w:val="16"/>
          <w:szCs w:val="16"/>
          <w:color w:val="auto"/>
        </w:rPr>
      </w:pPr>
    </w:p>
    <w:p>
      <w:pPr>
        <w:ind w:left="1" w:firstLine="590"/>
        <w:spacing w:after="0" w:line="296" w:lineRule="auto"/>
        <w:tabs>
          <w:tab w:leader="none" w:pos="825"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4(w) and 9(k).</w:t>
      </w:r>
    </w:p>
    <w:p>
      <w:pPr>
        <w:spacing w:after="0" w:line="137" w:lineRule="exact"/>
        <w:rPr>
          <w:rFonts w:ascii="Times New Roman" w:cs="Times New Roman" w:eastAsia="Times New Roman" w:hAnsi="Times New Roman"/>
          <w:sz w:val="16"/>
          <w:szCs w:val="16"/>
          <w:color w:val="auto"/>
        </w:rPr>
      </w:pPr>
    </w:p>
    <w:p>
      <w:pPr>
        <w:ind w:left="1" w:firstLine="590"/>
        <w:spacing w:after="0" w:line="296" w:lineRule="auto"/>
        <w:tabs>
          <w:tab w:leader="none" w:pos="826"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The representations, warranties, agreements and covenants shall survive the Closing. Each Holder shall be responsible only for its own representations, warranties, agreements and covenants 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131" w:name="page132"/>
    <w:bookmarkEnd w:id="131"/>
    <w:p>
      <w:pPr>
        <w:jc w:val="both"/>
        <w:ind w:firstLine="590"/>
        <w:spacing w:after="0" w:line="277" w:lineRule="auto"/>
        <w:tabs>
          <w:tab w:leader="none" w:pos="787"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51" w:lineRule="exact"/>
        <w:rPr>
          <w:rFonts w:ascii="Times New Roman" w:cs="Times New Roman" w:eastAsia="Times New Roman" w:hAnsi="Times New Roman"/>
          <w:sz w:val="16"/>
          <w:szCs w:val="16"/>
          <w:color w:val="auto"/>
        </w:rPr>
      </w:pPr>
    </w:p>
    <w:p>
      <w:pPr>
        <w:ind w:left="820" w:hanging="230"/>
        <w:spacing w:after="0"/>
        <w:tabs>
          <w:tab w:leader="none" w:pos="82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jc w:val="both"/>
        <w:ind w:left="600" w:firstLine="582"/>
        <w:spacing w:after="0" w:line="259" w:lineRule="auto"/>
        <w:tabs>
          <w:tab w:leader="none" w:pos="1388"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consideration of each Holder’s execution and delivery of the Transaction Documents and acquiring the Securities thereunder and in addition to all of the Company’s other obligations under the Transaction Documents, the Company shall defend, protect, indemnify and hold harmless each Holder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6"/>
          <w:szCs w:val="16"/>
          <w:b w:val="1"/>
          <w:bCs w:val="1"/>
          <w:color w:val="auto"/>
        </w:rPr>
        <w:t>Indemnitees</w:t>
      </w:r>
      <w:r>
        <w:rPr>
          <w:rFonts w:ascii="Times New Roman" w:cs="Times New Roman" w:eastAsia="Times New Roman" w:hAnsi="Times New Roman"/>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actual reasonable and documented attorneys’ fees and disbursements (the “</w:t>
      </w:r>
      <w:r>
        <w:rPr>
          <w:rFonts w:ascii="Times New Roman" w:cs="Times New Roman" w:eastAsia="Times New Roman" w:hAnsi="Times New Roman"/>
          <w:sz w:val="16"/>
          <w:szCs w:val="16"/>
          <w:b w:val="1"/>
          <w:bCs w:val="1"/>
          <w:color w:val="auto"/>
        </w:rPr>
        <w:t>Indemnified Liabilities</w:t>
      </w:r>
      <w:r>
        <w:rPr>
          <w:rFonts w:ascii="Times New Roman" w:cs="Times New Roman" w:eastAsia="Times New Roman" w:hAnsi="Times New Roman"/>
          <w:sz w:val="16"/>
          <w:szCs w:val="16"/>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(including, without limitation, any hedging or similar activities in connection therewith), or (B) the status of such Holder or holder of the Securities either as an investor in the Company pursuant to the transactions contemplated by the Transaction Documents or as a party to this Agreement (including, without limitation, any hedging or similar activities in connection therewith or as a party in interest or otherwise in any action or proceeding for injunctive or other equitable relief); provided, however, that the Company will not be liable in any such case to a Holder or its related Indemnitees to the extent that any such claim, loss, damage, liability or expense arise primarily out of or is based primarily upon (i) the inaccuracy of any representations and warranties made by such Holder herein, or (ii) the gross negligence or willful misconduct of any Holder.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2" w:name="page133"/>
    <w:bookmarkEnd w:id="132"/>
    <w:p>
      <w:pPr>
        <w:jc w:val="both"/>
        <w:ind w:left="-520" w:firstLine="582"/>
        <w:spacing w:after="0" w:line="258" w:lineRule="auto"/>
        <w:tabs>
          <w:tab w:leader="none" w:pos="32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after receipt by an Indemnitee under this Section 9(k) of notice of the commencement of any action or proceeding (including, without limitation, any governmental action or proceeding) involving an Indemnified Liability, such Indemnitee shall, if a claim in respect thereof is to be made against any indemnifying party under this Section 9(k),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Indemnitee; provided, however, that an Indemnitee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Indemnified Liability and to employ counsel reasonably satisfactory to such Indemnitee in any such Indemnified Liability; or (iii) the named parties to any such Indemnified Liability (including, without limitation, any impleaded parties) include both such Indemnitee and the indemnifying party, and such Indemnitee shall have been advised by counsel that a conflict of interest is likely to exist if the same counsel were to represent such Indemnitee and the indemnifying party (in which case, if such Indemnitee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actual reasonable and documented fees and expenses of more than one (1) separate legal counsel for such Indemnitee. The Indemnitee shall reasonably cooperate with the indemnifying party in connection with any negotiation or defense of any such action or claim by the indemnifying party and shall furnish to the indemnifying party all information reasonably available to the Indemnitee which relates to such Indemnified Liability. The indemnifying party shall keep the Indemnitee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and such settlement shall not include any admission as to fault on the part of the Indemnitee. Following indemnification as provided for hereunder, the indemnifying party shall be subrogated to all rights of the Indemnitee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Indemnitee under this Section 9(k), except to the extent that the indemnifying party is materially and adversely prejudiced in its ability to defend such action. The indemnification required by this Section 9(k) shall be made by periodic payments of the amount thereof during the course of the investigation or defense, as and when bills are received or Indemnified Liabilities are incurred. The indemnity and contribution agreements contained herein shall be in addition to (i) any cause of action or similar right of the Indemnitees against the indemnifying party or others, and (ii) any liabilities the indemnifying party may be subject to pursuant to the law.</w:t>
      </w: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19050</wp:posOffset>
            </wp:positionV>
            <wp:extent cx="714438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120"/>
          </w:cols>
          <w:pgMar w:left="1440" w:top="838" w:right="339" w:bottom="1440" w:gutter="0" w:footer="0" w:header="0"/>
        </w:sectPr>
      </w:pPr>
    </w:p>
    <w:bookmarkStart w:id="133" w:name="page134"/>
    <w:bookmarkEnd w:id="133"/>
    <w:p>
      <w:pPr>
        <w:jc w:val="both"/>
        <w:ind w:firstLine="590"/>
        <w:spacing w:after="0" w:line="263" w:lineRule="auto"/>
        <w:tabs>
          <w:tab w:leader="none" w:pos="80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Construction</w:t>
      </w:r>
      <w:r>
        <w:rPr>
          <w:rFonts w:ascii="Times New Roman" w:cs="Times New Roman" w:eastAsia="Times New Roman" w:hAnsi="Times New Roman"/>
          <w:sz w:val="16"/>
          <w:szCs w:val="16"/>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Holder (or its broker or other financial representative) to effect short sales or similar transactions in the future.</w:t>
      </w:r>
    </w:p>
    <w:p>
      <w:pPr>
        <w:spacing w:after="0" w:line="166" w:lineRule="exact"/>
        <w:rPr>
          <w:rFonts w:ascii="Times New Roman" w:cs="Times New Roman" w:eastAsia="Times New Roman" w:hAnsi="Times New Roman"/>
          <w:sz w:val="16"/>
          <w:szCs w:val="16"/>
          <w:color w:val="auto"/>
        </w:rPr>
      </w:pPr>
    </w:p>
    <w:p>
      <w:pPr>
        <w:jc w:val="both"/>
        <w:ind w:firstLine="590"/>
        <w:spacing w:after="0" w:line="261" w:lineRule="auto"/>
        <w:tabs>
          <w:tab w:leader="none" w:pos="870"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w:t>
      </w:r>
      <w:r>
        <w:rPr>
          <w:rFonts w:ascii="Times New Roman" w:cs="Times New Roman" w:eastAsia="Times New Roman" w:hAnsi="Times New Roman"/>
          <w:sz w:val="16"/>
          <w:szCs w:val="16"/>
          <w:color w:val="auto"/>
        </w:rPr>
        <w:t>. Each Holder and in the event of assignment by Holder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be inadequate relief to the Holders. The Company therefore agrees that the Holders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67" w:lineRule="exact"/>
        <w:rPr>
          <w:rFonts w:ascii="Times New Roman" w:cs="Times New Roman" w:eastAsia="Times New Roman" w:hAnsi="Times New Roman"/>
          <w:sz w:val="16"/>
          <w:szCs w:val="16"/>
          <w:color w:val="auto"/>
        </w:rPr>
      </w:pPr>
    </w:p>
    <w:p>
      <w:pPr>
        <w:jc w:val="both"/>
        <w:ind w:firstLine="590"/>
        <w:spacing w:after="0" w:line="270" w:lineRule="auto"/>
        <w:tabs>
          <w:tab w:leader="none" w:pos="84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Withdrawal Right</w:t>
      </w:r>
      <w:r>
        <w:rPr>
          <w:rFonts w:ascii="Times New Roman" w:cs="Times New Roman" w:eastAsia="Times New Roman" w:hAnsi="Times New Roman"/>
          <w:sz w:val="16"/>
          <w:szCs w:val="16"/>
          <w:color w:val="auto"/>
        </w:rPr>
        <w:t>. Notwithstanding anything to the contrary contained in (and without limiting any similar provisions of) the Transaction Documents, whenever any Holder exercises a right, election, demand or option under a Transaction Document and the Company or any Subsidiary does not timely perform its related obligations within the periods therein provided, then such Holder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57" w:lineRule="exact"/>
        <w:rPr>
          <w:rFonts w:ascii="Times New Roman" w:cs="Times New Roman" w:eastAsia="Times New Roman" w:hAnsi="Times New Roman"/>
          <w:sz w:val="16"/>
          <w:szCs w:val="16"/>
          <w:color w:val="auto"/>
        </w:rPr>
      </w:pPr>
    </w:p>
    <w:p>
      <w:pPr>
        <w:jc w:val="both"/>
        <w:ind w:firstLine="590"/>
        <w:spacing w:after="0" w:line="261" w:lineRule="auto"/>
        <w:tabs>
          <w:tab w:leader="none" w:pos="83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Set Aside; Currency</w:t>
      </w:r>
      <w:r>
        <w:rPr>
          <w:rFonts w:ascii="Times New Roman" w:cs="Times New Roman" w:eastAsia="Times New Roman" w:hAnsi="Times New Roman"/>
          <w:sz w:val="16"/>
          <w:szCs w:val="16"/>
          <w:color w:val="auto"/>
        </w:rPr>
        <w:t>. To the extent that the Company makes a payment or payments to any Holder hereunder or pursuant to any of the other Transaction Documents or any of the Holders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6"/>
          <w:szCs w:val="16"/>
          <w:b w:val="1"/>
          <w:bCs w:val="1"/>
          <w:color w:val="auto"/>
        </w:rPr>
        <w:t>U.S. Dollars</w:t>
      </w:r>
      <w:r>
        <w:rPr>
          <w:rFonts w:ascii="Times New Roman" w:cs="Times New Roman" w:eastAsia="Times New Roman" w:hAnsi="Times New Roman"/>
          <w:sz w:val="16"/>
          <w:szCs w:val="16"/>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6"/>
          <w:szCs w:val="16"/>
          <w:b w:val="1"/>
          <w:bCs w:val="1"/>
          <w:color w:val="auto"/>
        </w:rPr>
        <w:t>Exchange Rate</w:t>
      </w:r>
      <w:r>
        <w:rPr>
          <w:rFonts w:ascii="Times New Roman" w:cs="Times New Roman" w:eastAsia="Times New Roman" w:hAnsi="Times New Roman"/>
          <w:sz w:val="16"/>
          <w:szCs w:val="16"/>
          <w:color w:val="auto"/>
        </w:rPr>
        <w:t>” means, in relation to any amount of currency to be converted into U.S. Dollars pursuant to this Agreement, the U.S. Dollar exchange rate as published in the Wall Street Journal on the relevant date of calculation.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4" w:name="page135"/>
    <w:bookmarkEnd w:id="134"/>
    <w:p>
      <w:pPr>
        <w:ind w:left="230" w:hanging="230"/>
        <w:spacing w:after="0"/>
        <w:tabs>
          <w:tab w:leader="none" w:pos="23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Judgment Currency</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16"/>
          <w:szCs w:val="16"/>
          <w:color w:val="auto"/>
        </w:rPr>
      </w:pPr>
    </w:p>
    <w:p>
      <w:pPr>
        <w:jc w:val="both"/>
        <w:ind w:left="10" w:firstLine="582"/>
        <w:spacing w:after="0" w:line="270" w:lineRule="auto"/>
        <w:tabs>
          <w:tab w:leader="none" w:pos="798"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6"/>
          <w:szCs w:val="16"/>
          <w:b w:val="1"/>
          <w:bCs w:val="1"/>
          <w:color w:val="auto"/>
        </w:rPr>
        <w:t>Judgment Currency</w:t>
      </w:r>
      <w:r>
        <w:rPr>
          <w:rFonts w:ascii="Times New Roman" w:cs="Times New Roman" w:eastAsia="Times New Roman" w:hAnsi="Times New Roman"/>
          <w:sz w:val="16"/>
          <w:szCs w:val="16"/>
          <w:color w:val="auto"/>
        </w:rPr>
        <w:t>”) an amount due in U.S. Dollars under this Agreement, the conversion shall be made at the Exchange Rate prevailing on the Business Day immediately preceding:</w:t>
      </w:r>
    </w:p>
    <w:p>
      <w:pPr>
        <w:spacing w:after="0" w:line="157" w:lineRule="exact"/>
        <w:rPr>
          <w:rFonts w:ascii="Times New Roman" w:cs="Times New Roman" w:eastAsia="Times New Roman" w:hAnsi="Times New Roman"/>
          <w:sz w:val="16"/>
          <w:szCs w:val="16"/>
          <w:color w:val="auto"/>
        </w:rPr>
      </w:pPr>
    </w:p>
    <w:p>
      <w:pPr>
        <w:ind w:left="590" w:firstLine="1185"/>
        <w:spacing w:after="0" w:line="296" w:lineRule="auto"/>
        <w:tabs>
          <w:tab w:leader="none" w:pos="2005" w:val="left"/>
        </w:tabs>
        <w:numPr>
          <w:ilvl w:val="2"/>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actual payment of the amount due, in the case of any proceeding in the courts of New York or in the courts of any other jurisdiction that will give effect to such conversion being made on such date; or</w:t>
      </w:r>
    </w:p>
    <w:p>
      <w:pPr>
        <w:spacing w:after="0" w:line="137" w:lineRule="exact"/>
        <w:rPr>
          <w:rFonts w:ascii="Times New Roman" w:cs="Times New Roman" w:eastAsia="Times New Roman" w:hAnsi="Times New Roman"/>
          <w:sz w:val="16"/>
          <w:szCs w:val="16"/>
          <w:color w:val="auto"/>
        </w:rPr>
      </w:pPr>
    </w:p>
    <w:p>
      <w:pPr>
        <w:ind w:left="590" w:firstLine="1185"/>
        <w:spacing w:after="0" w:line="296" w:lineRule="auto"/>
        <w:tabs>
          <w:tab w:leader="none" w:pos="2005" w:val="left"/>
        </w:tabs>
        <w:numPr>
          <w:ilvl w:val="2"/>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foreign court determines, in the case of any proceeding in the courts of any other jurisdiction (the date as of which such conversion is made pursuant to this Section 9(p)(i)(2) being hereinafter referred to as the “</w:t>
      </w:r>
      <w:r>
        <w:rPr>
          <w:rFonts w:ascii="Times New Roman" w:cs="Times New Roman" w:eastAsia="Times New Roman" w:hAnsi="Times New Roman"/>
          <w:sz w:val="16"/>
          <w:szCs w:val="16"/>
          <w:b w:val="1"/>
          <w:bCs w:val="1"/>
          <w:color w:val="auto"/>
        </w:rPr>
        <w:t>Judgment Conversion Date</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jc w:val="both"/>
        <w:ind w:left="10" w:firstLine="582"/>
        <w:spacing w:after="0" w:line="267" w:lineRule="auto"/>
        <w:tabs>
          <w:tab w:leader="none" w:pos="843"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 the case of any proceeding in the court of any jurisdiction referred to in Section 9(p)(i)(2),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59" w:lineRule="exact"/>
        <w:rPr>
          <w:rFonts w:ascii="Times New Roman" w:cs="Times New Roman" w:eastAsia="Times New Roman" w:hAnsi="Times New Roman"/>
          <w:sz w:val="16"/>
          <w:szCs w:val="16"/>
          <w:color w:val="auto"/>
        </w:rPr>
      </w:pPr>
    </w:p>
    <w:p>
      <w:pPr>
        <w:ind w:left="10" w:firstLine="582"/>
        <w:spacing w:after="0" w:line="296" w:lineRule="auto"/>
        <w:tabs>
          <w:tab w:leader="none" w:pos="889" w:val="left"/>
        </w:tabs>
        <w:numPr>
          <w:ilvl w:val="1"/>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335"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19050</wp:posOffset>
            </wp:positionV>
            <wp:extent cx="714438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50"/>
          </w:cols>
          <w:pgMar w:left="910" w:top="838" w:right="339" w:bottom="1440" w:gutter="0" w:footer="0" w:header="0"/>
        </w:sectPr>
      </w:pPr>
    </w:p>
    <w:bookmarkStart w:id="135" w:name="page136"/>
    <w:bookmarkEnd w:id="135"/>
    <w:p>
      <w:pPr>
        <w:jc w:val="both"/>
        <w:ind w:firstLine="590"/>
        <w:spacing w:after="0" w:line="259" w:lineRule="auto"/>
        <w:tabs>
          <w:tab w:leader="none" w:pos="824"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Nature of Holders’ Obligations and Rights</w:t>
      </w:r>
      <w:r>
        <w:rPr>
          <w:rFonts w:ascii="Times New Roman" w:cs="Times New Roman" w:eastAsia="Times New Roman" w:hAnsi="Times New Roman"/>
          <w:sz w:val="16"/>
          <w:szCs w:val="16"/>
          <w:color w:val="auto"/>
        </w:rPr>
        <w:t>. The obligations of each Holder under the Transaction Documents are several and not joint with the obligations of any other Holder, and no Holder shall be responsible in any way for the performance of the obligations of any other Holder under any Transaction Document. Nothing contained herein or in any other Transaction Document, and no action taken by any Holder pursuant hereto or thereto, shall be deemed to constitute the Holders as, and the Company acknowledges that the Holders do not so constitute, a partnership, an association, a joint venture or any other kind of group or entity, or create a presumption that the Holders are in any way acting in concert or as a group or entity, and the Company shall not assert any such claim with respect to such obligations or the transactions contemplated by the Transaction Documents or any matters, and the Company acknowledges that the Holders are not acting in concert or as a group, and the Company shall not assert any such claim, with respect to such obligations or the transactions contemplated by the Transaction Documents. The decision of each Holder to exchange the Prior Securities for the Exchange Securities pursuant to the Transaction Documents has been made by such Holder independently of any other Holder. Each Holder acknowledges that no other Holder has acted as agent for such Holder in connection with such Holder making its investment hereunder and that no other Holder will be acting as agent of such Holder in connection with monitoring such Holder’s investment in the Securities or enforcing its rights under the Transaction Documents. The Company and each Holder confirms that each Holder has independently participated with the Company and its Subsidiaries in the negotiation of the transaction contemplated hereby with the advice of its own counsel and advisors. Each Holder shall be entitled to independently protect and enforce its rights, including, without limitation, the rights arising out of this Agreement or out of any other Transaction Documents, and it shall not be necessary for any other Holder to be joined as an additional party in any proceeding for such purpose. The use of a single agreement to effectuate the exchange of the Prior Securities for the Exchange Securities contemplated hereby was solely in the control of the Company, not the action or decision of any Holder, and was done solely for the convenience of the Company and its Subsidiaries and not because it was required or requested to do so by any Holder. It is expressly understood and agreed that each provision contained in this Agreement and in each other Transaction Document is between the Company, each Subsidiary and a Holder, solely, and not between the Company, its Subsidiaries and the Holders collectively and not between and among the Holders.</w:t>
      </w:r>
    </w:p>
    <w:p>
      <w:pPr>
        <w:spacing w:after="0" w:line="370" w:lineRule="exact"/>
        <w:rPr>
          <w:rFonts w:ascii="Times New Roman" w:cs="Times New Roman" w:eastAsia="Times New Roman" w:hAnsi="Times New Roman"/>
          <w:sz w:val="16"/>
          <w:szCs w:val="16"/>
          <w:color w:val="auto"/>
        </w:rPr>
      </w:pPr>
    </w:p>
    <w:p>
      <w:pPr>
        <w:ind w:firstLine="590"/>
        <w:spacing w:after="0" w:line="296" w:lineRule="auto"/>
        <w:tabs>
          <w:tab w:leader="none" w:pos="797"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Date</w:t>
      </w:r>
      <w:r>
        <w:rPr>
          <w:rFonts w:ascii="Times New Roman" w:cs="Times New Roman" w:eastAsia="Times New Roman" w:hAnsi="Times New Roman"/>
          <w:sz w:val="16"/>
          <w:szCs w:val="16"/>
          <w:color w:val="auto"/>
        </w:rPr>
        <w:t>. If the date by which any obligation under any of the Transaction Documents must be performed occurs on a day other than a Business Day, then the date by which such performance is required shall be the next Business Day following such date.</w:t>
      </w:r>
    </w:p>
    <w:p>
      <w:pPr>
        <w:spacing w:after="0" w:line="137" w:lineRule="exact"/>
        <w:rPr>
          <w:rFonts w:ascii="Times New Roman" w:cs="Times New Roman" w:eastAsia="Times New Roman" w:hAnsi="Times New Roman"/>
          <w:sz w:val="16"/>
          <w:szCs w:val="16"/>
          <w:color w:val="auto"/>
        </w:rPr>
      </w:pPr>
    </w:p>
    <w:p>
      <w:pPr>
        <w:jc w:val="both"/>
        <w:ind w:firstLine="590"/>
        <w:spacing w:after="0" w:line="277" w:lineRule="auto"/>
        <w:tabs>
          <w:tab w:leader="none" w:pos="80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 Fees</w:t>
      </w:r>
      <w:r>
        <w:rPr>
          <w:rFonts w:ascii="Times New Roman" w:cs="Times New Roman" w:eastAsia="Times New Roman" w:hAnsi="Times New Roman"/>
          <w:sz w:val="16"/>
          <w:szCs w:val="16"/>
          <w:color w:val="auto"/>
        </w:rPr>
        <w:t>. The Company agrees to pay all reasonable and documented out of pocket costs and expenses of the Holders actually incurred as a result of enforcement of the Transaction Documents and the collection of any amounts owed to the Holders hereunder (whether in cash, equity or otherwise), including, without limitation, actual reasonable and documented attorneys’ fees and expenses.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6" w:name="page137"/>
    <w:bookmarkEnd w:id="136"/>
    <w:p>
      <w:pPr>
        <w:ind w:left="780" w:hanging="190"/>
        <w:spacing w:after="0"/>
        <w:tabs>
          <w:tab w:leader="none" w:pos="78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Collateral Agent</w:t>
      </w:r>
      <w:r>
        <w:rPr>
          <w:rFonts w:ascii="Times New Roman" w:cs="Times New Roman" w:eastAsia="Times New Roman" w:hAnsi="Times New Roman"/>
          <w:sz w:val="16"/>
          <w:szCs w:val="16"/>
          <w:color w:val="auto"/>
        </w:rPr>
        <w:t>.</w:t>
      </w:r>
    </w:p>
    <w:p>
      <w:pPr>
        <w:spacing w:after="0" w:line="208" w:lineRule="exact"/>
        <w:rPr>
          <w:rFonts w:ascii="Times New Roman" w:cs="Times New Roman" w:eastAsia="Times New Roman" w:hAnsi="Times New Roman"/>
          <w:sz w:val="16"/>
          <w:szCs w:val="16"/>
          <w:color w:val="auto"/>
        </w:rPr>
      </w:pPr>
    </w:p>
    <w:p>
      <w:pPr>
        <w:jc w:val="both"/>
        <w:ind w:firstLine="1182"/>
        <w:spacing w:after="0" w:line="260" w:lineRule="auto"/>
        <w:tabs>
          <w:tab w:leader="none" w:pos="1379"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Appointment; Authorization. </w:t>
      </w:r>
      <w:r>
        <w:rPr>
          <w:rFonts w:ascii="Times New Roman" w:cs="Times New Roman" w:eastAsia="Times New Roman" w:hAnsi="Times New Roman"/>
          <w:sz w:val="16"/>
          <w:szCs w:val="16"/>
          <w:color w:val="auto"/>
        </w:rPr>
        <w:t>The Holders, together with any successors or assigns thereof, hereby irrevocably appoint, designate and authorize High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Trail Special Situations LLC as collateral agent to take such action on their behalf under the provisions of the Exchange Notes, each of the Security Documents, as amended by the Amendment to Security Documents and to exercise such powers and perform such duties as are expressly delegated to it by the terms of each of the Security Documents, as amended by the Amendment to Security Documents, together with such powers as are reasonably incidental thereto. The provisions of this Section 9(t) are solely for the benefit of the Collateral Agent, and the Company shall not have rights as a third-party beneficiary of any of such provisions. It is understood and agreed that the use of the term “agent” herein or in any Security Documents, as amended by the Amendments to Security Documents (or any other similar term) with reference to the Collateral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Notwithstanding any provision to the contrary contained elsewhere in the Exchange Notes, any Security Documents, as amended by the Amendments to Security Documents or any other agreement, instrument or document related hereto or thereto, the Collateral Agent shall not have any duty or responsibility except those expressly set forth herein, and no implied covenants, functions, responsibilities, duties, obligations or liabilities shall be read into the Exchange Notes, any Security Documents, as amended by the Amendments to Security Documents or any other agreement, instrument or document related hereto or thereto or otherwise exist against the Collateral Agent.</w:t>
      </w:r>
    </w:p>
    <w:p>
      <w:pPr>
        <w:spacing w:after="0" w:line="368" w:lineRule="exact"/>
        <w:rPr>
          <w:rFonts w:ascii="Times New Roman" w:cs="Times New Roman" w:eastAsia="Times New Roman" w:hAnsi="Times New Roman"/>
          <w:sz w:val="16"/>
          <w:szCs w:val="16"/>
          <w:color w:val="auto"/>
        </w:rPr>
      </w:pPr>
    </w:p>
    <w:p>
      <w:pPr>
        <w:jc w:val="both"/>
        <w:ind w:firstLine="1182"/>
        <w:spacing w:after="0" w:line="263" w:lineRule="auto"/>
        <w:tabs>
          <w:tab w:leader="none" w:pos="1425"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Delegation of Duties. </w:t>
      </w:r>
      <w:r>
        <w:rPr>
          <w:rFonts w:ascii="Times New Roman" w:cs="Times New Roman" w:eastAsia="Times New Roman" w:hAnsi="Times New Roman"/>
          <w:sz w:val="16"/>
          <w:szCs w:val="16"/>
          <w:color w:val="auto"/>
        </w:rPr>
        <w:t>The Collateral Agent may perform any and all of its duties and exercise its rights and powers hereunder or under any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 as amended by the Amendments to Security Documents by or through any one or more sub-agents appointed by the Collateral Agent. The Collateral Agent and any such sub-agent may perform any and all of its duties and exercise its rights and powers by or through its Affiliates (as defined in the Exchange Notes), partners, directors, officers, employees, agents, trustees, administrators, managers, advisors and representatives, or the partners, directors, officers, employees, agents, trustees, administrators, managers, advisors and representatives of any of its Affiliates (collectively, the “</w:t>
      </w:r>
      <w:r>
        <w:rPr>
          <w:rFonts w:ascii="Times New Roman" w:cs="Times New Roman" w:eastAsia="Times New Roman" w:hAnsi="Times New Roman"/>
          <w:sz w:val="16"/>
          <w:szCs w:val="16"/>
          <w:b w:val="1"/>
          <w:bCs w:val="1"/>
          <w:color w:val="auto"/>
        </w:rPr>
        <w:t>Related Parties</w:t>
      </w:r>
      <w:r>
        <w:rPr>
          <w:rFonts w:ascii="Times New Roman" w:cs="Times New Roman" w:eastAsia="Times New Roman" w:hAnsi="Times New Roman"/>
          <w:sz w:val="16"/>
          <w:szCs w:val="16"/>
          <w:color w:val="auto"/>
        </w:rPr>
        <w:t>”). The exculpatory provisions of this Section 9(t) shall apply to any such sub-agent and to the Related Parties of the Collateral Agent and any such sub-agent. The Collateral Agent shall not be responsible for the negligence or misconduct of any sub-agents except to the extent that a court of competent jurisdiction determines in a final and non-appealable judgment that the Collateral Agent acted with gross negligence or willful misconduct in the selection of such sub-agents.</w:t>
      </w:r>
    </w:p>
    <w:p>
      <w:pPr>
        <w:spacing w:after="0" w:line="161" w:lineRule="exact"/>
        <w:rPr>
          <w:rFonts w:ascii="Times New Roman" w:cs="Times New Roman" w:eastAsia="Times New Roman" w:hAnsi="Times New Roman"/>
          <w:sz w:val="16"/>
          <w:szCs w:val="16"/>
          <w:color w:val="auto"/>
        </w:rPr>
      </w:pPr>
    </w:p>
    <w:p>
      <w:pPr>
        <w:ind w:left="1460" w:hanging="278"/>
        <w:spacing w:after="0"/>
        <w:tabs>
          <w:tab w:leader="none" w:pos="1460"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Exculpatory Provisions</w:t>
      </w:r>
      <w:r>
        <w:rPr>
          <w:rFonts w:ascii="Times New Roman" w:cs="Times New Roman" w:eastAsia="Times New Roman" w:hAnsi="Times New Roman"/>
          <w:sz w:val="16"/>
          <w:szCs w:val="16"/>
          <w:color w:val="auto"/>
        </w:rPr>
        <w:t>.</w:t>
      </w:r>
    </w:p>
    <w:p>
      <w:pPr>
        <w:spacing w:after="0" w:line="212" w:lineRule="exact"/>
        <w:rPr>
          <w:rFonts w:ascii="Times New Roman" w:cs="Times New Roman" w:eastAsia="Times New Roman" w:hAnsi="Times New Roman"/>
          <w:sz w:val="16"/>
          <w:szCs w:val="16"/>
          <w:color w:val="auto"/>
        </w:rPr>
      </w:pPr>
    </w:p>
    <w:p>
      <w:pPr>
        <w:jc w:val="both"/>
        <w:ind w:firstLine="1773"/>
        <w:spacing w:after="0" w:line="265" w:lineRule="auto"/>
        <w:tabs>
          <w:tab w:leader="none" w:pos="2043" w:val="left"/>
        </w:tabs>
        <w:numPr>
          <w:ilvl w:val="2"/>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have any duties or obligations except those expressly set forth in the Security Documents, as amended by the Amendments to Security Documents, and its duties shall be administrative in nature. Without limiting the generality of the foregoing, the Collateral Agent: (i) shall not be subject to any fiduciary or other implied duties, regardless of whether a Default (as defined in the Exchange Notes) or Event of Default (as defined in the Exchange Notes) has occurred and is continuing; (ii) shall not have any duty to take any discretionary action or exercise any discretionary powers; and (iii) shall not, except as expressly set forth in the Security Documents, as amended by the Amendments to Security Documents, have any duty to disclose, and shall not be liable for the failure to disclose, any information relating to the Company or any of its Affiliates that is communicated to or obtained by the Collateral Agent or any of its Affiliates in any capacity.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7" w:name="page138"/>
    <w:bookmarkEnd w:id="137"/>
    <w:p>
      <w:pPr>
        <w:jc w:val="both"/>
        <w:ind w:firstLine="1773"/>
        <w:spacing w:after="0" w:line="277" w:lineRule="auto"/>
        <w:tabs>
          <w:tab w:leader="none" w:pos="2059"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be liable for any action taken or not taken by it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the Company.</w:t>
      </w:r>
    </w:p>
    <w:p>
      <w:pPr>
        <w:spacing w:after="0" w:line="151" w:lineRule="exact"/>
        <w:rPr>
          <w:rFonts w:ascii="Times New Roman" w:cs="Times New Roman" w:eastAsia="Times New Roman" w:hAnsi="Times New Roman"/>
          <w:sz w:val="16"/>
          <w:szCs w:val="16"/>
          <w:color w:val="auto"/>
        </w:rPr>
      </w:pPr>
    </w:p>
    <w:p>
      <w:pPr>
        <w:jc w:val="both"/>
        <w:ind w:firstLine="1773"/>
        <w:spacing w:after="0" w:line="260" w:lineRule="auto"/>
        <w:tabs>
          <w:tab w:leader="none" w:pos="2034"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Agent shall not be responsible for or have any duty to ascertain or inquire into (a) any statement, warranty or representation made in or in connection with the Exchange Notes, any Security Documents, as amended by the Amendments to Security Documents or any other agreement, instrument or document related hereto or thereto,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or Event of Default, (d) the validity, enforceability, effectiveness or genuineness of the Exchange Notes, any Security Documents, as amended by the Amendments to Security Documents or any other agreement, instrument or document related to the Exchange Notes or the Security Documents, as amended by the Amendments to Security Documents, or (e) any failure of the Company or any other party to the Exchange Notes, any Security Documents, as amended by the Amendments to Security Documents or any other agreement, instrument or document related to the Exchange Notes or the Security Documents, as amended by the Amendments to Security Documents to perform its obligations thereunder. The Collateral Agent shall not be under any obligation to ascertain or to inquire as to the observance or performance of any of the agreements contained in, or conditions of, the Exchange Notes, any Security Documents, as amended by the Amendments to Security Documents or any other agreement, instrument or document related to the Exchange Notes or the Security Documents, as amended by the Amendments to Security Documents, or to inspect the properties, books or records of the Company or any Affiliate of the Company.</w:t>
      </w:r>
    </w:p>
    <w:p>
      <w:pPr>
        <w:spacing w:after="0" w:line="169" w:lineRule="exact"/>
        <w:rPr>
          <w:sz w:val="20"/>
          <w:szCs w:val="20"/>
          <w:color w:val="auto"/>
        </w:rPr>
      </w:pPr>
    </w:p>
    <w:p>
      <w:pPr>
        <w:jc w:val="both"/>
        <w:ind w:firstLine="1773"/>
        <w:spacing w:after="0" w:line="265" w:lineRule="auto"/>
        <w:tabs>
          <w:tab w:leader="none" w:pos="2065"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Reliance by Collateral Agent. </w:t>
      </w:r>
      <w:r>
        <w:rPr>
          <w:rFonts w:ascii="Times New Roman" w:cs="Times New Roman" w:eastAsia="Times New Roman" w:hAnsi="Times New Roman"/>
          <w:sz w:val="16"/>
          <w:szCs w:val="16"/>
          <w:color w:val="auto"/>
        </w:rPr>
        <w:t>The Collateral Agent shall be entitled to rely upon, and shall not incur any liability for relying upon,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independent accountants and other experts selected by it, and shall not be liable for any action taken or not taken by it in accordance with the advice of any such counsel, accountants or experts.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8" w:name="page139"/>
    <w:bookmarkEnd w:id="138"/>
    <w:p>
      <w:pPr>
        <w:jc w:val="both"/>
        <w:ind w:firstLine="1773"/>
        <w:spacing w:after="0" w:line="262" w:lineRule="auto"/>
        <w:tabs>
          <w:tab w:leader="none" w:pos="2007"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Successor Agent. </w:t>
      </w:r>
      <w:r>
        <w:rPr>
          <w:rFonts w:ascii="Times New Roman" w:cs="Times New Roman" w:eastAsia="Times New Roman" w:hAnsi="Times New Roman"/>
          <w:sz w:val="16"/>
          <w:szCs w:val="16"/>
          <w:color w:val="auto"/>
        </w:rPr>
        <w:t>The Collateral Agent may resign as the Collateral Agent at any time upon ten (10) days’ prior notice to the Holders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If the Collateral Agent resigns under the Exchange Notes, the Required Holders shall appoint a successor agent. If no successor agent is appointed prior to the effective date of the resignation of the Collateral Agent, the Collateral Agent may appoint a successor Collateral Agent on behalf of the Holders after consulting with the Holders. Upon the acceptance of its appointment as successor agent hereunder, such successor agent shall succeed to all the rights, powers and duties of the retiring Collateral Agent and the term “the Collateral Agent” shall mean such successor agent, and the retiring Collateral Agent’s appointment, powers and duties as the Collateral Agent shall be terminated. After the Collateral Agent’s resignation hereunder as the Collateral Agent, the provisions of this Section 9(t) shall continue to inure to its benefit as to any actions taken or omitted to be taken by it while it was the Collateral Agent. If no successor agent has accepted appointment as the Collateral Agent by the date which is thirty (30) days following a retiring Collateral Agent’s notice of resignation, a retiring Collateral Agent’s resignation shall nevertheless thereupon become effective and the Holders, shall perform all of the duties of the Collateral Agent hereunder until such time as Required Holders shall appoint a successor agent as provided for above.</w:t>
      </w:r>
    </w:p>
    <w:p>
      <w:pPr>
        <w:spacing w:after="0" w:line="361" w:lineRule="exact"/>
        <w:rPr>
          <w:rFonts w:ascii="Times New Roman" w:cs="Times New Roman" w:eastAsia="Times New Roman" w:hAnsi="Times New Roman"/>
          <w:sz w:val="16"/>
          <w:szCs w:val="16"/>
          <w:color w:val="auto"/>
        </w:rPr>
      </w:pPr>
    </w:p>
    <w:p>
      <w:pPr>
        <w:jc w:val="both"/>
        <w:ind w:firstLine="1773"/>
        <w:spacing w:after="0" w:line="267" w:lineRule="auto"/>
        <w:tabs>
          <w:tab w:leader="none" w:pos="2053"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Non-Reliance on the Collateral Agent. </w:t>
      </w:r>
      <w:r>
        <w:rPr>
          <w:rFonts w:ascii="Times New Roman" w:cs="Times New Roman" w:eastAsia="Times New Roman" w:hAnsi="Times New Roman"/>
          <w:sz w:val="16"/>
          <w:szCs w:val="16"/>
          <w:color w:val="auto"/>
        </w:rPr>
        <w:t>The Holders acknowledges that they have, independently and without reliance upon the Collateral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Agent or any of its Related Parties and based on such documents and information as they have deemed appropriate, made their own credit analysis and decision to enter invest in the Exchange Notes. The Holders also acknowledges that they will, independently and without reliance upon the Collateral Agent or any of its Related Parties and based on such documents and information as they shall from time to time deem appropriate, continue to make their own decisions in taking or not taking action under or based upon the Exchange Notes, any Security Document or any related agreement or any document furnished hereunder or thereunder.</w:t>
      </w:r>
    </w:p>
    <w:p>
      <w:pPr>
        <w:spacing w:after="0" w:line="159" w:lineRule="exact"/>
        <w:rPr>
          <w:rFonts w:ascii="Times New Roman" w:cs="Times New Roman" w:eastAsia="Times New Roman" w:hAnsi="Times New Roman"/>
          <w:sz w:val="16"/>
          <w:szCs w:val="16"/>
          <w:color w:val="auto"/>
        </w:rPr>
      </w:pPr>
    </w:p>
    <w:p>
      <w:pPr>
        <w:jc w:val="both"/>
        <w:ind w:firstLine="1773"/>
        <w:spacing w:after="0" w:line="262" w:lineRule="auto"/>
        <w:tabs>
          <w:tab w:leader="none" w:pos="2098"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Collateral Matters. </w:t>
      </w:r>
      <w:r>
        <w:rPr>
          <w:rFonts w:ascii="Times New Roman" w:cs="Times New Roman" w:eastAsia="Times New Roman" w:hAnsi="Times New Roman"/>
          <w:sz w:val="16"/>
          <w:szCs w:val="16"/>
          <w:color w:val="auto"/>
        </w:rPr>
        <w:t>The Holders irrevocably authorize the Collateral Agent to release any Lien (as defined in the Exchange Notes) granted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or held by the Collateral Agent under any Security Documents, as amended by the Amendments to Security Documents (i) when all Obligations (as defined in the Security Agreements) have been paid in full; (ii) constituting property sold or to be sold or disposed of as part of or in connection with any sale or other disposition permitted under the Exchange Notes and each other agreement, instrument or document related thereto (it being agreed and understood that the Collateral Agent may conclusively rely without further inquiry on a certificate of an officer of the Company as to the sale or other disposition of property being made in compliance with the Exchange Notes and each other agreement, instrument or document related thereto); or (iii) if approved, authorized or ratified in writing by the Holders. The Collateral Agent shall have the right, in accordance with the Security Documents, as amended by the Amendments to Security Documents to sell, lease or otherwise dispose of any Collateral (as defined in the Security Agreements) for cash, credit or any combination thereof, and the Collateral Agent may purchase any Collateral at public or, if permitted by law, private sale and, in lieu of actual payment of the purchase price, may credit bid and setoff the amount of such price against the Obligations.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39" w:name="page140"/>
    <w:bookmarkEnd w:id="139"/>
    <w:p>
      <w:pPr>
        <w:jc w:val="both"/>
        <w:ind w:firstLine="1773"/>
        <w:spacing w:after="0" w:line="271" w:lineRule="auto"/>
        <w:tabs>
          <w:tab w:leader="none" w:pos="214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Reimbursement by Holders. </w:t>
      </w:r>
      <w:r>
        <w:rPr>
          <w:rFonts w:ascii="Times New Roman" w:cs="Times New Roman" w:eastAsia="Times New Roman" w:hAnsi="Times New Roman"/>
          <w:sz w:val="16"/>
          <w:szCs w:val="16"/>
          <w:color w:val="auto"/>
        </w:rPr>
        <w:t>To the extent that the Company for any reason fails to indefeasibly pay any amount required under Sections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4(f), 4(w)or 9(k) to be paid by it to the Collateral Agent (or any sub-agent thereof) or any Related Party of the Collateral Agent (or any sub-agent thereof), the Holders hereby agree, jointly and severally, to pay to the Collateral Agent (or any such sub-agent) or such Related Party of the Collateral Agent (or any sub-agent thereof), as the case may be, such unpaid amount.</w:t>
      </w:r>
    </w:p>
    <w:p>
      <w:pPr>
        <w:spacing w:after="0" w:line="154" w:lineRule="exact"/>
        <w:rPr>
          <w:rFonts w:ascii="Times New Roman" w:cs="Times New Roman" w:eastAsia="Times New Roman" w:hAnsi="Times New Roman"/>
          <w:sz w:val="16"/>
          <w:szCs w:val="16"/>
          <w:color w:val="auto"/>
        </w:rPr>
      </w:pPr>
    </w:p>
    <w:p>
      <w:pPr>
        <w:jc w:val="both"/>
        <w:ind w:firstLine="1773"/>
        <w:spacing w:after="0" w:line="263" w:lineRule="auto"/>
        <w:tabs>
          <w:tab w:leader="none" w:pos="2053"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Marshaling; Payments Set Aside. </w:t>
      </w:r>
      <w:r>
        <w:rPr>
          <w:rFonts w:ascii="Times New Roman" w:cs="Times New Roman" w:eastAsia="Times New Roman" w:hAnsi="Times New Roman"/>
          <w:sz w:val="16"/>
          <w:szCs w:val="16"/>
          <w:color w:val="auto"/>
        </w:rPr>
        <w:t>Neither the Collateral Agent nor the Holders shall be under any obligation to marshal any assets in favor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Company or any other Person or against or in payment of any or all of the Obligations. To the extent that the Company makes a payment or payments to the Collateral Agent, or the Collateral Agent enforces its Liens (as defined in the Exchange Notes) or exercises its rights of set-off, and such payment or payments or the proceeds of such enforcement or set-off or any part thereof are subsequently invalidated, declared to be fraudulent or preferential, set aside or required (including pursuant to any settlement entered into by the Collateral Agent in its discretion) to be repaid to a trustee, receiver or any other party in connection with any bankruptcy, insolvency or similar proceeding, or otherwise, then (i) to the extent of such recovery, the obligation under the Exchange Notes intended to be satisfied shall be revived and continued in full force and effect as if such payment had not been made or such enforcement or set-off had not occurred and (ii) the Holders agree to pay to the Collateral Agent upon demand its share of the total amount so recovered from or repaid by the Collateral Agent to the extent paid to the 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40" w:name="page141"/>
    <w:bookmarkEnd w:id="140"/>
    <w:p>
      <w:pPr>
        <w:ind w:firstLine="591"/>
        <w:spacing w:after="0" w:line="302"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each Holder and the Company have caused their respective signature page to this Agreement to be duly executed as of the date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written above.</w:t>
      </w:r>
    </w:p>
    <w:p>
      <w:pPr>
        <w:spacing w:after="0" w:line="1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214"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26670</wp:posOffset>
            </wp:positionV>
            <wp:extent cx="2566670"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6670" cy="15875"/>
                    </a:xfrm>
                    <a:prstGeom prst="rect">
                      <a:avLst/>
                    </a:prstGeom>
                    <a:noFill/>
                  </pic:spPr>
                </pic:pic>
              </a:graphicData>
            </a:graphic>
          </wp:anchor>
        </w:drawing>
      </w:r>
    </w:p>
    <w:p>
      <w:pPr>
        <w:spacing w:after="0" w:line="30" w:lineRule="exact"/>
        <w:rPr>
          <w:sz w:val="20"/>
          <w:szCs w:val="20"/>
          <w:color w:val="auto"/>
        </w:rPr>
      </w:pPr>
    </w:p>
    <w:p>
      <w:pPr>
        <w:ind w:left="7200"/>
        <w:spacing w:after="0"/>
        <w:tabs>
          <w:tab w:leader="none" w:pos="7780" w:val="left"/>
        </w:tabs>
        <w:rPr>
          <w:sz w:val="20"/>
          <w:szCs w:val="20"/>
          <w:color w:val="auto"/>
        </w:rPr>
      </w:pPr>
      <w:r>
        <w:rPr>
          <w:rFonts w:ascii="Times New Roman" w:cs="Times New Roman" w:eastAsia="Times New Roman" w:hAnsi="Times New Roman"/>
          <w:sz w:val="16"/>
          <w:szCs w:val="16"/>
          <w:color w:val="auto"/>
        </w:rPr>
        <w:t>Name:</w:t>
        <w:tab/>
        <w:t>Raymond Chang</w:t>
      </w:r>
    </w:p>
    <w:p>
      <w:pPr>
        <w:spacing w:after="0" w:line="30" w:lineRule="exact"/>
        <w:rPr>
          <w:sz w:val="20"/>
          <w:szCs w:val="20"/>
          <w:color w:val="auto"/>
        </w:rPr>
      </w:pPr>
    </w:p>
    <w:p>
      <w:pPr>
        <w:ind w:left="7200"/>
        <w:spacing w:after="0"/>
        <w:tabs>
          <w:tab w:leader="none" w:pos="778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41" w:name="page142"/>
    <w:bookmarkEnd w:id="141"/>
    <w:p>
      <w:pPr>
        <w:ind w:firstLine="591"/>
        <w:spacing w:after="0" w:line="302" w:lineRule="auto"/>
        <w:rPr>
          <w:sz w:val="20"/>
          <w:szCs w:val="20"/>
          <w:color w:val="auto"/>
        </w:rPr>
      </w:pPr>
      <w:r>
        <w:rPr>
          <w:rFonts w:ascii="Times New Roman" w:cs="Times New Roman" w:eastAsia="Times New Roman" w:hAnsi="Times New Roman"/>
          <w:sz w:val="16"/>
          <w:szCs w:val="16"/>
          <w:b w:val="1"/>
          <w:bCs w:val="1"/>
          <w:color w:val="auto"/>
        </w:rPr>
        <w:t xml:space="preserve">IN WITNESS WHEREOF, </w:t>
      </w:r>
      <w:r>
        <w:rPr>
          <w:rFonts w:ascii="Times New Roman" w:cs="Times New Roman" w:eastAsia="Times New Roman" w:hAnsi="Times New Roman"/>
          <w:sz w:val="16"/>
          <w:szCs w:val="16"/>
          <w:color w:val="auto"/>
        </w:rPr>
        <w:t>each Holder and the Company have caused their respective signature page to this Agreement to be duly executed as of the date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written above.</w:t>
      </w:r>
    </w:p>
    <w:p>
      <w:pPr>
        <w:spacing w:after="0" w:line="1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HOLDER:</w:t>
      </w:r>
    </w:p>
    <w:p>
      <w:pPr>
        <w:spacing w:after="0" w:line="2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HIGH TRAIL SPECIAL SITUATIONS LLC</w:t>
      </w:r>
    </w:p>
    <w:p>
      <w:pPr>
        <w:spacing w:after="0" w:line="214"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Eric Helenek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26670</wp:posOffset>
            </wp:positionV>
            <wp:extent cx="2566670"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6670" cy="15875"/>
                    </a:xfrm>
                    <a:prstGeom prst="rect">
                      <a:avLst/>
                    </a:prstGeom>
                    <a:noFill/>
                  </pic:spPr>
                </pic:pic>
              </a:graphicData>
            </a:graphic>
          </wp:anchor>
        </w:drawing>
      </w:r>
    </w:p>
    <w:p>
      <w:pPr>
        <w:spacing w:after="0" w:line="30" w:lineRule="exact"/>
        <w:rPr>
          <w:sz w:val="20"/>
          <w:szCs w:val="20"/>
          <w:color w:val="auto"/>
        </w:rPr>
      </w:pPr>
    </w:p>
    <w:p>
      <w:pPr>
        <w:ind w:left="7200"/>
        <w:spacing w:after="0"/>
        <w:tabs>
          <w:tab w:leader="none" w:pos="7780" w:val="left"/>
        </w:tabs>
        <w:rPr>
          <w:sz w:val="20"/>
          <w:szCs w:val="20"/>
          <w:color w:val="auto"/>
        </w:rPr>
      </w:pPr>
      <w:r>
        <w:rPr>
          <w:rFonts w:ascii="Times New Roman" w:cs="Times New Roman" w:eastAsia="Times New Roman" w:hAnsi="Times New Roman"/>
          <w:sz w:val="16"/>
          <w:szCs w:val="16"/>
          <w:color w:val="auto"/>
        </w:rPr>
        <w:t>Name:</w:t>
        <w:tab/>
        <w:t>Eric Helenek</w:t>
      </w:r>
    </w:p>
    <w:p>
      <w:pPr>
        <w:spacing w:after="0" w:line="30" w:lineRule="exact"/>
        <w:rPr>
          <w:sz w:val="20"/>
          <w:szCs w:val="20"/>
          <w:color w:val="auto"/>
        </w:rPr>
      </w:pPr>
    </w:p>
    <w:p>
      <w:pPr>
        <w:ind w:left="7200"/>
        <w:spacing w:after="0"/>
        <w:tabs>
          <w:tab w:leader="none" w:pos="7780" w:val="left"/>
        </w:tabs>
        <w:rPr>
          <w:sz w:val="20"/>
          <w:szCs w:val="20"/>
          <w:color w:val="auto"/>
        </w:rPr>
      </w:pPr>
      <w:r>
        <w:rPr>
          <w:rFonts w:ascii="Times New Roman" w:cs="Times New Roman" w:eastAsia="Times New Roman" w:hAnsi="Times New Roman"/>
          <w:sz w:val="16"/>
          <w:szCs w:val="16"/>
          <w:color w:val="auto"/>
        </w:rPr>
        <w:t>Title:</w:t>
        <w:tab/>
        <w:t>Authorized Signatory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4438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8"/>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SCHEDULE OF HOLDERS</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Pr>
          <w:p>
            <w:pPr>
              <w:spacing w:after="0"/>
              <w:rPr>
                <w:sz w:val="24"/>
                <w:szCs w:val="24"/>
                <w:color w:val="auto"/>
              </w:rPr>
            </w:pPr>
          </w:p>
        </w:tc>
        <w:tc>
          <w:tcPr>
            <w:tcW w:w="172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24"/>
                <w:szCs w:val="2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bottom w:val="single" w:sz="8" w:color="auto"/>
            </w:tcBorders>
            <w:gridSpan w:val="2"/>
          </w:tcPr>
          <w:p>
            <w:pPr>
              <w:jc w:val="center"/>
              <w:ind w:left="18"/>
              <w:spacing w:after="0"/>
              <w:rPr>
                <w:sz w:val="20"/>
                <w:szCs w:val="20"/>
                <w:color w:val="auto"/>
              </w:rPr>
            </w:pPr>
            <w:r>
              <w:rPr>
                <w:rFonts w:ascii="Times New Roman" w:cs="Times New Roman" w:eastAsia="Times New Roman" w:hAnsi="Times New Roman"/>
                <w:sz w:val="16"/>
                <w:szCs w:val="16"/>
                <w:b w:val="1"/>
                <w:bCs w:val="1"/>
                <w:color w:val="auto"/>
              </w:rPr>
              <w:t>(4)</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(5)</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(6)</w:t>
            </w: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(7)</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(8)</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(9)</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(10)</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w w:val="97"/>
              </w:rPr>
              <w:t>(11)</w:t>
            </w:r>
          </w:p>
        </w:tc>
        <w:tc>
          <w:tcPr>
            <w:tcW w:w="100" w:type="dxa"/>
            <w:vAlign w:val="bottom"/>
            <w:tcBorders>
              <w:bottom w:val="single" w:sz="8" w:color="auto"/>
            </w:tcBorders>
          </w:tcPr>
          <w:p>
            <w:pPr>
              <w:spacing w:after="0"/>
              <w:rPr>
                <w:sz w:val="24"/>
                <w:szCs w:val="24"/>
                <w:color w:val="auto"/>
              </w:rPr>
            </w:pPr>
          </w:p>
        </w:tc>
      </w:tr>
      <w:tr>
        <w:trPr>
          <w:trHeight w:val="571"/>
        </w:trPr>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80" w:type="dxa"/>
            <w:vAlign w:val="bottom"/>
          </w:tcPr>
          <w:p>
            <w:pPr>
              <w:spacing w:after="0"/>
              <w:rPr>
                <w:sz w:val="17"/>
                <w:szCs w:val="17"/>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7"/>
                <w:szCs w:val="17"/>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00" w:type="dxa"/>
            <w:vAlign w:val="bottom"/>
          </w:tcPr>
          <w:p>
            <w:pPr>
              <w:spacing w:after="0"/>
              <w:rPr>
                <w:sz w:val="17"/>
                <w:szCs w:val="17"/>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7"/>
                <w:szCs w:val="17"/>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10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Prior</w:t>
            </w:r>
          </w:p>
        </w:tc>
        <w:tc>
          <w:tcPr>
            <w:tcW w:w="80" w:type="dxa"/>
            <w:vAlign w:val="bottom"/>
          </w:tcPr>
          <w:p>
            <w:pPr>
              <w:spacing w:after="0"/>
              <w:rPr>
                <w:sz w:val="17"/>
                <w:szCs w:val="17"/>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the</w:t>
            </w:r>
          </w:p>
        </w:tc>
        <w:tc>
          <w:tcPr>
            <w:tcW w:w="100" w:type="dxa"/>
            <w:vAlign w:val="bottom"/>
          </w:tcPr>
          <w:p>
            <w:pPr>
              <w:spacing w:after="0"/>
              <w:rPr>
                <w:sz w:val="17"/>
                <w:szCs w:val="17"/>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the</w:t>
            </w: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10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100" w:type="dxa"/>
            <w:vAlign w:val="bottom"/>
          </w:tcPr>
          <w:p>
            <w:pPr>
              <w:spacing w:after="0"/>
              <w:rPr>
                <w:sz w:val="17"/>
                <w:szCs w:val="17"/>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Note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Pursuant</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Warrant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Legal</w:t>
            </w:r>
          </w:p>
        </w:tc>
      </w:tr>
      <w:tr>
        <w:trPr>
          <w:trHeight w:val="197"/>
        </w:trPr>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Currently</w:t>
            </w:r>
          </w:p>
        </w:tc>
        <w:tc>
          <w:tcPr>
            <w:tcW w:w="80" w:type="dxa"/>
            <w:vAlign w:val="bottom"/>
          </w:tcPr>
          <w:p>
            <w:pPr>
              <w:spacing w:after="0"/>
              <w:rPr>
                <w:sz w:val="17"/>
                <w:szCs w:val="17"/>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 Pay</w:t>
            </w:r>
          </w:p>
        </w:tc>
        <w:tc>
          <w:tcPr>
            <w:tcW w:w="100" w:type="dxa"/>
            <w:vAlign w:val="bottom"/>
          </w:tcPr>
          <w:p>
            <w:pPr>
              <w:spacing w:after="0"/>
              <w:rPr>
                <w:sz w:val="17"/>
                <w:szCs w:val="17"/>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 Pay</w:t>
            </w:r>
          </w:p>
        </w:tc>
        <w:tc>
          <w:tcPr>
            <w:tcW w:w="10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4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 Prior</w:t>
            </w:r>
          </w:p>
        </w:tc>
        <w:tc>
          <w:tcPr>
            <w:tcW w:w="40" w:type="dxa"/>
            <w:vAlign w:val="bottom"/>
          </w:tcPr>
          <w:p>
            <w:pPr>
              <w:spacing w:after="0"/>
              <w:rPr>
                <w:sz w:val="17"/>
                <w:szCs w:val="17"/>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Representative’s</w:t>
            </w:r>
          </w:p>
        </w:tc>
      </w:tr>
      <w:tr>
        <w:trPr>
          <w:trHeight w:val="235"/>
        </w:trPr>
        <w:tc>
          <w:tcPr>
            <w:tcW w:w="6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1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Held</w:t>
            </w:r>
          </w:p>
        </w:tc>
        <w:tc>
          <w:tcPr>
            <w:tcW w:w="80" w:type="dxa"/>
            <w:vAlign w:val="bottom"/>
          </w:tcPr>
          <w:p>
            <w:pPr>
              <w:spacing w:after="0"/>
              <w:rPr>
                <w:sz w:val="20"/>
                <w:szCs w:val="20"/>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Down</w:t>
            </w:r>
          </w:p>
        </w:tc>
        <w:tc>
          <w:tcPr>
            <w:tcW w:w="100" w:type="dxa"/>
            <w:vAlign w:val="bottom"/>
          </w:tcPr>
          <w:p>
            <w:pPr>
              <w:spacing w:after="0"/>
              <w:rPr>
                <w:sz w:val="20"/>
                <w:szCs w:val="20"/>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Down</w:t>
            </w:r>
          </w:p>
        </w:tc>
        <w:tc>
          <w:tcPr>
            <w:tcW w:w="100" w:type="dxa"/>
            <w:vAlign w:val="bottom"/>
          </w:tcPr>
          <w:p>
            <w:pPr>
              <w:spacing w:after="0"/>
              <w:rPr>
                <w:sz w:val="20"/>
                <w:szCs w:val="20"/>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Exchanged</w:t>
            </w:r>
          </w:p>
        </w:tc>
        <w:tc>
          <w:tcPr>
            <w:tcW w:w="100" w:type="dxa"/>
            <w:vAlign w:val="bottom"/>
          </w:tcPr>
          <w:p>
            <w:pPr>
              <w:spacing w:after="0"/>
              <w:rPr>
                <w:sz w:val="20"/>
                <w:szCs w:val="20"/>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4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4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4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Address</w:t>
            </w:r>
          </w:p>
        </w:tc>
      </w:tr>
      <w:tr>
        <w:trPr>
          <w:trHeight w:val="181"/>
        </w:trPr>
        <w:tc>
          <w:tcPr>
            <w:tcW w:w="66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High</w:t>
            </w:r>
          </w:p>
        </w:tc>
        <w:tc>
          <w:tcPr>
            <w:tcW w:w="1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High Trail Capital 80</w:t>
            </w:r>
          </w:p>
        </w:tc>
        <w:tc>
          <w:tcPr>
            <w:tcW w:w="180" w:type="dxa"/>
            <w:vAlign w:val="bottom"/>
            <w:tcBorders>
              <w:top w:val="single" w:sz="8" w:color="CCEEFF"/>
            </w:tcBorders>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65,000,000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35,227,500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7"/>
              </w:rPr>
              <w:t>33,000,000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rPr>
              <w:t>32,000,000</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35,000,000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12,681,160</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99"/>
              </w:rPr>
              <w:t>6,881,108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99"/>
              </w:rPr>
              <w:t>6,881,108</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Latham &amp;</w:t>
            </w:r>
          </w:p>
        </w:tc>
      </w:tr>
      <w:tr>
        <w:trPr>
          <w:trHeight w:val="197"/>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Trail</w:t>
            </w:r>
          </w:p>
        </w:tc>
        <w:tc>
          <w:tcPr>
            <w:tcW w:w="1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River Street, Suite 4C</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Watkins LLP</w:t>
            </w:r>
          </w:p>
        </w:tc>
      </w:tr>
      <w:tr>
        <w:trPr>
          <w:trHeight w:val="197"/>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Special</w:t>
            </w:r>
          </w:p>
        </w:tc>
        <w:tc>
          <w:tcPr>
            <w:tcW w:w="1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Hoboken, NJ 07030 Attn:</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12670 High Bluff</w:t>
            </w:r>
          </w:p>
        </w:tc>
      </w:tr>
      <w:tr>
        <w:trPr>
          <w:trHeight w:val="197"/>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Situations</w:t>
            </w:r>
          </w:p>
        </w:tc>
        <w:tc>
          <w:tcPr>
            <w:tcW w:w="1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Eric Helenek E-Mail:</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Drive</w:t>
            </w:r>
          </w:p>
        </w:tc>
      </w:tr>
      <w:tr>
        <w:trPr>
          <w:trHeight w:val="197"/>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LLC</w:t>
            </w:r>
          </w:p>
        </w:tc>
        <w:tc>
          <w:tcPr>
            <w:tcW w:w="1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notices@hightrailcap.com</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San Diego, CA</w:t>
            </w:r>
          </w:p>
        </w:tc>
      </w:tr>
      <w:tr>
        <w:trPr>
          <w:trHeight w:val="197"/>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92130</w:t>
            </w:r>
          </w:p>
        </w:tc>
        <w:tc>
          <w:tcPr>
            <w:tcW w:w="100" w:type="dxa"/>
            <w:vAlign w:val="bottom"/>
            <w:shd w:val="clear" w:color="auto" w:fill="CCEEFF"/>
          </w:tcPr>
          <w:p>
            <w:pPr>
              <w:spacing w:after="0"/>
              <w:rPr>
                <w:sz w:val="17"/>
                <w:szCs w:val="17"/>
                <w:color w:val="auto"/>
              </w:rPr>
            </w:pPr>
          </w:p>
        </w:tc>
      </w:tr>
      <w:tr>
        <w:trPr>
          <w:trHeight w:val="197"/>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Telephone: (858)</w:t>
            </w:r>
          </w:p>
        </w:tc>
      </w:tr>
      <w:tr>
        <w:trPr>
          <w:trHeight w:val="197"/>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523-5400</w:t>
            </w:r>
          </w:p>
        </w:tc>
        <w:tc>
          <w:tcPr>
            <w:tcW w:w="100" w:type="dxa"/>
            <w:vAlign w:val="bottom"/>
            <w:shd w:val="clear" w:color="auto" w:fill="CCEEFF"/>
          </w:tcPr>
          <w:p>
            <w:pPr>
              <w:spacing w:after="0"/>
              <w:rPr>
                <w:sz w:val="17"/>
                <w:szCs w:val="17"/>
                <w:color w:val="auto"/>
              </w:rPr>
            </w:pPr>
          </w:p>
        </w:tc>
      </w:tr>
      <w:tr>
        <w:trPr>
          <w:trHeight w:val="197"/>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Attention:</w:t>
            </w:r>
          </w:p>
        </w:tc>
      </w:tr>
      <w:tr>
        <w:trPr>
          <w:trHeight w:val="197"/>
        </w:trPr>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E.</w:t>
            </w:r>
          </w:p>
        </w:tc>
      </w:tr>
      <w:tr>
        <w:trPr>
          <w:trHeight w:val="214"/>
        </w:trPr>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Sullivan</w:t>
            </w: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$65,000,000</w:t>
            </w:r>
          </w:p>
        </w:tc>
        <w:tc>
          <w:tcPr>
            <w:tcW w:w="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w w:val="99"/>
              </w:rPr>
              <w:t>$35,227,500</w:t>
            </w:r>
          </w:p>
        </w:tc>
        <w:tc>
          <w:tcPr>
            <w:tcW w:w="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$33,000,000</w:t>
            </w:r>
          </w:p>
        </w:tc>
        <w:tc>
          <w:tcPr>
            <w:tcW w:w="4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$ 32,000,000</w:t>
            </w:r>
          </w:p>
        </w:tc>
        <w:tc>
          <w:tcPr>
            <w:tcW w:w="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$35,000,000</w:t>
            </w:r>
          </w:p>
        </w:tc>
        <w:tc>
          <w:tcPr>
            <w:tcW w:w="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12,681,160</w:t>
            </w:r>
          </w:p>
        </w:tc>
        <w:tc>
          <w:tcPr>
            <w:tcW w:w="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6,881,108</w:t>
            </w:r>
          </w:p>
        </w:tc>
        <w:tc>
          <w:tcPr>
            <w:tcW w:w="6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6,881,108</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75"/>
        </w:trPr>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98"/>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320" w:top="834"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Completes Previously Announced Credit Facility Modification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New Terms Provide Company with Additional Flexibility to Pursue Long-Term Growth Initiatives</w:t>
      </w:r>
    </w:p>
    <w:p>
      <w:pPr>
        <w:spacing w:after="0" w:line="2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BILLERICA, Mass., August 19, 2022 - Agrify Corporation (Nasdaq:AGFY) (“Agrify” or the “Company”), a leading provider of innovative cultivation and extraction solutions for the cannabis industry, today announced it has signed a definitive agreement with its institutional lender to successfully amend its existing credit facility.</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“Given the current challenging operating environment in the cannabis industry, it is imperative for us to align our strategy, resources, and execution plan with the new realities of the market,” said Raymond Chang, Chairman and Chief Executive Officer of Agrify. “Modifying our credit facility has been a top priority for us, and we are pleased to be able to move forward with additional flexibility to manage our business, conserve cash, and pursue a variety of compelling growth opportunities with fewer restrictions. As part of this transaction, we will be paying down a portion of the outstanding balance on the original note, exchanging the remaining balance under the original note for a new note with a significantly reduced principal balance, and removing or modifying certain financial covenants. The new note will have no required amortization payments on the principal balance for three years and a Company option for early repayment. All of these modifications should make it easier for us to navigate through these turbulent times as we look forward to rebounding strongly from the temporary challenges facing the entire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Terms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Pursuant to the modification, Agrify will partially prepay the senior secured note (the “Original Note”) originally issued to the lender (the “Lender”) in March 2022 (the “Prior Closing”) and exchange the remaining balance of the Original Note for (i) a new senior secured note (the “Note”) with an original principal amount of $35.0 million and (ii) a new warrant to purchase 14,227,643 shares of common stock (the “Note Exchange Warrant”). Additionally, Agrify will exchange the warrant to purchase 6,881,108 shares of common stock issued in the Prior Closing for a new warrant with the same number of underlying shares but with a reduced exercise price (the “Warrant Exchange Warrant”).</w:t>
      </w:r>
    </w:p>
    <w:p>
      <w:pPr>
        <w:spacing w:after="0" w:line="3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Note will mature on the three-year anniversary of its issuance (the “Maturity Date”) and will contain a 9.0% annualized interest rate, with interest to be paid monthly, in cash, beginning September 1, 2022. The principal amount of the Note will be payable on the Maturity Date, provided that the lender will be entitled to a cash sweep of 20% of the proceeds received by Agrify in connection with any equity financing, which will reduce the outstanding principal amount under the Note.</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At any time, Agrify may prepay all of the Note by redemption at a price equal to 102.5% of the then-outstanding principal amount under the Note plus accrued but unpaid interest. The Lender will also have the option of requiring Agrify to redeem the Note (i) on the one-year or two-year anniversaries of issuance at a price equal to the then-outstanding principal amount under the Note plus accrued but unpaid interest, or (ii) if Agrify undergoes a fundamental change at a price equal to 102.5% of the then-outstanding principal amount under the Note plus accrued but unpaid interest.</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Note will impose certain customary affirmative and negative covenants upon Agrify, but will not include the revenue or EBITDA covenants included in the Original Note. Further, if an event of default under the Note occurs, the Lender will be able to elect to redeem the Note for cash equal to 115% of the then-outstanding principal amount of the Note (or such lesser principal amount accelerated by the Lender) plus accrued and unpaid interest thereon.</w:t>
      </w:r>
    </w:p>
    <w:p>
      <w:pPr>
        <w:spacing w:after="0" w:line="1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Until the date the Note is fully repaid, the Lender will, subject to certain exceptions, have the right to participate up to 30% of any debt, preferred stock, or equity-linked financing of Agrify or its subsidiaries.</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Warrant Exchange Warrant will have an exercise price of $2.15 per share, will be exercisable on and after the six-month anniversary of issuance, and will expire five years and six months after issuance. The Note Exchange Warrant will have an exercise price of $1.23 per share, will be exercisable upon issuance, and will expire five years and six months after issuance. Until the Company completes a qualified equity financing of at least $15.0 million, the Note Exchange Warrant’s exercise price will be reduced to the extent Agrify issues securities for a lower purchase price. The Note Exchange Warrant will also prohibit Agrify, until following the completion of such qualified equity financing, from issuing warrants with more favorable or preferential terms and/or provisions.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Warrant Exchange Warrant and the Note Exchange Warrant will include a limitation such that the Lender’s beneficial ownership will not exceed 4.99% of Agrify’s shares of common stock outstanding at the time of exercise (which percentage may be decreased or increased by the Lender subject to the terms of the warrants, but may not exceed 9.99%). Additionally, the Lender may not exercise the Warrant Exchange Warrant and/or Note Exchange Warrant for greater than 5,308,578 shares of common stock unless and until shareholder approval is obtained, which the Company has agreed to use reasonable best efforts to obtain such shareholder approval at the next meeting of the shareholders of the Company, but in no event later than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377825</wp:posOffset>
            </wp:positionV>
            <wp:extent cx="714438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4" w:name="page145"/>
    <w:bookmarkEnd w:id="144"/>
    <w:p>
      <w:pPr>
        <w:jc w:val="both"/>
        <w:spacing w:after="0" w:line="270" w:lineRule="auto"/>
        <w:rPr>
          <w:sz w:val="20"/>
          <w:szCs w:val="20"/>
          <w:color w:val="auto"/>
        </w:rPr>
      </w:pPr>
      <w:r>
        <w:rPr>
          <w:rFonts w:ascii="Times New Roman" w:cs="Times New Roman" w:eastAsia="Times New Roman" w:hAnsi="Times New Roman"/>
          <w:sz w:val="16"/>
          <w:szCs w:val="16"/>
          <w:color w:val="auto"/>
        </w:rPr>
        <w:t>The securities to be issued to the Lender will not be registered under the Securities Act of 1933, as amended, or state securities laws and may not be offered or sold in the United States absent registration with the SEC or an applicable exemption from such registration requirements. The definitive exchange agreement requires Agrify to file a resale registration statement with respect to the shares underlying the Warrant Exchange Warrant and the Note Exchange Warrant as soon as practicable and in any event within 45 days following the initial closing.</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This press release does not constitute an offer to sell or the solicitation of an offer to buy any securities in the offering. There shall not be any sale of the securities described herein in any state or jurisdiction in which such offering, sale, or solicitation would be unlawful prior to registration or qualification under the securities laws of any such state or jurisdiction.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Agrify (Nasdaq:AGFY)</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Agrify’s ability to deliver solutions and services, the satisfaction of closing conditions and ability to close pursuant to the exchange agreement, the anticipated benefits of the modification to the credit facility, Agrify’s future business and financial prospects, and the duration and severity of the challenges facing the industry in which Agrify operates.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Contacts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Agrify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Timothy Oakes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tim.oakes@agrify.com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(781) 760-7512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Inquiries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Anna Kate Heller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ICR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agrify@icrinc.com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Inquiries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Justin Bernstein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MATTIO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agrify@mattio.com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14438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sectPr>
      <w:pgSz w:w="11900" w:h="16838" w:orient="portrait"/>
      <w:cols w:equalWidth="0" w:num="1">
        <w:col w:w="11240"/>
      </w:cols>
      <w:pgMar w:left="320" w:top="8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lowerRoman"/>
      <w:start w:val="4"/>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1)"/>
      <w:numFmt w:val="upperLetter"/>
      <w:start w:val="1"/>
    </w:lvl>
  </w:abstractNum>
  <w:abstractNum w:abstractNumId="4">
    <w:nsid w:val="6A5EE64"/>
    <w:multiLevelType w:val="hybridMultilevel"/>
    <w:lvl w:ilvl="0">
      <w:lvlJc w:val="left"/>
      <w:lvlText w:val="(%1)"/>
      <w:numFmt w:val="upperLetter"/>
      <w:start w:val="1"/>
    </w:lvl>
  </w:abstractNum>
  <w:abstractNum w:abstractNumId="5">
    <w:nsid w:val="14330624"/>
    <w:multiLevelType w:val="hybridMultilevel"/>
    <w:lvl w:ilvl="0">
      <w:lvlJc w:val="left"/>
      <w:lvlText w:val="(%1)"/>
      <w:numFmt w:val="upperLetter"/>
      <w:start w:val="8"/>
    </w:lvl>
  </w:abstractNum>
  <w:abstractNum w:abstractNumId="6">
    <w:nsid w:val="7FFFCA11"/>
    <w:multiLevelType w:val="hybridMultilevel"/>
    <w:lvl w:ilvl="0">
      <w:lvlJc w:val="left"/>
      <w:lvlText w:val="&amp;"/>
      <w:numFmt w:val="bullet"/>
      <w:start w:val="1"/>
    </w:lvl>
  </w:abstractNum>
  <w:abstractNum w:abstractNumId="7">
    <w:nsid w:val="1A27709E"/>
    <w:multiLevelType w:val="hybridMultilevel"/>
    <w:lvl w:ilvl="0">
      <w:lvlJc w:val="left"/>
      <w:lvlText w:val="(%1)"/>
      <w:numFmt w:val="upperLetter"/>
      <w:start w:val="2"/>
    </w:lvl>
  </w:abstractNum>
  <w:abstractNum w:abstractNumId="8">
    <w:nsid w:val="71EA1109"/>
    <w:multiLevelType w:val="hybridMultilevel"/>
    <w:lvl w:ilvl="0">
      <w:lvlJc w:val="left"/>
      <w:lvlText w:val="(%1)"/>
      <w:numFmt w:val="upperLetter"/>
      <w:start w:val="1"/>
    </w:lvl>
    <w:lvl w:ilvl="1">
      <w:lvlJc w:val="left"/>
      <w:lvlText w:val="(%2)"/>
      <w:numFmt w:val="lowerRoman"/>
      <w:start w:val="1"/>
    </w:lvl>
  </w:abstractNum>
  <w:abstractNum w:abstractNumId="9">
    <w:nsid w:val="100F59DC"/>
    <w:multiLevelType w:val="hybridMultilevel"/>
    <w:lvl w:ilvl="0">
      <w:lvlJc w:val="left"/>
      <w:lvlText w:val="(%1)"/>
      <w:numFmt w:val="upperLetter"/>
      <w:start w:val="3"/>
    </w:lvl>
    <w:lvl w:ilvl="1">
      <w:lvlJc w:val="left"/>
      <w:lvlText w:val="(%2)"/>
      <w:numFmt w:val="lowerRoman"/>
      <w:start w:val="1"/>
    </w:lvl>
  </w:abstractNum>
  <w:abstractNum w:abstractNumId="10">
    <w:nsid w:val="7FB7E0AA"/>
    <w:multiLevelType w:val="hybridMultilevel"/>
    <w:lvl w:ilvl="0">
      <w:lvlJc w:val="left"/>
      <w:lvlText w:val="(%1)"/>
      <w:numFmt w:val="lowerRoman"/>
      <w:start w:val="4"/>
    </w:lvl>
  </w:abstractNum>
  <w:abstractNum w:abstractNumId="11">
    <w:nsid w:val="6EB5BD4"/>
    <w:multiLevelType w:val="hybridMultilevel"/>
    <w:lvl w:ilvl="0">
      <w:lvlJc w:val="left"/>
      <w:lvlText w:val="(%1)"/>
      <w:numFmt w:val="upperLetter"/>
      <w:start w:val="1"/>
    </w:lvl>
  </w:abstractNum>
  <w:abstractNum w:abstractNumId="12">
    <w:nsid w:val="6F6DD9AC"/>
    <w:multiLevelType w:val="hybridMultilevel"/>
    <w:lvl w:ilvl="0">
      <w:lvlJc w:val="left"/>
      <w:lvlText w:val="(%1)"/>
      <w:numFmt w:val="upperLetter"/>
      <w:start w:val="1"/>
    </w:lvl>
  </w:abstractNum>
  <w:abstractNum w:abstractNumId="13">
    <w:nsid w:val="94211F2"/>
    <w:multiLevelType w:val="hybridMultilevel"/>
    <w:lvl w:ilvl="0">
      <w:lvlJc w:val="left"/>
      <w:lvlText w:val="(%1)"/>
      <w:numFmt w:val="upperLetter"/>
      <w:start w:val="4"/>
    </w:lvl>
  </w:abstractNum>
  <w:abstractNum w:abstractNumId="14">
    <w:nsid w:val="885E1B"/>
    <w:multiLevelType w:val="hybridMultilevel"/>
    <w:lvl w:ilvl="0">
      <w:lvlJc w:val="left"/>
      <w:lvlText w:val="(%1)"/>
      <w:numFmt w:val="upperLetter"/>
      <w:start w:val="5"/>
    </w:lvl>
  </w:abstractNum>
  <w:abstractNum w:abstractNumId="15">
    <w:nsid w:val="76272110"/>
    <w:multiLevelType w:val="hybridMultilevel"/>
    <w:lvl w:ilvl="0">
      <w:lvlJc w:val="left"/>
      <w:lvlText w:val="(%1)"/>
      <w:numFmt w:val="upperLetter"/>
      <w:start w:val="1"/>
    </w:lvl>
  </w:abstractNum>
  <w:abstractNum w:abstractNumId="16">
    <w:nsid w:val="4C04A8AF"/>
    <w:multiLevelType w:val="hybridMultilevel"/>
    <w:lvl w:ilvl="0">
      <w:lvlJc w:val="left"/>
      <w:lvlText w:val="(%1)"/>
      <w:numFmt w:val="upperLetter"/>
      <w:start w:val="1"/>
    </w:lvl>
  </w:abstractNum>
  <w:abstractNum w:abstractNumId="17">
    <w:nsid w:val="1716703B"/>
    <w:multiLevelType w:val="hybridMultilevel"/>
    <w:lvl w:ilvl="0">
      <w:lvlJc w:val="left"/>
      <w:lvlText w:val="(%1)"/>
      <w:numFmt w:val="upperLetter"/>
      <w:start w:val="2"/>
    </w:lvl>
    <w:lvl w:ilvl="1">
      <w:lvlJc w:val="left"/>
      <w:lvlText w:val="(%2)"/>
      <w:numFmt w:val="lowerRoman"/>
      <w:start w:val="1"/>
    </w:lvl>
  </w:abstractNum>
  <w:abstractNum w:abstractNumId="18">
    <w:nsid w:val="14E17E33"/>
    <w:multiLevelType w:val="hybridMultilevel"/>
    <w:lvl w:ilvl="0">
      <w:lvlJc w:val="left"/>
      <w:lvlText w:val="(%1)"/>
      <w:numFmt w:val="upperLetter"/>
      <w:start w:val="3"/>
    </w:lvl>
  </w:abstractNum>
  <w:abstractNum w:abstractNumId="19">
    <w:nsid w:val="3222E7CD"/>
    <w:multiLevelType w:val="hybridMultilevel"/>
    <w:lvl w:ilvl="0">
      <w:lvlJc w:val="left"/>
      <w:lvlText w:val="(%1)"/>
      <w:numFmt w:val="upperLetter"/>
      <w:start w:val="6"/>
    </w:lvl>
  </w:abstractNum>
  <w:abstractNum w:abstractNumId="20">
    <w:nsid w:val="74DE0EE3"/>
    <w:multiLevelType w:val="hybridMultilevel"/>
    <w:lvl w:ilvl="0">
      <w:lvlJc w:val="left"/>
      <w:lvlText w:val="(%1)"/>
      <w:numFmt w:val="upperLetter"/>
      <w:start w:val="10"/>
    </w:lvl>
    <w:lvl w:ilvl="1">
      <w:lvlJc w:val="left"/>
      <w:lvlText w:val="(%2)"/>
      <w:numFmt w:val="lowerRoman"/>
      <w:start w:val="1"/>
    </w:lvl>
  </w:abstractNum>
  <w:abstractNum w:abstractNumId="21">
    <w:nsid w:val="68EBC550"/>
    <w:multiLevelType w:val="hybridMultilevel"/>
    <w:lvl w:ilvl="0">
      <w:lvlJc w:val="left"/>
      <w:lvlText w:val="(%1)"/>
      <w:numFmt w:val="upperLetter"/>
      <w:start w:val="12"/>
    </w:lvl>
  </w:abstractNum>
  <w:abstractNum w:abstractNumId="22">
    <w:nsid w:val="2DF6D648"/>
    <w:multiLevelType w:val="hybridMultilevel"/>
    <w:lvl w:ilvl="0">
      <w:lvlJc w:val="left"/>
      <w:lvlText w:val="(%1)"/>
      <w:numFmt w:val="upperLetter"/>
      <w:start w:val="18"/>
    </w:lvl>
  </w:abstractNum>
  <w:abstractNum w:abstractNumId="23">
    <w:nsid w:val="46B7D447"/>
    <w:multiLevelType w:val="hybridMultilevel"/>
    <w:lvl w:ilvl="0">
      <w:lvlJc w:val="left"/>
      <w:lvlText w:val="(%1)"/>
      <w:numFmt w:val="upperLetter"/>
      <w:start w:val="21"/>
    </w:lvl>
  </w:abstractNum>
  <w:abstractNum w:abstractNumId="24">
    <w:nsid w:val="4A2AC315"/>
    <w:multiLevelType w:val="hybridMultilevel"/>
    <w:lvl w:ilvl="0">
      <w:lvlJc w:val="left"/>
      <w:lvlText w:val="(%1)"/>
      <w:numFmt w:val="upperLetter"/>
      <w:start w:val="1"/>
    </w:lvl>
  </w:abstractNum>
  <w:abstractNum w:abstractNumId="25">
    <w:nsid w:val="39EE015C"/>
    <w:multiLevelType w:val="hybridMultilevel"/>
    <w:lvl w:ilvl="0">
      <w:lvlJc w:val="left"/>
      <w:lvlText w:val="(%1)"/>
      <w:numFmt w:val="upperLetter"/>
      <w:start w:val="1"/>
    </w:lvl>
    <w:lvl w:ilvl="1">
      <w:lvlJc w:val="left"/>
      <w:lvlText w:val="(%2)"/>
      <w:numFmt w:val="lowerRoman"/>
      <w:start w:val="1"/>
    </w:lvl>
  </w:abstractNum>
  <w:abstractNum w:abstractNumId="26">
    <w:nsid w:val="57FC4FBB"/>
    <w:multiLevelType w:val="hybridMultilevel"/>
    <w:lvl w:ilvl="0">
      <w:lvlJc w:val="left"/>
      <w:lvlText w:val="(%1)"/>
      <w:numFmt w:val="lowerRoman"/>
      <w:start w:val="6"/>
    </w:lvl>
  </w:abstractNum>
  <w:abstractNum w:abstractNumId="27">
    <w:nsid w:val="CC1016F"/>
    <w:multiLevelType w:val="hybridMultilevel"/>
    <w:lvl w:ilvl="0">
      <w:lvlJc w:val="left"/>
      <w:lvlText w:val="(%1)"/>
      <w:numFmt w:val="lowerRoman"/>
      <w:start w:val="12"/>
    </w:lvl>
    <w:lvl w:ilvl="1">
      <w:lvlJc w:val="left"/>
      <w:lvlText w:val="(%2)"/>
      <w:numFmt w:val="decimal"/>
      <w:start w:val="1"/>
    </w:lvl>
  </w:abstractNum>
  <w:abstractNum w:abstractNumId="28">
    <w:nsid w:val="43F18422"/>
    <w:multiLevelType w:val="hybridMultilevel"/>
    <w:lvl w:ilvl="0">
      <w:lvlJc w:val="left"/>
      <w:lvlText w:val="(%1)"/>
      <w:numFmt w:val="lowerRoman"/>
      <w:start w:val="17"/>
    </w:lvl>
    <w:lvl w:ilvl="1">
      <w:lvlJc w:val="left"/>
      <w:lvlText w:val="(%2)"/>
      <w:numFmt w:val="decimal"/>
      <w:start w:val="1"/>
    </w:lvl>
  </w:abstractNum>
  <w:abstractNum w:abstractNumId="29">
    <w:nsid w:val="60EF0119"/>
    <w:multiLevelType w:val="hybridMultilevel"/>
    <w:lvl w:ilvl="0">
      <w:lvlJc w:val="left"/>
      <w:lvlText w:val="%1"/>
      <w:numFmt w:val="upperLetter"/>
      <w:start w:val="1"/>
    </w:lvl>
    <w:lvl w:ilvl="1">
      <w:lvlJc w:val="left"/>
      <w:lvlText w:val="(%2)"/>
      <w:numFmt w:val="lowerRoman"/>
      <w:start w:val="18"/>
    </w:lvl>
  </w:abstractNum>
  <w:abstractNum w:abstractNumId="30">
    <w:nsid w:val="26F324BA"/>
    <w:multiLevelType w:val="hybridMultilevel"/>
    <w:lvl w:ilvl="0">
      <w:lvlJc w:val="left"/>
      <w:lvlText w:val="(%1)"/>
      <w:numFmt w:val="upperLetter"/>
      <w:start w:val="2"/>
    </w:lvl>
    <w:lvl w:ilvl="1">
      <w:lvlJc w:val="left"/>
      <w:lvlText w:val="(%2)"/>
      <w:numFmt w:val="lowerRoman"/>
      <w:start w:val="1"/>
    </w:lvl>
  </w:abstractNum>
  <w:abstractNum w:abstractNumId="31">
    <w:nsid w:val="7F01579B"/>
    <w:multiLevelType w:val="hybridMultilevel"/>
    <w:lvl w:ilvl="0">
      <w:lvlJc w:val="left"/>
      <w:lvlText w:val="%1."/>
      <w:numFmt w:val="decimal"/>
      <w:start w:val="1"/>
    </w:lvl>
    <w:lvl w:ilvl="1">
      <w:lvlJc w:val="left"/>
      <w:lvlText w:val="(%2)"/>
      <w:numFmt w:val="lowerLetter"/>
      <w:start w:val="1"/>
    </w:lvl>
  </w:abstractNum>
  <w:abstractNum w:abstractNumId="32">
    <w:nsid w:val="49DA307D"/>
    <w:multiLevelType w:val="hybridMultilevel"/>
    <w:lvl w:ilvl="0">
      <w:lvlJc w:val="left"/>
      <w:lvlText w:val="(%1)"/>
      <w:numFmt w:val="lowerLetter"/>
      <w:start w:val="2"/>
    </w:lvl>
  </w:abstractNum>
  <w:abstractNum w:abstractNumId="33">
    <w:nsid w:val="7055A5F5"/>
    <w:multiLevelType w:val="hybridMultilevel"/>
    <w:lvl w:ilvl="0">
      <w:lvlJc w:val="left"/>
      <w:lvlText w:val="(%1)"/>
      <w:numFmt w:val="lowerLetter"/>
      <w:start w:val="5"/>
    </w:lvl>
  </w:abstractNum>
  <w:abstractNum w:abstractNumId="34">
    <w:nsid w:val="5FB8370B"/>
    <w:multiLevelType w:val="hybridMultilevel"/>
    <w:lvl w:ilvl="0">
      <w:lvlJc w:val="left"/>
      <w:lvlText w:val="(%1)"/>
      <w:numFmt w:val="lowerLetter"/>
      <w:start w:val="7"/>
    </w:lvl>
    <w:lvl w:ilvl="1">
      <w:lvlJc w:val="left"/>
      <w:lvlText w:val="-"/>
      <w:numFmt w:val="bullet"/>
      <w:start w:val="1"/>
    </w:lvl>
  </w:abstractNum>
  <w:abstractNum w:abstractNumId="35">
    <w:nsid w:val="50801EE1"/>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6">
    <w:nsid w:val="488AC1A"/>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7">
    <w:nsid w:val="5FB8011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8">
    <w:nsid w:val="6AA78F7F"/>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9">
    <w:nsid w:val="7672BD23"/>
    <w:multiLevelType w:val="hybridMultilevel"/>
    <w:lvl w:ilvl="0">
      <w:lvlJc w:val="left"/>
      <w:lvlText w:val="%1."/>
      <w:numFmt w:val="decimal"/>
      <w:start w:val="8"/>
    </w:lvl>
  </w:abstractNum>
  <w:abstractNum w:abstractNumId="40">
    <w:nsid w:val="6FC75AF8"/>
    <w:multiLevelType w:val="hybridMultilevel"/>
    <w:lvl w:ilvl="0">
      <w:lvlJc w:val="left"/>
      <w:lvlText w:val="(%1)"/>
      <w:numFmt w:val="lowerRoman"/>
      <w:start w:val="2"/>
    </w:lvl>
  </w:abstractNum>
  <w:abstractNum w:abstractNumId="41">
    <w:nsid w:val="6A5F7029"/>
    <w:multiLevelType w:val="hybridMultilevel"/>
    <w:lvl w:ilvl="0">
      <w:lvlJc w:val="left"/>
      <w:lvlText w:val="%1."/>
      <w:numFmt w:val="decimal"/>
      <w:start w:val="9"/>
    </w:lvl>
    <w:lvl w:ilvl="1">
      <w:lvlJc w:val="left"/>
      <w:lvlText w:val="-"/>
      <w:numFmt w:val="bullet"/>
      <w:start w:val="1"/>
    </w:lvl>
  </w:abstractNum>
  <w:abstractNum w:abstractNumId="42">
    <w:nsid w:val="7D5E18F8"/>
    <w:multiLevelType w:val="hybridMultilevel"/>
    <w:lvl w:ilvl="0">
      <w:lvlJc w:val="left"/>
      <w:lvlText w:val="%1."/>
      <w:numFmt w:val="decimal"/>
      <w:start w:val="13"/>
    </w:lvl>
    <w:lvl w:ilvl="1">
      <w:lvlJc w:val="left"/>
      <w:lvlText w:val="(%2)"/>
      <w:numFmt w:val="lowerLetter"/>
      <w:start w:val="1"/>
    </w:lvl>
  </w:abstractNum>
  <w:abstractNum w:abstractNumId="43">
    <w:nsid w:val="5F3534A4"/>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4">
    <w:nsid w:val="73A1821B"/>
    <w:multiLevelType w:val="hybridMultilevel"/>
    <w:lvl w:ilvl="0">
      <w:lvlJc w:val="left"/>
      <w:lvlText w:val="(%1)"/>
      <w:numFmt w:val="lowerLetter"/>
      <w:start w:val="4"/>
    </w:lvl>
    <w:lvl w:ilvl="1">
      <w:lvlJc w:val="left"/>
      <w:lvlText w:val="-"/>
      <w:numFmt w:val="bullet"/>
      <w:start w:val="1"/>
    </w:lvl>
  </w:abstractNum>
  <w:abstractNum w:abstractNumId="45">
    <w:nsid w:val="7DE67713"/>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46">
    <w:nsid w:val="555C55B5"/>
    <w:multiLevelType w:val="hybridMultilevel"/>
    <w:lvl w:ilvl="0">
      <w:lvlJc w:val="left"/>
      <w:lvlText w:val="(%1)"/>
      <w:numFmt w:val="lowerLetter"/>
      <w:start w:val="3"/>
    </w:lvl>
    <w:lvl w:ilvl="1">
      <w:lvlJc w:val="left"/>
      <w:lvlText w:val="-"/>
      <w:numFmt w:val="bullet"/>
      <w:start w:val="1"/>
    </w:lvl>
  </w:abstractNum>
  <w:abstractNum w:abstractNumId="47">
    <w:nsid w:val="3FA62ACA"/>
    <w:multiLevelType w:val="hybridMultilevel"/>
    <w:lvl w:ilvl="0">
      <w:lvlJc w:val="left"/>
      <w:lvlText w:val="(%1)"/>
      <w:numFmt w:val="lowerLetter"/>
      <w:start w:val="9"/>
    </w:lvl>
    <w:lvl w:ilvl="1">
      <w:lvlJc w:val="left"/>
      <w:lvlText w:val="-"/>
      <w:numFmt w:val="bullet"/>
      <w:start w:val="1"/>
    </w:lvl>
  </w:abstractNum>
  <w:abstractNum w:abstractNumId="48">
    <w:nsid w:val="14FCE74E"/>
    <w:multiLevelType w:val="hybridMultilevel"/>
    <w:lvl w:ilvl="0">
      <w:lvlJc w:val="left"/>
      <w:lvlText w:val="(%1)"/>
      <w:numFmt w:val="lowerLetter"/>
      <w:start w:val="17"/>
    </w:lvl>
  </w:abstractNum>
  <w:abstractNum w:abstractNumId="49">
    <w:nsid w:val="6A3DD3E8"/>
    <w:multiLevelType w:val="hybridMultilevel"/>
    <w:lvl w:ilvl="0">
      <w:lvlJc w:val="left"/>
      <w:lvlText w:val="(%1)"/>
      <w:numFmt w:val="lowerLetter"/>
      <w:start w:val="27"/>
    </w:lvl>
  </w:abstractNum>
  <w:abstractNum w:abstractNumId="50">
    <w:nsid w:val="71C91298"/>
    <w:multiLevelType w:val="hybridMultilevel"/>
    <w:lvl w:ilvl="0">
      <w:lvlJc w:val="left"/>
      <w:lvlText w:val="%1."/>
      <w:numFmt w:val="decimal"/>
      <w:start w:val="1"/>
    </w:lvl>
  </w:abstractNum>
  <w:abstractNum w:abstractNumId="51">
    <w:nsid w:val="9DAF632"/>
    <w:multiLevelType w:val="hybridMultilevel"/>
    <w:lvl w:ilvl="0">
      <w:lvlJc w:val="left"/>
      <w:lvlText w:val="%1."/>
      <w:numFmt w:val="decimal"/>
      <w:start w:val="1"/>
    </w:lvl>
    <w:lvl w:ilvl="1">
      <w:lvlJc w:val="left"/>
      <w:lvlText w:val="(%2)"/>
      <w:numFmt w:val="lowerLetter"/>
      <w:start w:val="1"/>
    </w:lvl>
  </w:abstractNum>
  <w:abstractNum w:abstractNumId="52">
    <w:nsid w:val="53299938"/>
    <w:multiLevelType w:val="hybridMultilevel"/>
    <w:lvl w:ilvl="0">
      <w:lvlJc w:val="left"/>
      <w:lvlText w:val="(%1)"/>
      <w:numFmt w:val="lowerLetter"/>
      <w:start w:val="2"/>
    </w:lvl>
  </w:abstractNum>
  <w:abstractNum w:abstractNumId="53">
    <w:nsid w:val="1FBFE8E0"/>
    <w:multiLevelType w:val="hybridMultilevel"/>
    <w:lvl w:ilvl="0">
      <w:lvlJc w:val="left"/>
      <w:lvlText w:val="(%1)"/>
      <w:numFmt w:val="lowerLetter"/>
      <w:start w:val="5"/>
    </w:lvl>
  </w:abstractNum>
  <w:abstractNum w:abstractNumId="54">
    <w:nsid w:val="5092CA79"/>
    <w:multiLevelType w:val="hybridMultilevel"/>
    <w:lvl w:ilvl="0">
      <w:lvlJc w:val="left"/>
      <w:lvlText w:val="(%1)"/>
      <w:numFmt w:val="lowerLetter"/>
      <w:start w:val="7"/>
    </w:lvl>
    <w:lvl w:ilvl="1">
      <w:lvlJc w:val="left"/>
      <w:lvlText w:val="-"/>
      <w:numFmt w:val="bullet"/>
      <w:start w:val="1"/>
    </w:lvl>
  </w:abstractNum>
  <w:abstractNum w:abstractNumId="55">
    <w:nsid w:val="1D545C4D"/>
    <w:multiLevelType w:val="hybridMultilevel"/>
    <w:lvl w:ilvl="0">
      <w:lvlJc w:val="left"/>
      <w:lvlText w:val="(%1)"/>
      <w:numFmt w:val="lowerRoman"/>
      <w:start w:val="1"/>
    </w:lvl>
  </w:abstractNum>
  <w:abstractNum w:abstractNumId="56">
    <w:nsid w:val="59ADEA3D"/>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7">
    <w:nsid w:val="288F1A34"/>
    <w:multiLevelType w:val="hybridMultilevel"/>
    <w:lvl w:ilvl="0">
      <w:lvlJc w:val="left"/>
      <w:lvlText w:val="(%1)"/>
      <w:numFmt w:val="decimal"/>
      <w:start w:val="3"/>
    </w:lvl>
    <w:lvl w:ilvl="1">
      <w:lvlJc w:val="left"/>
      <w:lvlText w:val="-"/>
      <w:numFmt w:val="bullet"/>
      <w:start w:val="1"/>
    </w:lvl>
  </w:abstractNum>
  <w:abstractNum w:abstractNumId="58">
    <w:nsid w:val="2A155DB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lvl w:ilvl="3">
      <w:lvlJc w:val="left"/>
      <w:lvlText w:val="-"/>
      <w:numFmt w:val="bullet"/>
      <w:start w:val="1"/>
    </w:lvl>
  </w:abstractNum>
  <w:abstractNum w:abstractNumId="59">
    <w:nsid w:val="1D9F6E5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60">
    <w:nsid w:val="97E1B4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1">
    <w:nsid w:val="51088277"/>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2">
    <w:nsid w:val="1CA0C5FA"/>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63">
    <w:nsid w:val="53584BCB"/>
    <w:multiLevelType w:val="hybridMultilevel"/>
    <w:lvl w:ilvl="0">
      <w:lvlJc w:val="left"/>
      <w:lvlText w:val="%1."/>
      <w:numFmt w:val="decimal"/>
      <w:start w:val="9"/>
    </w:lvl>
  </w:abstractNum>
  <w:abstractNum w:abstractNumId="64">
    <w:nsid w:val="415E286C"/>
    <w:multiLevelType w:val="hybridMultilevel"/>
    <w:lvl w:ilvl="0">
      <w:lvlJc w:val="left"/>
      <w:lvlText w:val="(%1)"/>
      <w:numFmt w:val="lowerRoman"/>
      <w:start w:val="2"/>
    </w:lvl>
  </w:abstractNum>
  <w:abstractNum w:abstractNumId="65">
    <w:nsid w:val="7C58FD05"/>
    <w:multiLevelType w:val="hybridMultilevel"/>
    <w:lvl w:ilvl="0">
      <w:lvlJc w:val="left"/>
      <w:lvlText w:val="%1."/>
      <w:numFmt w:val="decimal"/>
      <w:start w:val="10"/>
    </w:lvl>
    <w:lvl w:ilvl="1">
      <w:lvlJc w:val="left"/>
      <w:lvlText w:val="-"/>
      <w:numFmt w:val="bullet"/>
      <w:start w:val="1"/>
    </w:lvl>
  </w:abstractNum>
  <w:abstractNum w:abstractNumId="66">
    <w:nsid w:val="23D86AAC"/>
    <w:multiLevelType w:val="hybridMultilevel"/>
    <w:lvl w:ilvl="0">
      <w:lvlJc w:val="left"/>
      <w:lvlText w:val="%1."/>
      <w:numFmt w:val="decimal"/>
      <w:start w:val="13"/>
    </w:lvl>
    <w:lvl w:ilvl="1">
      <w:lvlJc w:val="left"/>
      <w:lvlText w:val="(%2)"/>
      <w:numFmt w:val="lowerLetter"/>
      <w:start w:val="1"/>
    </w:lvl>
  </w:abstractNum>
  <w:abstractNum w:abstractNumId="67">
    <w:nsid w:val="45E6D486"/>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68">
    <w:nsid w:val="5C10FE21"/>
    <w:multiLevelType w:val="hybridMultilevel"/>
    <w:lvl w:ilvl="0">
      <w:lvlJc w:val="left"/>
      <w:lvlText w:val="(%1)"/>
      <w:numFmt w:val="lowerLetter"/>
      <w:start w:val="3"/>
    </w:lvl>
    <w:lvl w:ilvl="1">
      <w:lvlJc w:val="left"/>
      <w:lvlText w:val="-"/>
      <w:numFmt w:val="bullet"/>
      <w:start w:val="1"/>
    </w:lvl>
  </w:abstractNum>
  <w:abstractNum w:abstractNumId="69">
    <w:nsid w:val="E7FFA2B"/>
    <w:multiLevelType w:val="hybridMultilevel"/>
    <w:lvl w:ilvl="0">
      <w:lvlJc w:val="left"/>
      <w:lvlText w:val="%1."/>
      <w:numFmt w:val="decimal"/>
      <w:start w:val="16"/>
    </w:lvl>
    <w:lvl w:ilvl="1">
      <w:lvlJc w:val="left"/>
      <w:lvlText w:val="-"/>
      <w:numFmt w:val="bullet"/>
      <w:start w:val="1"/>
    </w:lvl>
  </w:abstractNum>
  <w:abstractNum w:abstractNumId="70">
    <w:nsid w:val="3C5991AA"/>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71">
    <w:nsid w:val="4BD8591A"/>
    <w:multiLevelType w:val="hybridMultilevel"/>
    <w:lvl w:ilvl="0">
      <w:lvlJc w:val="left"/>
      <w:lvlText w:val="(%1)"/>
      <w:numFmt w:val="lowerLetter"/>
      <w:start w:val="6"/>
    </w:lvl>
    <w:lvl w:ilvl="1">
      <w:lvlJc w:val="left"/>
      <w:lvlText w:val="-"/>
      <w:numFmt w:val="bullet"/>
      <w:start w:val="1"/>
    </w:lvl>
  </w:abstractNum>
  <w:abstractNum w:abstractNumId="72">
    <w:nsid w:val="78DF6A55"/>
    <w:multiLevelType w:val="hybridMultilevel"/>
    <w:lvl w:ilvl="0">
      <w:lvlJc w:val="left"/>
      <w:lvlText w:val="(%1)"/>
      <w:numFmt w:val="lowerLetter"/>
      <w:start w:val="15"/>
    </w:lvl>
    <w:lvl w:ilvl="1">
      <w:lvlJc w:val="left"/>
      <w:lvlText w:val="-"/>
      <w:numFmt w:val="bullet"/>
      <w:start w:val="1"/>
    </w:lvl>
  </w:abstractNum>
  <w:abstractNum w:abstractNumId="73">
    <w:nsid w:val="39B7AAA2"/>
    <w:multiLevelType w:val="hybridMultilevel"/>
    <w:lvl w:ilvl="0">
      <w:lvlJc w:val="left"/>
      <w:lvlText w:val="(%1)"/>
      <w:numFmt w:val="lowerLetter"/>
      <w:start w:val="24"/>
    </w:lvl>
  </w:abstractNum>
  <w:abstractNum w:abstractNumId="74">
    <w:nsid w:val="2B0D8DBE"/>
    <w:multiLevelType w:val="hybridMultilevel"/>
    <w:lvl w:ilvl="0">
      <w:lvlJc w:val="left"/>
      <w:lvlText w:val="(%1)"/>
      <w:numFmt w:val="lowerLetter"/>
      <w:start w:val="27"/>
    </w:lvl>
  </w:abstractNum>
  <w:abstractNum w:abstractNumId="75">
    <w:nsid w:val="6C80EC70"/>
    <w:multiLevelType w:val="hybridMultilevel"/>
    <w:lvl w:ilvl="0">
      <w:lvlJc w:val="left"/>
      <w:lvlText w:val="%1."/>
      <w:numFmt w:val="decimal"/>
      <w:start w:val="1"/>
    </w:lvl>
  </w:abstractNum>
  <w:abstractNum w:abstractNumId="76">
    <w:nsid w:val="379E21B5"/>
    <w:multiLevelType w:val="hybridMultilevel"/>
    <w:lvl w:ilvl="0">
      <w:lvlJc w:val="left"/>
      <w:lvlText w:val="%1."/>
      <w:numFmt w:val="decimal"/>
      <w:start w:val="1"/>
    </w:lvl>
    <w:lvl w:ilvl="1">
      <w:lvlJc w:val="left"/>
      <w:lvlText w:val="(%2)"/>
      <w:numFmt w:val="lowerLetter"/>
      <w:start w:val="1"/>
    </w:lvl>
  </w:abstractNum>
  <w:abstractNum w:abstractNumId="77">
    <w:nsid w:val="69E373"/>
    <w:multiLevelType w:val="hybridMultilevel"/>
    <w:lvl w:ilvl="0">
      <w:lvlJc w:val="left"/>
      <w:lvlText w:val="%1"/>
      <w:numFmt w:val="decimal"/>
      <w:start w:val="1"/>
    </w:lvl>
    <w:lvl w:ilvl="1">
      <w:lvlJc w:val="left"/>
      <w:lvlText w:val="(%2)"/>
      <w:numFmt w:val="lowerLetter"/>
      <w:start w:val="2"/>
    </w:lvl>
  </w:abstractNum>
  <w:abstractNum w:abstractNumId="78">
    <w:nsid w:val="2C27173B"/>
    <w:multiLevelType w:val="hybridMultilevel"/>
    <w:lvl w:ilvl="0">
      <w:lvlJc w:val="left"/>
      <w:lvlText w:val="%1."/>
      <w:numFmt w:val="decimal"/>
      <w:start w:val="2"/>
    </w:lvl>
    <w:lvl w:ilvl="1">
      <w:lvlJc w:val="left"/>
      <w:lvlText w:val="(%2)"/>
      <w:numFmt w:val="lowerLetter"/>
      <w:start w:val="1"/>
    </w:lvl>
  </w:abstractNum>
  <w:abstractNum w:abstractNumId="79">
    <w:nsid w:val="4C9B0904"/>
    <w:multiLevelType w:val="hybridMultilevel"/>
    <w:lvl w:ilvl="0">
      <w:lvlJc w:val="left"/>
      <w:lvlText w:val="(%1)"/>
      <w:numFmt w:val="lowerLetter"/>
      <w:start w:val="2"/>
    </w:lvl>
  </w:abstractNum>
  <w:abstractNum w:abstractNumId="80">
    <w:nsid w:val="6AA7B75C"/>
    <w:multiLevelType w:val="hybridMultilevel"/>
    <w:lvl w:ilvl="0">
      <w:lvlJc w:val="left"/>
      <w:lvlText w:val="(%1)"/>
      <w:numFmt w:val="lowerLetter"/>
      <w:start w:val="6"/>
    </w:lvl>
  </w:abstractNum>
  <w:abstractNum w:abstractNumId="81">
    <w:nsid w:val="1DF029D3"/>
    <w:multiLevelType w:val="hybridMultilevel"/>
    <w:lvl w:ilvl="0">
      <w:lvlJc w:val="left"/>
      <w:lvlText w:val="%1"/>
      <w:numFmt w:val="decimal"/>
      <w:start w:val="1"/>
    </w:lvl>
    <w:lvl w:ilvl="1">
      <w:lvlJc w:val="left"/>
      <w:lvlText w:val="(%2)"/>
      <w:numFmt w:val="lowerLetter"/>
      <w:start w:val="9"/>
    </w:lvl>
  </w:abstractNum>
  <w:abstractNum w:abstractNumId="82">
    <w:nsid w:val="5675FF36"/>
    <w:multiLevelType w:val="hybridMultilevel"/>
    <w:lvl w:ilvl="0">
      <w:lvlJc w:val="left"/>
      <w:lvlText w:val="%1."/>
      <w:numFmt w:val="decimal"/>
      <w:start w:val="3"/>
    </w:lvl>
    <w:lvl w:ilvl="1">
      <w:lvlJc w:val="left"/>
      <w:lvlText w:val="(%2)"/>
      <w:numFmt w:val="lowerLetter"/>
      <w:start w:val="1"/>
    </w:lvl>
  </w:abstractNum>
  <w:abstractNum w:abstractNumId="83">
    <w:nsid w:val="3DD15094"/>
    <w:multiLevelType w:val="hybridMultilevel"/>
    <w:lvl w:ilvl="0">
      <w:lvlJc w:val="left"/>
      <w:lvlText w:val="(%1)"/>
      <w:numFmt w:val="lowerLetter"/>
      <w:start w:val="2"/>
    </w:lvl>
  </w:abstractNum>
  <w:abstractNum w:abstractNumId="84">
    <w:nsid w:val="3DB012B3"/>
    <w:multiLevelType w:val="hybridMultilevel"/>
    <w:lvl w:ilvl="0">
      <w:lvlJc w:val="left"/>
      <w:lvlText w:val="(%1)"/>
      <w:numFmt w:val="lowerLetter"/>
      <w:start w:val="4"/>
    </w:lvl>
  </w:abstractNum>
  <w:abstractNum w:abstractNumId="85">
    <w:nsid w:val="2708C9AF"/>
    <w:multiLevelType w:val="hybridMultilevel"/>
    <w:lvl w:ilvl="0">
      <w:lvlJc w:val="left"/>
      <w:lvlText w:val="(%1)"/>
      <w:numFmt w:val="lowerLetter"/>
      <w:start w:val="6"/>
    </w:lvl>
  </w:abstractNum>
  <w:abstractNum w:abstractNumId="86">
    <w:nsid w:val="5B25ACE2"/>
    <w:multiLevelType w:val="hybridMultilevel"/>
    <w:lvl w:ilvl="0">
      <w:lvlJc w:val="left"/>
      <w:lvlText w:val="(%1)"/>
      <w:numFmt w:val="lowerLetter"/>
      <w:start w:val="8"/>
    </w:lvl>
  </w:abstractNum>
  <w:abstractNum w:abstractNumId="87">
    <w:nsid w:val="175DFCF0"/>
    <w:multiLevelType w:val="hybridMultilevel"/>
    <w:lvl w:ilvl="0">
      <w:lvlJc w:val="left"/>
      <w:lvlText w:val="%1"/>
      <w:numFmt w:val="lowerLetter"/>
      <w:start w:val="1"/>
    </w:lvl>
    <w:lvl w:ilvl="1">
      <w:lvlJc w:val="left"/>
      <w:lvlText w:val="(%2)"/>
      <w:numFmt w:val="lowerLetter"/>
      <w:start w:val="12"/>
    </w:lvl>
  </w:abstractNum>
  <w:abstractNum w:abstractNumId="88">
    <w:nsid w:val="4F97E3E4"/>
    <w:multiLevelType w:val="hybridMultilevel"/>
    <w:lvl w:ilvl="0">
      <w:lvlJc w:val="left"/>
      <w:lvlText w:val="(%1)"/>
      <w:numFmt w:val="lowerLetter"/>
      <w:start w:val="9"/>
    </w:lvl>
    <w:lvl w:ilvl="1">
      <w:lvlJc w:val="left"/>
      <w:lvlText w:val="(%2)"/>
      <w:numFmt w:val="lowerLetter"/>
      <w:start w:val="13"/>
    </w:lvl>
  </w:abstractNum>
  <w:abstractNum w:abstractNumId="89">
    <w:nsid w:val="53B0A9E"/>
    <w:multiLevelType w:val="hybridMultilevel"/>
    <w:lvl w:ilvl="0">
      <w:lvlJc w:val="left"/>
      <w:lvlText w:val="(%1)"/>
      <w:numFmt w:val="lowerLetter"/>
      <w:start w:val="14"/>
    </w:lvl>
    <w:lvl w:ilvl="1">
      <w:lvlJc w:val="left"/>
      <w:lvlText w:val="(%2)"/>
      <w:numFmt w:val="lowerLetter"/>
      <w:start w:val="9"/>
    </w:lvl>
  </w:abstractNum>
  <w:abstractNum w:abstractNumId="90">
    <w:nsid w:val="34FD6B4F"/>
    <w:multiLevelType w:val="hybridMultilevel"/>
    <w:lvl w:ilvl="0">
      <w:lvlJc w:val="left"/>
      <w:lvlText w:val="(%1)"/>
      <w:numFmt w:val="lowerLetter"/>
      <w:start w:val="16"/>
    </w:lvl>
    <w:lvl w:ilvl="1">
      <w:lvlJc w:val="left"/>
      <w:lvlText w:val="(%2)"/>
      <w:numFmt w:val="lowerLetter"/>
      <w:start w:val="9"/>
    </w:lvl>
  </w:abstractNum>
  <w:abstractNum w:abstractNumId="91">
    <w:nsid w:val="5915FF32"/>
    <w:multiLevelType w:val="hybridMultilevel"/>
    <w:lvl w:ilvl="0">
      <w:lvlJc w:val="left"/>
      <w:lvlText w:val="(%1)"/>
      <w:numFmt w:val="lowerRoman"/>
      <w:start w:val="2"/>
    </w:lvl>
  </w:abstractNum>
  <w:abstractNum w:abstractNumId="92">
    <w:nsid w:val="56438D1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93">
    <w:nsid w:val="519E3149"/>
    <w:multiLevelType w:val="hybridMultilevel"/>
    <w:lvl w:ilvl="0">
      <w:lvlJc w:val="left"/>
      <w:lvlText w:val="%1"/>
      <w:numFmt w:val="lowerRoman"/>
      <w:start w:val="1"/>
    </w:lvl>
    <w:lvl w:ilvl="1">
      <w:lvlJc w:val="left"/>
      <w:lvlText w:val="(%2)"/>
      <w:numFmt w:val="lowerLetter"/>
      <w:start w:val="19"/>
    </w:lvl>
    <w:lvl w:ilvl="2">
      <w:lvlJc w:val="left"/>
      <w:lvlText w:val="%3"/>
      <w:numFmt w:val="lowerRoman"/>
      <w:start w:val="1"/>
    </w:lvl>
  </w:abstractNum>
  <w:abstractNum w:abstractNumId="94">
    <w:nsid w:val="2C6E4AFD"/>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95">
    <w:nsid w:val="17A1B58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96">
    <w:nsid w:val="4DF72E4E"/>
    <w:multiLevelType w:val="hybridMultilevel"/>
    <w:lvl w:ilvl="0">
      <w:lvlJc w:val="left"/>
      <w:lvlText w:val="(%1)"/>
      <w:numFmt w:val="lowerLetter"/>
      <w:start w:val="20"/>
    </w:lvl>
  </w:abstractNum>
  <w:abstractNum w:abstractNumId="97">
    <w:nsid w:val="5046B5A9"/>
    <w:multiLevelType w:val="hybridMultilevel"/>
    <w:lvl w:ilvl="0">
      <w:lvlJc w:val="left"/>
      <w:lvlText w:val="(%1)"/>
      <w:numFmt w:val="lowerLetter"/>
      <w:start w:val="23"/>
    </w:lvl>
  </w:abstractNum>
  <w:abstractNum w:abstractNumId="98">
    <w:nsid w:val="5D888A08"/>
    <w:multiLevelType w:val="hybridMultilevel"/>
    <w:lvl w:ilvl="0">
      <w:lvlJc w:val="left"/>
      <w:lvlText w:val="(%1)"/>
      <w:numFmt w:val="lowerLetter"/>
      <w:start w:val="26"/>
    </w:lvl>
    <w:lvl w:ilvl="1">
      <w:lvlJc w:val="left"/>
      <w:lvlText w:val="(%2)"/>
      <w:numFmt w:val="lowerRoman"/>
      <w:start w:val="1"/>
    </w:lvl>
    <w:lvl w:ilvl="2">
      <w:lvlJc w:val="left"/>
      <w:lvlText w:val="(%3)"/>
      <w:numFmt w:val="upperLetter"/>
      <w:start w:val="1"/>
    </w:lvl>
  </w:abstractNum>
  <w:abstractNum w:abstractNumId="99">
    <w:nsid w:val="2A082C70"/>
    <w:multiLevelType w:val="hybridMultilevel"/>
    <w:lvl w:ilvl="0">
      <w:lvlJc w:val="left"/>
      <w:lvlText w:val="%1"/>
      <w:numFmt w:val="lowerLetter"/>
      <w:start w:val="1"/>
    </w:lvl>
    <w:lvl w:ilvl="1">
      <w:lvlJc w:val="left"/>
      <w:lvlText w:val="(%2)"/>
      <w:numFmt w:val="lowerRoman"/>
      <w:start w:val="4"/>
    </w:lvl>
  </w:abstractNum>
  <w:abstractNum w:abstractNumId="100">
    <w:nsid w:val="5EC6AFD4"/>
    <w:multiLevelType w:val="hybridMultilevel"/>
    <w:lvl w:ilvl="0">
      <w:lvlJc w:val="left"/>
      <w:lvlText w:val="(%1)"/>
      <w:numFmt w:val="lowerLetter"/>
      <w:start w:val="27"/>
    </w:lvl>
    <w:lvl w:ilvl="1">
      <w:lvlJc w:val="left"/>
      <w:lvlText w:val="%2"/>
      <w:numFmt w:val="lowerRoman"/>
      <w:start w:val="1"/>
    </w:lvl>
  </w:abstractNum>
  <w:abstractNum w:abstractNumId="101">
    <w:nsid w:val="19E21BB2"/>
    <w:multiLevelType w:val="hybridMultilevel"/>
    <w:lvl w:ilvl="0">
      <w:lvlJc w:val="left"/>
      <w:lvlText w:val="%1"/>
      <w:numFmt w:val="lowerLetter"/>
      <w:start w:val="1"/>
    </w:lvl>
    <w:lvl w:ilvl="1">
      <w:lvlJc w:val="left"/>
      <w:lvlText w:val="(%2)"/>
      <w:numFmt w:val="lowerLetter"/>
      <w:start w:val="29"/>
    </w:lvl>
  </w:abstractNum>
  <w:abstractNum w:abstractNumId="102">
    <w:nsid w:val="75E0858A"/>
    <w:multiLevelType w:val="hybridMultilevel"/>
    <w:lvl w:ilvl="0">
      <w:lvlJc w:val="left"/>
      <w:lvlText w:val="(%1)"/>
      <w:numFmt w:val="lowerLetter"/>
      <w:start w:val="61"/>
    </w:lvl>
    <w:lvl w:ilvl="1">
      <w:lvlJc w:val="left"/>
      <w:lvlText w:val="%2"/>
      <w:numFmt w:val="lowerLetter"/>
      <w:start w:val="1"/>
    </w:lvl>
  </w:abstractNum>
  <w:abstractNum w:abstractNumId="103">
    <w:nsid w:val="57A61A29"/>
    <w:multiLevelType w:val="hybridMultilevel"/>
    <w:lvl w:ilvl="0">
      <w:lvlJc w:val="left"/>
      <w:lvlText w:val="(%1)"/>
      <w:numFmt w:val="lowerLetter"/>
      <w:start w:val="33"/>
    </w:lvl>
  </w:abstractNum>
  <w:abstractNum w:abstractNumId="104">
    <w:nsid w:val="5399C654"/>
    <w:multiLevelType w:val="hybridMultilevel"/>
    <w:lvl w:ilvl="0">
      <w:lvlJc w:val="left"/>
      <w:lvlText w:val="(%1)"/>
      <w:numFmt w:val="lowerLetter"/>
      <w:start w:val="38"/>
    </w:lvl>
    <w:lvl w:ilvl="1">
      <w:lvlJc w:val="left"/>
      <w:lvlText w:val="(%2)"/>
      <w:numFmt w:val="lowerRoman"/>
      <w:start w:val="1"/>
    </w:lvl>
    <w:lvl w:ilvl="2">
      <w:lvlJc w:val="left"/>
      <w:lvlText w:val="(%3)"/>
      <w:numFmt w:val="decimal"/>
      <w:start w:val="1"/>
    </w:lvl>
  </w:abstractNum>
  <w:abstractNum w:abstractNumId="105">
    <w:nsid w:val="20EE1348"/>
    <w:multiLevelType w:val="hybridMultilevel"/>
    <w:lvl w:ilvl="0">
      <w:lvlJc w:val="left"/>
      <w:lvlText w:val="%1"/>
      <w:numFmt w:val="lowerLetter"/>
      <w:start w:val="1"/>
    </w:lvl>
    <w:lvl w:ilvl="1">
      <w:lvlJc w:val="left"/>
      <w:lvlText w:val="(%2)"/>
      <w:numFmt w:val="lowerRoman"/>
      <w:start w:val="4"/>
    </w:lvl>
  </w:abstractNum>
  <w:abstractNum w:abstractNumId="106">
    <w:nsid w:val="4427069A"/>
    <w:multiLevelType w:val="hybridMultilevel"/>
    <w:lvl w:ilvl="0">
      <w:lvlJc w:val="left"/>
      <w:lvlText w:val="(%1)"/>
      <w:numFmt w:val="lowerLetter"/>
      <w:start w:val="41"/>
    </w:lvl>
    <w:lvl w:ilvl="1">
      <w:lvlJc w:val="left"/>
      <w:lvlText w:val="%2"/>
      <w:numFmt w:val="lowerRoman"/>
      <w:start w:val="1"/>
    </w:lvl>
  </w:abstractNum>
  <w:abstractNum w:abstractNumId="107">
    <w:nsid w:val="B37E80A"/>
    <w:multiLevelType w:val="hybridMultilevel"/>
    <w:lvl w:ilvl="0">
      <w:lvlJc w:val="left"/>
      <w:lvlText w:val="(%1)"/>
      <w:numFmt w:val="lowerLetter"/>
      <w:start w:val="43"/>
    </w:lvl>
  </w:abstractNum>
  <w:abstractNum w:abstractNumId="108">
    <w:nsid w:val="2157F6BC"/>
    <w:multiLevelType w:val="hybridMultilevel"/>
    <w:lvl w:ilvl="0">
      <w:lvlJc w:val="left"/>
      <w:lvlText w:val="%1"/>
      <w:numFmt w:val="decimal"/>
      <w:start w:val="1"/>
    </w:lvl>
    <w:lvl w:ilvl="1">
      <w:lvlJc w:val="left"/>
      <w:lvlText w:val="(%2)"/>
      <w:numFmt w:val="lowerLetter"/>
      <w:start w:val="46"/>
    </w:lvl>
  </w:abstractNum>
  <w:abstractNum w:abstractNumId="109">
    <w:nsid w:val="704E1DD5"/>
    <w:multiLevelType w:val="hybridMultilevel"/>
    <w:lvl w:ilvl="0">
      <w:lvlJc w:val="left"/>
      <w:lvlText w:val="%1."/>
      <w:numFmt w:val="decimal"/>
      <w:start w:val="4"/>
    </w:lvl>
    <w:lvl w:ilvl="1">
      <w:lvlJc w:val="left"/>
      <w:lvlText w:val="(%2)"/>
      <w:numFmt w:val="lowerLetter"/>
      <w:start w:val="1"/>
    </w:lvl>
  </w:abstractNum>
  <w:abstractNum w:abstractNumId="110">
    <w:nsid w:val="57D2F10E"/>
    <w:multiLevelType w:val="hybridMultilevel"/>
    <w:lvl w:ilvl="0">
      <w:lvlJc w:val="left"/>
      <w:lvlText w:val="(%1)"/>
      <w:numFmt w:val="lowerLetter"/>
      <w:start w:val="5"/>
    </w:lvl>
  </w:abstractNum>
  <w:abstractNum w:abstractNumId="111">
    <w:nsid w:val="BFFAE18"/>
    <w:multiLevelType w:val="hybridMultilevel"/>
    <w:lvl w:ilvl="0">
      <w:lvlJc w:val="left"/>
      <w:lvlText w:val="(%1)"/>
      <w:numFmt w:val="lowerLetter"/>
      <w:start w:val="8"/>
    </w:lvl>
    <w:lvl w:ilvl="1">
      <w:lvlJc w:val="left"/>
      <w:lvlText w:val="(%2)"/>
      <w:numFmt w:val="lowerLetter"/>
      <w:start w:val="9"/>
    </w:lvl>
  </w:abstractNum>
  <w:abstractNum w:abstractNumId="112">
    <w:nsid w:val="E3E47A8"/>
    <w:multiLevelType w:val="hybridMultilevel"/>
    <w:lvl w:ilvl="0">
      <w:lvlJc w:val="left"/>
      <w:lvlText w:val="%1"/>
      <w:numFmt w:val="lowerRoman"/>
      <w:start w:val="1"/>
    </w:lvl>
    <w:lvl w:ilvl="1">
      <w:lvlJc w:val="left"/>
      <w:lvlText w:val="(%2)"/>
      <w:numFmt w:val="lowerRoman"/>
      <w:start w:val="2"/>
    </w:lvl>
  </w:abstractNum>
  <w:abstractNum w:abstractNumId="113">
    <w:nsid w:val="2E48F044"/>
    <w:multiLevelType w:val="hybridMultilevel"/>
    <w:lvl w:ilvl="0">
      <w:lvlJc w:val="left"/>
      <w:lvlText w:val="(%1)"/>
      <w:numFmt w:val="lowerRoman"/>
      <w:start w:val="1"/>
    </w:lvl>
    <w:lvl w:ilvl="1">
      <w:lvlJc w:val="left"/>
      <w:lvlText w:val="%2"/>
      <w:numFmt w:val="lowerRoman"/>
      <w:start w:val="1"/>
    </w:lvl>
  </w:abstractNum>
  <w:abstractNum w:abstractNumId="114">
    <w:nsid w:val="49D0FEAC"/>
    <w:multiLevelType w:val="hybridMultilevel"/>
    <w:lvl w:ilvl="0">
      <w:lvlJc w:val="left"/>
      <w:lvlText w:val="(%1)"/>
      <w:numFmt w:val="lowerRoman"/>
      <w:start w:val="1"/>
    </w:lvl>
    <w:lvl w:ilvl="1">
      <w:lvlJc w:val="left"/>
      <w:lvlText w:val="(%2)"/>
      <w:numFmt w:val="lowerRoman"/>
      <w:start w:val="1"/>
    </w:lvl>
  </w:abstractNum>
  <w:abstractNum w:abstractNumId="115">
    <w:nsid w:val="4BEE5A5B"/>
    <w:multiLevelType w:val="hybridMultilevel"/>
    <w:lvl w:ilvl="0">
      <w:lvlJc w:val="left"/>
      <w:lvlText w:val="(%1)"/>
      <w:numFmt w:val="lowerRoman"/>
      <w:start w:val="1"/>
    </w:lvl>
    <w:lvl w:ilvl="1">
      <w:lvlJc w:val="left"/>
      <w:lvlText w:val="%2"/>
      <w:numFmt w:val="lowerRoman"/>
      <w:start w:val="1"/>
    </w:lvl>
  </w:abstractNum>
  <w:abstractNum w:abstractNumId="116">
    <w:nsid w:val="5551B9F3"/>
    <w:multiLevelType w:val="hybridMultilevel"/>
    <w:lvl w:ilvl="0">
      <w:lvlJc w:val="left"/>
      <w:lvlText w:val="(%1)"/>
      <w:numFmt w:val="lowerRoman"/>
      <w:start w:val="10"/>
    </w:lvl>
    <w:lvl w:ilvl="1">
      <w:lvlJc w:val="left"/>
      <w:lvlText w:val="(%2)"/>
      <w:numFmt w:val="lowerRoman"/>
      <w:start w:val="3"/>
    </w:lvl>
  </w:abstractNum>
  <w:abstractNum w:abstractNumId="117">
    <w:nsid w:val="24F6AB8E"/>
    <w:multiLevelType w:val="hybridMultilevel"/>
    <w:lvl w:ilvl="0">
      <w:lvlJc w:val="left"/>
      <w:lvlText w:val="%1"/>
      <w:numFmt w:val="lowerLetter"/>
      <w:start w:val="1"/>
    </w:lvl>
    <w:lvl w:ilvl="1">
      <w:lvlJc w:val="left"/>
      <w:lvlText w:val="(%2)"/>
      <w:numFmt w:val="lowerRoman"/>
      <w:start w:val="4"/>
    </w:lvl>
  </w:abstractNum>
  <w:abstractNum w:abstractNumId="118">
    <w:nsid w:val="634C574C"/>
    <w:multiLevelType w:val="hybridMultilevel"/>
    <w:lvl w:ilvl="0">
      <w:lvlJc w:val="left"/>
      <w:lvlText w:val="(%1)"/>
      <w:numFmt w:val="lowerLetter"/>
      <w:start w:val="10"/>
    </w:lvl>
    <w:lvl w:ilvl="1">
      <w:lvlJc w:val="left"/>
      <w:lvlText w:val="%2"/>
      <w:numFmt w:val="lowerRoman"/>
      <w:start w:val="1"/>
    </w:lvl>
  </w:abstractNum>
  <w:abstractNum w:abstractNumId="119">
    <w:nsid w:val="24E99DD7"/>
    <w:multiLevelType w:val="hybridMultilevel"/>
    <w:lvl w:ilvl="0">
      <w:lvlJc w:val="left"/>
      <w:lvlText w:val="(%1)"/>
      <w:numFmt w:val="lowerLetter"/>
      <w:start w:val="12"/>
    </w:lvl>
  </w:abstractNum>
  <w:abstractNum w:abstractNumId="120">
    <w:nsid w:val="2A31B62D"/>
    <w:multiLevelType w:val="hybridMultilevel"/>
    <w:lvl w:ilvl="0">
      <w:lvlJc w:val="left"/>
      <w:lvlText w:val="(%1)"/>
      <w:numFmt w:val="lowerLetter"/>
      <w:start w:val="18"/>
    </w:lvl>
    <w:lvl w:ilvl="1">
      <w:lvlJc w:val="left"/>
      <w:lvlText w:val="(%2)"/>
      <w:numFmt w:val="upperLetter"/>
      <w:start w:val="1"/>
    </w:lvl>
  </w:abstractNum>
  <w:abstractNum w:abstractNumId="121">
    <w:nsid w:val="1849C29B"/>
    <w:multiLevelType w:val="hybridMultilevel"/>
    <w:lvl w:ilvl="0">
      <w:lvlJc w:val="left"/>
      <w:lvlText w:val="(%1)"/>
      <w:numFmt w:val="upperLetter"/>
      <w:start w:val="3"/>
    </w:lvl>
  </w:abstractNum>
  <w:abstractNum w:abstractNumId="122">
    <w:nsid w:val="7DFF9D09"/>
    <w:multiLevelType w:val="hybridMultilevel"/>
    <w:lvl w:ilvl="0">
      <w:lvlJc w:val="left"/>
      <w:lvlText w:val="(%1)"/>
      <w:numFmt w:val="upperLetter"/>
      <w:start w:val="6"/>
    </w:lvl>
  </w:abstractNum>
  <w:abstractNum w:abstractNumId="123">
    <w:nsid w:val="754342"/>
    <w:multiLevelType w:val="hybridMultilevel"/>
    <w:lvl w:ilvl="0">
      <w:lvlJc w:val="left"/>
      <w:lvlText w:val="%1"/>
      <w:numFmt w:val="lowerLetter"/>
      <w:start w:val="1"/>
    </w:lvl>
    <w:lvl w:ilvl="1">
      <w:lvlJc w:val="left"/>
      <w:lvlText w:val="(%2)"/>
      <w:numFmt w:val="upperLetter"/>
      <w:start w:val="9"/>
    </w:lvl>
  </w:abstractNum>
  <w:abstractNum w:abstractNumId="124">
    <w:nsid w:val="69E7F3E5"/>
    <w:multiLevelType w:val="hybridMultilevel"/>
    <w:lvl w:ilvl="0">
      <w:lvlJc w:val="left"/>
      <w:lvlText w:val="(%1)"/>
      <w:numFmt w:val="lowerLetter"/>
      <w:start w:val="20"/>
    </w:lvl>
    <w:lvl w:ilvl="1">
      <w:lvlJc w:val="left"/>
      <w:lvlText w:val="%2"/>
      <w:numFmt w:val="upperLetter"/>
      <w:start w:val="1"/>
    </w:lvl>
  </w:abstractNum>
  <w:abstractNum w:abstractNumId="125">
    <w:nsid w:val="2A6DE806"/>
    <w:multiLevelType w:val="hybridMultilevel"/>
    <w:lvl w:ilvl="0">
      <w:lvlJc w:val="left"/>
      <w:lvlText w:val="(%1)"/>
      <w:numFmt w:val="lowerRoman"/>
      <w:start w:val="5"/>
    </w:lvl>
    <w:lvl w:ilvl="1">
      <w:lvlJc w:val="left"/>
      <w:lvlText w:val="(%2)"/>
      <w:numFmt w:val="lowerRoman"/>
      <w:start w:val="1"/>
    </w:lvl>
  </w:abstractNum>
  <w:abstractNum w:abstractNumId="126">
    <w:nsid w:val="1816F8C4"/>
    <w:multiLevelType w:val="hybridMultilevel"/>
    <w:lvl w:ilvl="0">
      <w:lvlJc w:val="left"/>
      <w:lvlText w:val="(%1)"/>
      <w:numFmt w:val="lowerRoman"/>
      <w:start w:val="6"/>
    </w:lvl>
    <w:lvl w:ilvl="1">
      <w:lvlJc w:val="left"/>
      <w:lvlText w:val="(%2)"/>
      <w:numFmt w:val="upperLetter"/>
      <w:start w:val="1"/>
    </w:lvl>
  </w:abstractNum>
  <w:abstractNum w:abstractNumId="127">
    <w:nsid w:val="37DF2233"/>
    <w:multiLevelType w:val="hybridMultilevel"/>
    <w:lvl w:ilvl="0">
      <w:lvlJc w:val="left"/>
      <w:lvlText w:val="%1"/>
      <w:numFmt w:val="lowerLetter"/>
      <w:start w:val="1"/>
    </w:lvl>
    <w:lvl w:ilvl="1">
      <w:lvlJc w:val="left"/>
      <w:lvlText w:val="(%2)"/>
      <w:numFmt w:val="lowerRoman"/>
      <w:start w:val="11"/>
    </w:lvl>
  </w:abstractNum>
  <w:abstractNum w:abstractNumId="128">
    <w:nsid w:val="7AB49DAF"/>
    <w:multiLevelType w:val="hybridMultilevel"/>
    <w:lvl w:ilvl="0">
      <w:lvlJc w:val="left"/>
      <w:lvlText w:val="(%1)"/>
      <w:numFmt w:val="lowerLetter"/>
      <w:start w:val="23"/>
    </w:lvl>
    <w:lvl w:ilvl="1">
      <w:lvlJc w:val="left"/>
      <w:lvlText w:val="(%2)"/>
      <w:numFmt w:val="lowerRoman"/>
      <w:start w:val="1"/>
    </w:lvl>
  </w:abstractNum>
  <w:abstractNum w:abstractNumId="129">
    <w:nsid w:val="759F82CD"/>
    <w:multiLevelType w:val="hybridMultilevel"/>
    <w:lvl w:ilvl="0">
      <w:lvlJc w:val="left"/>
      <w:lvlText w:val="(%1)"/>
      <w:numFmt w:val="lowerRoman"/>
      <w:start w:val="2"/>
    </w:lvl>
  </w:abstractNum>
  <w:abstractNum w:abstractNumId="130">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31">
    <w:nsid w:val="597B4D84"/>
    <w:multiLevelType w:val="hybridMultilevel"/>
    <w:lvl w:ilvl="0">
      <w:lvlJc w:val="left"/>
      <w:lvlText w:val="%1"/>
      <w:numFmt w:val="decimal"/>
      <w:start w:val="1"/>
    </w:lvl>
    <w:lvl w:ilvl="1">
      <w:lvlJc w:val="left"/>
      <w:lvlText w:val="(%2)"/>
      <w:numFmt w:val="lowerLetter"/>
      <w:start w:val="24"/>
    </w:lvl>
    <w:lvl w:ilvl="2">
      <w:lvlJc w:val="left"/>
      <w:lvlText w:val="%3"/>
      <w:numFmt w:val="lowerLetter"/>
      <w:start w:val="1"/>
    </w:lvl>
  </w:abstractNum>
  <w:abstractNum w:abstractNumId="132">
    <w:nsid w:val="F819E7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33">
    <w:nsid w:val="57C7D42D"/>
    <w:multiLevelType w:val="hybridMultilevel"/>
    <w:lvl w:ilvl="0">
      <w:lvlJc w:val="left"/>
      <w:lvlText w:val="(%1)"/>
      <w:numFmt w:val="lowerLetter"/>
      <w:start w:val="2"/>
    </w:lvl>
  </w:abstractNum>
  <w:abstractNum w:abstractNumId="134">
    <w:nsid w:val="312167AD"/>
    <w:multiLevelType w:val="hybridMultilevel"/>
    <w:lvl w:ilvl="0">
      <w:lvlJc w:val="left"/>
      <w:lvlText w:val="(%1)"/>
      <w:numFmt w:val="lowerLetter"/>
      <w:start w:val="3"/>
    </w:lvl>
  </w:abstractNum>
  <w:abstractNum w:abstractNumId="135">
    <w:nsid w:val="631B64D4"/>
    <w:multiLevelType w:val="hybridMultilevel"/>
    <w:lvl w:ilvl="0">
      <w:lvlJc w:val="left"/>
      <w:lvlText w:val="(%1)"/>
      <w:numFmt w:val="lowerLetter"/>
      <w:start w:val="4"/>
    </w:lvl>
  </w:abstractNum>
  <w:abstractNum w:abstractNumId="136">
    <w:nsid w:val="78B5E77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7">
    <w:nsid w:val="75486E4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8">
    <w:nsid w:val="6E534CDE"/>
    <w:multiLevelType w:val="hybridMultilevel"/>
    <w:lvl w:ilvl="0">
      <w:lvlJc w:val="left"/>
      <w:lvlText w:val="(%1)"/>
      <w:numFmt w:val="lowerRoman"/>
      <w:start w:val="8"/>
    </w:lvl>
  </w:abstractNum>
  <w:abstractNum w:abstractNumId="139">
    <w:nsid w:val="1A0DDE32"/>
    <w:multiLevelType w:val="hybridMultilevel"/>
    <w:lvl w:ilvl="0">
      <w:lvlJc w:val="left"/>
      <w:lvlText w:val="%1"/>
      <w:numFmt w:val="decimal"/>
      <w:start w:val="1"/>
    </w:lvl>
    <w:lvl w:ilvl="1">
      <w:lvlJc w:val="left"/>
      <w:lvlText w:val="(%2)"/>
      <w:numFmt w:val="lowerRoman"/>
      <w:start w:val="16"/>
    </w:lvl>
  </w:abstractNum>
  <w:abstractNum w:abstractNumId="140">
    <w:nsid w:val="65968C1C"/>
    <w:multiLevelType w:val="hybridMultilevel"/>
    <w:lvl w:ilvl="0">
      <w:lvlJc w:val="left"/>
      <w:lvlText w:val="%1."/>
      <w:numFmt w:val="decimal"/>
      <w:start w:val="8"/>
    </w:lvl>
    <w:lvl w:ilvl="1">
      <w:lvlJc w:val="left"/>
      <w:lvlText w:val="%2"/>
      <w:numFmt w:val="lowerRoman"/>
      <w:start w:val="1"/>
    </w:lvl>
  </w:abstractNum>
  <w:abstractNum w:abstractNumId="141">
    <w:nsid w:val="46263DEC"/>
    <w:multiLevelType w:val="hybridMultilevel"/>
    <w:lvl w:ilvl="0">
      <w:lvlJc w:val="left"/>
      <w:lvlText w:val="%1."/>
      <w:numFmt w:val="decimal"/>
      <w:start w:val="9"/>
    </w:lvl>
    <w:lvl w:ilvl="1">
      <w:lvlJc w:val="left"/>
      <w:lvlText w:val="(%2)"/>
      <w:numFmt w:val="lowerLetter"/>
      <w:start w:val="1"/>
    </w:lvl>
  </w:abstractNum>
  <w:abstractNum w:abstractNumId="142">
    <w:nsid w:val="260D8C4A"/>
    <w:multiLevelType w:val="hybridMultilevel"/>
    <w:lvl w:ilvl="0">
      <w:lvlJc w:val="left"/>
      <w:lvlText w:val="%1"/>
      <w:numFmt w:val="lowerLetter"/>
      <w:start w:val="1"/>
    </w:lvl>
    <w:lvl w:ilvl="1">
      <w:lvlJc w:val="left"/>
      <w:lvlText w:val="(%2)"/>
      <w:numFmt w:val="lowerLetter"/>
      <w:start w:val="2"/>
    </w:lvl>
  </w:abstractNum>
  <w:abstractNum w:abstractNumId="143">
    <w:nsid w:val="73D4D3C4"/>
    <w:multiLevelType w:val="hybridMultilevel"/>
    <w:lvl w:ilvl="0">
      <w:lvlJc w:val="left"/>
      <w:lvlText w:val="(%1)"/>
      <w:numFmt w:val="lowerLetter"/>
      <w:start w:val="25"/>
    </w:lvl>
    <w:lvl w:ilvl="1">
      <w:lvlJc w:val="left"/>
      <w:lvlText w:val="(%2)"/>
      <w:numFmt w:val="lowerLetter"/>
      <w:start w:val="4"/>
    </w:lvl>
  </w:abstractNum>
  <w:abstractNum w:abstractNumId="144">
    <w:nsid w:val="746F2E30"/>
    <w:multiLevelType w:val="hybridMultilevel"/>
    <w:lvl w:ilvl="0">
      <w:lvlJc w:val="left"/>
      <w:lvlText w:val="%1"/>
      <w:numFmt w:val="decimal"/>
      <w:start w:val="1"/>
    </w:lvl>
    <w:lvl w:ilvl="1">
      <w:lvlJc w:val="left"/>
      <w:lvlText w:val="(%2)"/>
      <w:numFmt w:val="lowerLetter"/>
      <w:start w:val="5"/>
    </w:lvl>
  </w:abstractNum>
  <w:abstractNum w:abstractNumId="145">
    <w:nsid w:val="6FDE8AF6"/>
    <w:multiLevelType w:val="hybridMultilevel"/>
    <w:lvl w:ilvl="0">
      <w:lvlJc w:val="left"/>
      <w:lvlText w:val="(%1)"/>
      <w:numFmt w:val="decimal"/>
      <w:start w:val="1"/>
    </w:lvl>
    <w:lvl w:ilvl="1">
      <w:lvlJc w:val="left"/>
      <w:lvlText w:val="%2"/>
      <w:numFmt w:val="lowerLetter"/>
      <w:start w:val="1"/>
    </w:lvl>
  </w:abstractNum>
  <w:abstractNum w:abstractNumId="146">
    <w:nsid w:val="3FC32E20"/>
    <w:multiLevelType w:val="hybridMultilevel"/>
    <w:lvl w:ilvl="0">
      <w:lvlJc w:val="left"/>
      <w:lvlText w:val="(%1)"/>
      <w:numFmt w:val="lowerLetter"/>
      <w:start w:val="6"/>
    </w:lvl>
  </w:abstractNum>
  <w:abstractNum w:abstractNumId="147">
    <w:nsid w:val="49C0E823"/>
    <w:multiLevelType w:val="hybridMultilevel"/>
    <w:lvl w:ilvl="0">
      <w:lvlJc w:val="left"/>
      <w:lvlText w:val="(%1)"/>
      <w:numFmt w:val="decimal"/>
      <w:start w:val="5"/>
    </w:lvl>
    <w:lvl w:ilvl="1">
      <w:lvlJc w:val="left"/>
      <w:lvlText w:val="(%2)"/>
      <w:numFmt w:val="lowerLetter"/>
      <w:start w:val="7"/>
    </w:lvl>
  </w:abstractNum>
  <w:abstractNum w:abstractNumId="148">
    <w:nsid w:val="14D53685"/>
    <w:multiLevelType w:val="hybridMultilevel"/>
    <w:lvl w:ilvl="0">
      <w:lvlJc w:val="left"/>
      <w:lvlText w:val="(%1)"/>
      <w:numFmt w:val="lowerLetter"/>
      <w:start w:val="10"/>
    </w:lvl>
    <w:lvl w:ilvl="1">
      <w:lvlJc w:val="left"/>
      <w:lvlText w:val="(%2)"/>
      <w:numFmt w:val="lowerLetter"/>
      <w:start w:val="9"/>
    </w:lvl>
  </w:abstractNum>
  <w:abstractNum w:abstractNumId="149">
    <w:nsid w:val="230F856C"/>
    <w:multiLevelType w:val="hybridMultilevel"/>
    <w:lvl w:ilvl="0">
      <w:lvlJc w:val="left"/>
      <w:lvlText w:val="(%1)"/>
      <w:numFmt w:val="lowerRoman"/>
      <w:start w:val="2"/>
    </w:lvl>
  </w:abstractNum>
  <w:abstractNum w:abstractNumId="150">
    <w:nsid w:val="6EAA85FB"/>
    <w:multiLevelType w:val="hybridMultilevel"/>
    <w:lvl w:ilvl="0">
      <w:lvlJc w:val="left"/>
      <w:lvlText w:val="(%1)"/>
      <w:numFmt w:val="lowerLetter"/>
      <w:start w:val="12"/>
    </w:lvl>
  </w:abstractNum>
  <w:abstractNum w:abstractNumId="151">
    <w:nsid w:val="3F06ECB2"/>
    <w:multiLevelType w:val="hybridMultilevel"/>
    <w:lvl w:ilvl="0">
      <w:lvlJc w:val="left"/>
      <w:lvlText w:val="(%1)"/>
      <w:numFmt w:val="lowerLetter"/>
      <w:start w:val="16"/>
    </w:lvl>
    <w:lvl w:ilvl="1">
      <w:lvlJc w:val="left"/>
      <w:lvlText w:val="(%2)"/>
      <w:numFmt w:val="lowerRoman"/>
      <w:start w:val="1"/>
    </w:lvl>
    <w:lvl w:ilvl="2">
      <w:lvlJc w:val="left"/>
      <w:lvlText w:val="(%3)"/>
      <w:numFmt w:val="decimal"/>
      <w:start w:val="1"/>
    </w:lvl>
  </w:abstractNum>
  <w:abstractNum w:abstractNumId="152">
    <w:nsid w:val="3B594807"/>
    <w:multiLevelType w:val="hybridMultilevel"/>
    <w:lvl w:ilvl="0">
      <w:lvlJc w:val="left"/>
      <w:lvlText w:val="(%1)"/>
      <w:numFmt w:val="lowerLetter"/>
      <w:start w:val="17"/>
    </w:lvl>
  </w:abstractNum>
  <w:abstractNum w:abstractNumId="153">
    <w:nsid w:val="6CAA2304"/>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154">
    <w:nsid w:val="3F7C2FF4"/>
    <w:multiLevelType w:val="hybridMultilevel"/>
    <w:lvl w:ilvl="0">
      <w:lvlJc w:val="left"/>
      <w:lvlText w:val="(%1)"/>
      <w:numFmt w:val="upperLetter"/>
      <w:start w:val="2"/>
    </w:lvl>
  </w:abstractNum>
  <w:abstractNum w:abstractNumId="155">
    <w:nsid w:val="25413BEC"/>
    <w:multiLevelType w:val="hybridMultilevel"/>
    <w:lvl w:ilvl="0">
      <w:lvlJc w:val="left"/>
      <w:lvlText w:val="(%1)"/>
      <w:numFmt w:val="lowerRoman"/>
      <w:start w:val="4"/>
    </w:lvl>
  </w:abstractNum>
  <w:abstractNum w:abstractNumId="156">
    <w:nsid w:val="17180B0B"/>
    <w:multiLevelType w:val="hybridMultilevel"/>
    <w:lvl w:ilvl="0">
      <w:lvlJc w:val="left"/>
      <w:lvlText w:val="(%1)"/>
      <w:numFmt w:val="lowerRoman"/>
      <w:start w:val="5"/>
    </w:lvl>
  </w:abstractNum>
  <w:abstractNum w:abstractNumId="157">
    <w:nsid w:val="579328B9"/>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2022-08-19T06:08:23Z</dcterms:created>
  <dcterms:modified xsi:type="dcterms:W3CDTF">2022-08-19T06:08:23Z</dcterms:modified>
</cp:coreProperties>
</file>