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25, 2024</w:t>
      </w:r>
    </w:p>
    <w:p>
      <w:pPr>
        <w:spacing w:after="0" w:line="31" w:lineRule="exact"/>
        <w:rPr>
          <w:sz w:val="24"/>
          <w:szCs w:val="24"/>
          <w:color w:val="auto"/>
        </w:rPr>
      </w:pPr>
    </w:p>
    <w:p>
      <w:pPr>
        <w:ind w:left="906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7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30-0943453</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45"/>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57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2022 Omnibus Equity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Benjamin Kovler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2468 Industrial Row Dr.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Troy, MI</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(855) 420-0020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r>
        <w:rPr>
          <w:rFonts w:ascii="Times New Roman" w:cs="Times New Roman" w:eastAsia="Times New Roman" w:hAnsi="Times New Roman"/>
          <w:sz w:val="18"/>
          <w:szCs w:val="18"/>
          <w:b w:val="1"/>
          <w:bCs w:val="1"/>
          <w:color w:val="auto"/>
        </w:rPr>
        <w: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Frank A. Segall,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Robert A. Petitt,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Blank Rome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125 High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 02110</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(617) 415-1200</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Agrify Corporation, a Nevada corporation (the “Company,” “we,” “us” or “our”), previously registered 1,765 shares of the Company’s common stock, $0.001 par value per share (the “Common Stock”), available for issuance pursuant to the Agrify Corporation 2022 Omnibus Equity Incentive Plan (the “Plan”). The Company registered such shares of Common Stock under the Plan on </w:t>
      </w:r>
      <w:hyperlink r:id="rId13">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Statement filed with the Securities and Exchange Commission (“SEC”) on July 1, 2022 (Registration Number 333-265950), in accordance with the Securities Act of 1933, as amended.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8, 2024, the Company’s shareholders approved an amendment to the Plan to increase the number of shares of Common Stock which may be issued pursuant to the Plan by an additional 16,666 shares, and on August 12, 2024, the Company’s shareholders approved an amendment to the Plan to increase the number of shares of Common Stock which may be issued pursuant to the Plan by an additional 166,666 shares. This Registration Statement on Form S-8 is being filed to register the additional 183,332 shares of Common Stock for issuance under the Plan pursuant to the amendments to the plan described above (the “Additional Shares”).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 numbers set forth above retroactively reflect the 1-for-10 reverse stock split completed by the Company on October 18, 2022, the 1-for-20 reverse stock split completed by the Company on July 5, 2023, and the 1-for-15 reverse stock split completed by the Company on October 8, 2024, as applicable.</w:t>
      </w:r>
    </w:p>
    <w:p>
      <w:pPr>
        <w:spacing w:after="0" w:line="176" w:lineRule="exact"/>
        <w:rPr>
          <w:sz w:val="20"/>
          <w:szCs w:val="20"/>
          <w:color w:val="auto"/>
        </w:rPr>
      </w:pPr>
    </w:p>
    <w:p>
      <w:pPr>
        <w:jc w:val="both"/>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General Instruction E of Form S-8, the contents of the </w:t>
      </w:r>
      <w:hyperlink r:id="rId13">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Statement filed with the SEC on July 1, 2022 (Registration Number 333-265950) are incorporated herein by reference, except to the extent supplemented, amended or superseded by the information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into this Registration Statement the information we file with them, which means that we can disclose important information to you by referring you to those documents. The information incorporated by reference is considered to be part of this Registration Statement, and information that we file later with the Commission will automatically update and supersede this information. This Registration Statement incorporates by reference the documents listed below (other than portions of these documents that are deemed furnished under applicable Commission rules rather than filed and exhibits furnished in connection with such items):</w:t>
      </w:r>
    </w:p>
    <w:p>
      <w:pPr>
        <w:spacing w:after="0" w:line="183"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2023 filed with the SEC on </w:t>
      </w:r>
      <w:hyperlink r:id="rId15">
        <w:r>
          <w:rPr>
            <w:rFonts w:ascii="Times New Roman" w:cs="Times New Roman" w:eastAsia="Times New Roman" w:hAnsi="Times New Roman"/>
            <w:sz w:val="18"/>
            <w:szCs w:val="18"/>
            <w:u w:val="single" w:color="auto"/>
            <w:color w:val="0000EE"/>
          </w:rPr>
          <w:t>April 15, 2024</w:t>
        </w:r>
      </w:hyperlink>
      <w:r>
        <w:rPr>
          <w:rFonts w:ascii="Times New Roman" w:cs="Times New Roman" w:eastAsia="Times New Roman" w:hAnsi="Times New Roman"/>
          <w:sz w:val="18"/>
          <w:szCs w:val="18"/>
          <w:color w:val="auto"/>
        </w:rPr>
        <w:t xml:space="preserve">, as amended on </w:t>
      </w:r>
      <w:hyperlink r:id="rId16">
        <w:r>
          <w:rPr>
            <w:rFonts w:ascii="Times New Roman" w:cs="Times New Roman" w:eastAsia="Times New Roman" w:hAnsi="Times New Roman"/>
            <w:sz w:val="18"/>
            <w:szCs w:val="18"/>
            <w:u w:val="single" w:color="auto"/>
            <w:color w:val="0000EE"/>
          </w:rPr>
          <w:t>April 29, 2024</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0" w:hanging="328"/>
        <w:spacing w:after="0" w:line="312" w:lineRule="auto"/>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Quarterly Reports on Form 10-Q for the quarter ended March 31, 2024, filed with the SEC on </w:t>
      </w:r>
      <w:hyperlink r:id="rId17">
        <w:r>
          <w:rPr>
            <w:rFonts w:ascii="Times New Roman" w:cs="Times New Roman" w:eastAsia="Times New Roman" w:hAnsi="Times New Roman"/>
            <w:sz w:val="17"/>
            <w:szCs w:val="17"/>
            <w:u w:val="single" w:color="auto"/>
            <w:color w:val="0000EE"/>
          </w:rPr>
          <w:t>May 21, 2024</w:t>
        </w:r>
      </w:hyperlink>
      <w:r>
        <w:rPr>
          <w:rFonts w:ascii="Times New Roman" w:cs="Times New Roman" w:eastAsia="Times New Roman" w:hAnsi="Times New Roman"/>
          <w:sz w:val="17"/>
          <w:szCs w:val="17"/>
          <w:color w:val="auto"/>
        </w:rPr>
        <w:t xml:space="preserve">, as amended on </w:t>
      </w:r>
      <w:hyperlink r:id="rId18">
        <w:r>
          <w:rPr>
            <w:rFonts w:ascii="Times New Roman" w:cs="Times New Roman" w:eastAsia="Times New Roman" w:hAnsi="Times New Roman"/>
            <w:sz w:val="17"/>
            <w:szCs w:val="17"/>
            <w:u w:val="single" w:color="auto"/>
            <w:color w:val="0000EE"/>
          </w:rPr>
          <w:t>August 14, 2024</w:t>
        </w:r>
      </w:hyperlink>
      <w:r>
        <w:rPr>
          <w:rFonts w:ascii="Times New Roman" w:cs="Times New Roman" w:eastAsia="Times New Roman" w:hAnsi="Times New Roman"/>
          <w:sz w:val="17"/>
          <w:szCs w:val="17"/>
          <w:color w:val="auto"/>
        </w:rPr>
        <w:t xml:space="preserve">, and for the quarters ended June 30, 2024 and September 30, 2024 filed with the SEC on </w:t>
      </w:r>
      <w:hyperlink r:id="rId19">
        <w:r>
          <w:rPr>
            <w:rFonts w:ascii="Times New Roman" w:cs="Times New Roman" w:eastAsia="Times New Roman" w:hAnsi="Times New Roman"/>
            <w:sz w:val="17"/>
            <w:szCs w:val="17"/>
            <w:u w:val="single" w:color="auto"/>
            <w:color w:val="0000EE"/>
          </w:rPr>
          <w:t>August 14, 2024</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20">
        <w:r>
          <w:rPr>
            <w:rFonts w:ascii="Times New Roman" w:cs="Times New Roman" w:eastAsia="Times New Roman" w:hAnsi="Times New Roman"/>
            <w:sz w:val="17"/>
            <w:szCs w:val="17"/>
            <w:u w:val="single" w:color="auto"/>
            <w:color w:val="0000EE"/>
          </w:rPr>
          <w:t>November 14, 2024</w:t>
        </w:r>
      </w:hyperlink>
      <w:r>
        <w:rPr>
          <w:rFonts w:ascii="Times New Roman" w:cs="Times New Roman" w:eastAsia="Times New Roman" w:hAnsi="Times New Roman"/>
          <w:sz w:val="17"/>
          <w:szCs w:val="17"/>
          <w:color w:val="auto"/>
        </w:rPr>
        <w:t>, respectively;</w:t>
      </w:r>
    </w:p>
    <w:p>
      <w:pPr>
        <w:spacing w:after="0" w:line="139" w:lineRule="exact"/>
        <w:rPr>
          <w:rFonts w:ascii="Times New Roman" w:cs="Times New Roman" w:eastAsia="Times New Roman" w:hAnsi="Times New Roman"/>
          <w:sz w:val="17"/>
          <w:szCs w:val="17"/>
          <w:color w:val="auto"/>
        </w:rPr>
      </w:pPr>
    </w:p>
    <w:p>
      <w:pPr>
        <w:jc w:val="both"/>
        <w:ind w:left="660" w:hanging="328"/>
        <w:spacing w:after="0" w:line="258" w:lineRule="auto"/>
        <w:tabs>
          <w:tab w:leader="none" w:pos="66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21">
        <w:r>
          <w:rPr>
            <w:rFonts w:ascii="Times New Roman" w:cs="Times New Roman" w:eastAsia="Times New Roman" w:hAnsi="Times New Roman"/>
            <w:sz w:val="18"/>
            <w:szCs w:val="18"/>
            <w:u w:val="single" w:color="auto"/>
            <w:color w:val="0000EE"/>
          </w:rPr>
          <w:t>January 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as set forth therein), </w:t>
      </w:r>
      <w:hyperlink r:id="rId22">
        <w:r>
          <w:rPr>
            <w:rFonts w:ascii="Times New Roman" w:cs="Times New Roman" w:eastAsia="Times New Roman" w:hAnsi="Times New Roman"/>
            <w:sz w:val="18"/>
            <w:szCs w:val="18"/>
            <w:u w:val="single" w:color="auto"/>
            <w:color w:val="0000EE"/>
          </w:rPr>
          <w:t>January 25, 2024</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January 31, 2024</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February 28,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5">
        <w:r>
          <w:rPr>
            <w:rFonts w:ascii="Times New Roman" w:cs="Times New Roman" w:eastAsia="Times New Roman" w:hAnsi="Times New Roman"/>
            <w:sz w:val="18"/>
            <w:szCs w:val="18"/>
            <w:u w:val="single" w:color="auto"/>
            <w:color w:val="0000EE"/>
          </w:rPr>
          <w:t>March 6,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6">
        <w:r>
          <w:rPr>
            <w:rFonts w:ascii="Times New Roman" w:cs="Times New Roman" w:eastAsia="Times New Roman" w:hAnsi="Times New Roman"/>
            <w:sz w:val="18"/>
            <w:szCs w:val="18"/>
            <w:u w:val="single" w:color="auto"/>
            <w:color w:val="0000EE"/>
          </w:rPr>
          <w:t xml:space="preserve">April 22, 2024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as set forth therein),</w:t>
      </w:r>
      <w:r>
        <w:rPr>
          <w:rFonts w:ascii="Times New Roman" w:cs="Times New Roman" w:eastAsia="Times New Roman" w:hAnsi="Times New Roman"/>
          <w:sz w:val="18"/>
          <w:szCs w:val="18"/>
          <w:color w:val="0000EE"/>
        </w:rPr>
        <w:t xml:space="preserve"> </w:t>
      </w:r>
      <w:hyperlink r:id="rId27">
        <w:r>
          <w:rPr>
            <w:rFonts w:ascii="Times New Roman" w:cs="Times New Roman" w:eastAsia="Times New Roman" w:hAnsi="Times New Roman"/>
            <w:sz w:val="18"/>
            <w:szCs w:val="18"/>
            <w:u w:val="single" w:color="auto"/>
            <w:color w:val="0000EE"/>
          </w:rPr>
          <w:t xml:space="preserve">May 16, 2024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as set forth therein),</w:t>
      </w:r>
      <w:r>
        <w:rPr>
          <w:rFonts w:ascii="Times New Roman" w:cs="Times New Roman" w:eastAsia="Times New Roman" w:hAnsi="Times New Roman"/>
          <w:sz w:val="18"/>
          <w:szCs w:val="18"/>
          <w:color w:val="0000EE"/>
        </w:rPr>
        <w:t xml:space="preserve"> </w:t>
      </w:r>
      <w:hyperlink r:id="rId28">
        <w:r>
          <w:rPr>
            <w:rFonts w:ascii="Times New Roman" w:cs="Times New Roman" w:eastAsia="Times New Roman" w:hAnsi="Times New Roman"/>
            <w:sz w:val="18"/>
            <w:szCs w:val="18"/>
            <w:u w:val="single" w:color="auto"/>
            <w:color w:val="0000EE"/>
          </w:rPr>
          <w:t>May 20, 2024</w:t>
        </w:r>
      </w:hyperlink>
      <w:r>
        <w:rPr>
          <w:rFonts w:ascii="Times New Roman" w:cs="Times New Roman" w:eastAsia="Times New Roman" w:hAnsi="Times New Roman"/>
          <w:sz w:val="18"/>
          <w:szCs w:val="18"/>
          <w:color w:val="0000EE"/>
        </w:rPr>
        <w:t xml:space="preserve"> </w:t>
      </w:r>
      <w:hyperlink r:id="rId29">
        <w:r>
          <w:rPr>
            <w:rFonts w:ascii="Times New Roman" w:cs="Times New Roman" w:eastAsia="Times New Roman" w:hAnsi="Times New Roman"/>
            <w:sz w:val="18"/>
            <w:szCs w:val="18"/>
            <w:color w:val="000000"/>
          </w:rPr>
          <w:t xml:space="preserve">(other than as set forth therein), </w:t>
        </w:r>
        <w:r>
          <w:rPr>
            <w:rFonts w:ascii="Times New Roman" w:cs="Times New Roman" w:eastAsia="Times New Roman" w:hAnsi="Times New Roman"/>
            <w:sz w:val="18"/>
            <w:szCs w:val="18"/>
            <w:u w:val="single" w:color="auto"/>
            <w:color w:val="0000EE"/>
          </w:rPr>
          <w:t>May 22, 2024</w:t>
        </w:r>
        <w:r>
          <w:rPr>
            <w:rFonts w:ascii="Times New Roman" w:cs="Times New Roman" w:eastAsia="Times New Roman" w:hAnsi="Times New Roman"/>
            <w:sz w:val="18"/>
            <w:szCs w:val="18"/>
            <w:color w:val="000000"/>
          </w:rPr>
          <w:t xml:space="preserve"> (other than as set forth therein), </w:t>
        </w:r>
        <w:r>
          <w:rPr>
            <w:rFonts w:ascii="Times New Roman" w:cs="Times New Roman" w:eastAsia="Times New Roman" w:hAnsi="Times New Roman"/>
            <w:sz w:val="18"/>
            <w:szCs w:val="18"/>
            <w:u w:val="single" w:color="auto"/>
            <w:color w:val="0000EE"/>
          </w:rPr>
          <w:t>June 26, 2024</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EE"/>
          </w:rPr>
          <w:t>July 3, 2024</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EE"/>
          </w:rPr>
          <w:t>July 22, 2024</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EE"/>
          </w:rPr>
          <w:t>August 9, 2024</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EE"/>
          </w:rPr>
          <w:t>August</w:t>
        </w:r>
      </w:hyperlink>
      <w:r>
        <w:rPr>
          <w:rFonts w:ascii="Times New Roman" w:cs="Times New Roman" w:eastAsia="Times New Roman" w:hAnsi="Times New Roman"/>
          <w:sz w:val="18"/>
          <w:szCs w:val="18"/>
          <w:color w:val="000000"/>
        </w:rPr>
        <w:t xml:space="preserve"> </w:t>
      </w:r>
      <w:hyperlink r:id="rId30">
        <w:r>
          <w:rPr>
            <w:rFonts w:ascii="Times New Roman" w:cs="Times New Roman" w:eastAsia="Times New Roman" w:hAnsi="Times New Roman"/>
            <w:sz w:val="18"/>
            <w:szCs w:val="18"/>
            <w:u w:val="single" w:color="auto"/>
            <w:color w:val="0000EE"/>
          </w:rPr>
          <w:t>13, 2024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(other than as set forth therein),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August 14,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August 29,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September 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September 6,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4,</w:t>
        </w:r>
      </w:hyperlink>
      <w:r>
        <w:rPr>
          <w:rFonts w:ascii="Times New Roman" w:cs="Times New Roman" w:eastAsia="Times New Roman" w:hAnsi="Times New Roman"/>
          <w:sz w:val="18"/>
          <w:szCs w:val="18"/>
          <w:color w:val="0000EE"/>
        </w:rPr>
        <w:t xml:space="preserve"> </w:t>
      </w:r>
      <w:hyperlink r:id="rId30">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1">
        <w:r>
          <w:rPr>
            <w:rFonts w:ascii="Times New Roman" w:cs="Times New Roman" w:eastAsia="Times New Roman" w:hAnsi="Times New Roman"/>
            <w:sz w:val="18"/>
            <w:szCs w:val="18"/>
            <w:u w:val="single" w:color="auto"/>
            <w:color w:val="0000EE"/>
          </w:rPr>
          <w:t>October 22, 2024</w:t>
        </w:r>
      </w:hyperlink>
      <w:hyperlink r:id="rId3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2">
        <w:r>
          <w:rPr>
            <w:rFonts w:ascii="Times New Roman" w:cs="Times New Roman" w:eastAsia="Times New Roman" w:hAnsi="Times New Roman"/>
            <w:sz w:val="18"/>
            <w:szCs w:val="18"/>
            <w:u w:val="single" w:color="auto"/>
            <w:color w:val="0000EE"/>
          </w:rPr>
          <w:t xml:space="preserve">November 5, 2024 </w:t>
        </w:r>
      </w:hyperlink>
      <w:hyperlink r:id="rId30">
        <w:r>
          <w:rPr>
            <w:rFonts w:ascii="Times New Roman" w:cs="Times New Roman" w:eastAsia="Times New Roman" w:hAnsi="Times New Roman"/>
            <w:sz w:val="18"/>
            <w:szCs w:val="18"/>
            <w:color w:val="000000"/>
          </w:rPr>
          <w:t>(other than as set forth therein) and</w:t>
        </w:r>
        <w:r>
          <w:rPr>
            <w:rFonts w:ascii="Times New Roman" w:cs="Times New Roman" w:eastAsia="Times New Roman" w:hAnsi="Times New Roman"/>
            <w:sz w:val="18"/>
            <w:szCs w:val="18"/>
            <w:color w:val="0000EE"/>
          </w:rPr>
          <w:t xml:space="preserve"> </w:t>
        </w:r>
      </w:hyperlink>
      <w:hyperlink r:id="rId33">
        <w:r>
          <w:rPr>
            <w:rFonts w:ascii="Times New Roman" w:cs="Times New Roman" w:eastAsia="Times New Roman" w:hAnsi="Times New Roman"/>
            <w:sz w:val="18"/>
            <w:szCs w:val="18"/>
            <w:u w:val="single" w:color="auto"/>
            <w:color w:val="0000EE"/>
          </w:rPr>
          <w:t>November 21, 2024</w:t>
        </w:r>
      </w:hyperlink>
      <w:hyperlink r:id="rId30">
        <w:r>
          <w:rPr>
            <w:rFonts w:ascii="Times New Roman" w:cs="Times New Roman" w:eastAsia="Times New Roman" w:hAnsi="Times New Roman"/>
            <w:sz w:val="18"/>
            <w:szCs w:val="18"/>
            <w:color w:val="000000"/>
          </w:rPr>
          <w:t>;</w:t>
        </w:r>
      </w:hyperlink>
    </w:p>
    <w:p>
      <w:pPr>
        <w:spacing w:after="0" w:line="183" w:lineRule="exact"/>
        <w:rPr>
          <w:rFonts w:ascii="Times New Roman" w:cs="Times New Roman" w:eastAsia="Times New Roman" w:hAnsi="Times New Roman"/>
          <w:sz w:val="18"/>
          <w:szCs w:val="18"/>
          <w:color w:val="0000EE"/>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Schedule 14A filed with the SEC on </w:t>
      </w:r>
      <w:hyperlink r:id="rId34">
        <w:r>
          <w:rPr>
            <w:rFonts w:ascii="Times New Roman" w:cs="Times New Roman" w:eastAsia="Times New Roman" w:hAnsi="Times New Roman"/>
            <w:sz w:val="18"/>
            <w:szCs w:val="18"/>
            <w:u w:val="single" w:color="auto"/>
            <w:color w:val="0000EE"/>
          </w:rPr>
          <w:t>July 22, 2024</w:t>
        </w:r>
      </w:hyperlink>
      <w:r>
        <w:rPr>
          <w:rFonts w:ascii="Times New Roman" w:cs="Times New Roman" w:eastAsia="Times New Roman" w:hAnsi="Times New Roman"/>
          <w:sz w:val="18"/>
          <w:szCs w:val="18"/>
          <w:color w:val="auto"/>
        </w:rPr>
        <w:t>, as supplemented on August 9,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Information Statement on Schedule 14C filed with the SEC on </w:t>
      </w:r>
      <w:hyperlink r:id="rId35">
        <w:r>
          <w:rPr>
            <w:rFonts w:ascii="Times New Roman" w:cs="Times New Roman" w:eastAsia="Times New Roman" w:hAnsi="Times New Roman"/>
            <w:sz w:val="18"/>
            <w:szCs w:val="18"/>
            <w:u w:val="single" w:color="auto"/>
            <w:color w:val="0000EE"/>
          </w:rPr>
          <w:t>September 16, 2024</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Registered Pursuant to Section 12 of the Securities Exchange Act of 1934 filed with the SEC on April 2, 2021 as </w:t>
      </w:r>
      <w:hyperlink r:id="rId36">
        <w:r>
          <w:rPr>
            <w:rFonts w:ascii="Times New Roman" w:cs="Times New Roman" w:eastAsia="Times New Roman" w:hAnsi="Times New Roman"/>
            <w:sz w:val="18"/>
            <w:szCs w:val="18"/>
            <w:u w:val="single" w:color="auto"/>
            <w:color w:val="0000EE"/>
          </w:rPr>
          <w:t>Exhibit 4.5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Annual Report on </w:t>
      </w:r>
      <w:hyperlink r:id="rId3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2020.</w:t>
      </w:r>
    </w:p>
    <w:p>
      <w:pPr>
        <w:spacing w:after="0" w:line="162" w:lineRule="exact"/>
        <w:rPr>
          <w:rFonts w:ascii="Times New Roman" w:cs="Times New Roman" w:eastAsia="Times New Roman" w:hAnsi="Times New Roman"/>
          <w:sz w:val="18"/>
          <w:szCs w:val="18"/>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documents that the registrant subsequently files pursuant to Sections 13(a), 13(c), 14 and 15(d) of the Exchange Act (other than any such documents or portions thereof that are deemed to have been furnished and not filed in accordance with the rules of the SEC), prior to the filing of a post-effective amendment to this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w:t>
      </w:r>
    </w:p>
    <w:p>
      <w:pPr>
        <w:spacing w:after="0" w:line="183"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9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Articles of Incorporation of the Registrant (incorporated by reference to Exhibit 3.1 to the Registrant’s Amendment No. 1 to Registration</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Statement on Form S-1 filed with the Securities and Exchange Commission on January 13,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Third Amended and Restated Certificate of Designations of the Series A Convertible Preferred Stock of the Registrant (incorporated by</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reference to Exhibit 3.2 to the Registrant’s Amendment No. 1 to Registration Statement on Form S-1 filed with the Securities and Exchange</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Commission on January 13,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Second Amended and Restated Bylaws of the Registrant (incorporated by reference to Exhibit 3.1 to the Registrants Current Report on</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Form 8-K filed with the Securities and Exchange Commission on August 9, 2024)</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5"/>
                <w:szCs w:val="15"/>
                <w:color w:val="auto"/>
              </w:rPr>
            </w:pPr>
          </w:p>
        </w:tc>
        <w:tc>
          <w:tcPr>
            <w:tcW w:w="101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2022 Agrify Corporation Omnibus Equity Incentive Plan, as amended (incorporated by reference to Appendix A to the Registrant’s</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Definitive Proxy Statement on Schedule 14A filed with the Securities and Exchange Commission on July 22, 2024)</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Form of Incentive Stock Option Agreement (incorporated by reference to Exhibit 4.6 to the Registrant’s Registration Statement on Form S-</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8 filed with the Securities and Exchange Commission on July 1,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Form of Non-Qualified Stock Option Agreement (incorporated by reference to Exhibit 4.7 to the Registrant’s Registration Statement on</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Form S-8 filed with the Securities and Exchange Commission on July 1,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5"/>
                <w:szCs w:val="15"/>
                <w:color w:val="auto"/>
              </w:rPr>
            </w:pPr>
          </w:p>
        </w:tc>
        <w:tc>
          <w:tcPr>
            <w:tcW w:w="101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Form of Restricted Stock Unit Agreement for Employees (incorporated by reference to Exhibit 4.8 to the Registrant’s Registration</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Statement on Form S-8 filed with the Securities and Exchange Commission on July 1, 2022)</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5"/>
                <w:szCs w:val="15"/>
                <w:color w:val="auto"/>
              </w:rPr>
            </w:pPr>
          </w:p>
        </w:tc>
        <w:tc>
          <w:tcPr>
            <w:tcW w:w="101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Form of Restricted Stock Unit Agreement for Directors (incorporated by reference to Exhibit 4.9 to the Registrant’s Registration Statement</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on Form S-8 filed with the Securities and Exchange Commission on July 1, 2022)</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Fennemore Craig, P.C.</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Marcum LLP</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Fennemore Craig, P.C. (contained in Exhibit 5.1)</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on the signature page)</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5"/>
                <w:szCs w:val="15"/>
                <w:color w:val="auto"/>
              </w:rPr>
            </w:pPr>
          </w:p>
        </w:tc>
        <w:tc>
          <w:tcPr>
            <w:tcW w:w="101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Calculation of Filing Fees Table</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Chicago, State of Illinois, on November 25,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Benjamin Kovler</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Interim 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each of Benjamin Kovler, as his or her true and lawful attorney-in-fact and agent, with full power of substitution and resubstitution, for him or her and in his or her name, place and stead, in any and all capacities, to sign any and all amendments to this Registration Statement on Form S-8,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528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Kovler</w:t>
            </w: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Interim Chief Executive Officer</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25, 2024</w:t>
            </w: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Benjamin Kovler</w:t>
            </w:r>
          </w:p>
        </w:tc>
        <w:tc>
          <w:tcPr>
            <w:tcW w:w="120" w:type="dxa"/>
            <w:vAlign w:val="bottom"/>
          </w:tcPr>
          <w:p>
            <w:pPr>
              <w:spacing w:after="0"/>
              <w:rPr>
                <w:sz w:val="17"/>
                <w:szCs w:val="17"/>
                <w:color w:val="auto"/>
              </w:rPr>
            </w:pPr>
          </w:p>
        </w:tc>
        <w:tc>
          <w:tcPr>
            <w:tcW w:w="5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(Principal Executive Officer and</w:t>
            </w: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34"/>
        </w:trPr>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9"/>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Max Holtzman</w:t>
            </w: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25, 2024</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Max Holtzman</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Mahoney</w:t>
            </w: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25, 2024</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Armon Vakili</w:t>
            </w: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25, 2024</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Armon Vakili</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Drexler</w:t>
            </w: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25, 2024</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Richard Drexler</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Krishnan Varier</w:t>
            </w: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25, 2024</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637"/>
        </w:trPr>
        <w:tc>
          <w:tcPr>
            <w:tcW w:w="3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II-3</w:t>
            </w: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9275 W. Russell Road, Suite 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-119380</wp:posOffset>
            </wp:positionV>
            <wp:extent cx="8255" cy="548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a:extLst>
                        <a:ext uri="{28A0092B-C50C-407E-A947-70E740481C1C}"/>
                      </a:extLst>
                    </a:blip>
                    <a:srcRect/>
                    <a:stretch>
                      <a:fillRect/>
                    </a:stretch>
                  </pic:blipFill>
                  <pic:spPr bwMode="auto">
                    <a:xfrm>
                      <a:off x="0" y="0"/>
                      <a:ext cx="8255"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1071245" cy="316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0">
                      <a:extLst>
                        <a:ext uri="{28A0092B-C50C-407E-A947-70E740481C1C}"/>
                      </a:extLst>
                    </a:blip>
                    <a:srcRect/>
                    <a:stretch>
                      <a:fillRect/>
                    </a:stretch>
                  </pic:blipFill>
                  <pic:spPr bwMode="auto">
                    <a:xfrm>
                      <a:off x="0" y="0"/>
                      <a:ext cx="1071245" cy="316865"/>
                    </a:xfrm>
                    <a:prstGeom prst="rect">
                      <a:avLst/>
                    </a:prstGeom>
                    <a:noFill/>
                  </pic:spPr>
                </pic:pic>
              </a:graphicData>
            </a:graphic>
          </wp:anchor>
        </w:drawing>
      </w:r>
    </w:p>
    <w:p>
      <w:pPr>
        <w:spacing w:after="0" w:line="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Las Vegas, Nevada 89148</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PH (702) 692-8026 | FX (702) 692-8075</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fennemorelaw.com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25,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2468 Industrial Row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Troy, Michigan 48084</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 Agrify Corporation/Registration Statement on Form S-8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acted as special Nevada counsel to Agrify Corporation, a Nevada corporation (the “Company”), in connection with the registration by the Company of 183,332 shares (the “Shares”) of its common stock, $0.001 par value (the “Common Stock”) that have or may be issued pursuant to the Company’s 2022 Omnibus Equity Incentive Plan (the “Plan”) on Form S-8 (the “Registration Statement”) under the Securities Act of 1933, as amended (“Securities Act”), as filed with the Securities and Exchange Commission (“Commission”).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these opinions, we have examined originals or copies of:</w:t>
      </w:r>
    </w:p>
    <w:p>
      <w:pPr>
        <w:spacing w:after="0" w:line="225" w:lineRule="exact"/>
        <w:rPr>
          <w:sz w:val="20"/>
          <w:szCs w:val="20"/>
          <w:color w:val="auto"/>
        </w:rPr>
      </w:pPr>
    </w:p>
    <w:p>
      <w:pPr>
        <w:ind w:left="940" w:hanging="284"/>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actions of the Board of Directors and stockholders of the Company relating to the adoption and approval of the Plan and such other matters as relevant.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obtained from officers and agents of the Company and from public officials, and have relied upon, such certificates, representations, and assurances as we have deemed necessary and appropriate for purposes of rendering this opinion letter. We have also examined such corporate charter documents, records, certificates, and instruments (collectively with the documents identified in (a) through (c) above, the “Documents”) as we deem necessary or advisable to render the opinions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67691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76910" cy="128905"/>
                    </a:xfrm>
                    <a:prstGeom prst="rect">
                      <a:avLst/>
                    </a:prstGeom>
                    <a:noFill/>
                  </pic:spPr>
                </pic:pic>
              </a:graphicData>
            </a:graphic>
          </wp:anchor>
        </w:drawing>
        <w:t>Agrify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our examination we have assumed:</w:t>
      </w:r>
    </w:p>
    <w:p>
      <w:pPr>
        <w:spacing w:after="0" w:line="225" w:lineRule="exact"/>
        <w:rPr>
          <w:sz w:val="20"/>
          <w:szCs w:val="20"/>
          <w:color w:val="auto"/>
        </w:rPr>
      </w:pPr>
    </w:p>
    <w:p>
      <w:pPr>
        <w:ind w:left="900" w:hanging="244"/>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capacity and competency of all natural persons executing the Documents;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on the Documents;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authenticity of all Documents submitted to us as originals, and the conformity to original documents of all Documents submitted to us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copies;</w:t>
      </w:r>
    </w:p>
    <w:p>
      <w:pPr>
        <w:spacing w:after="0" w:line="207" w:lineRule="exact"/>
        <w:rPr>
          <w:sz w:val="20"/>
          <w:szCs w:val="20"/>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parties to such Documents, other than the Company, had the power, corporate or other, to enter into and perform all obligations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w:t>
      </w:r>
    </w:p>
    <w:p>
      <w:pPr>
        <w:spacing w:after="0" w:line="206"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Documents are enforceable in accordance with their terms with respect to all parties thereto;</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the time of issuance of any Shares, the Company validly exists and is duly qualified and in good standing under the laws of Nevada;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the Company, the due authorization by all requisite action, corporate or other, of the execution and delivery by all parties of the Documents.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relied upon the accuracy and completeness of the information, factual matters, representations, and warranties contained in such documents.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rendering the opinions set forth below, we have also assumed that:</w:t>
      </w:r>
    </w:p>
    <w:p>
      <w:pPr>
        <w:spacing w:after="0" w:line="225" w:lineRule="exact"/>
        <w:rPr>
          <w:sz w:val="20"/>
          <w:szCs w:val="20"/>
          <w:color w:val="auto"/>
        </w:rPr>
      </w:pPr>
    </w:p>
    <w:p>
      <w:pPr>
        <w:ind w:left="940" w:hanging="28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time of issuance and delivery, the Shares will be registered by the transfer agent and registrar of such Shares;</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keep reserved a sufficient number of shares of its Common Stock to satisfy its obligations for issuances of Shares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7" w:lineRule="exact"/>
        <w:rPr>
          <w:sz w:val="20"/>
          <w:szCs w:val="20"/>
          <w:color w:val="auto"/>
        </w:rPr>
      </w:pPr>
    </w:p>
    <w:p>
      <w:pPr>
        <w:ind w:firstLine="656"/>
        <w:spacing w:after="0" w:line="282" w:lineRule="auto"/>
        <w:tabs>
          <w:tab w:leader="none" w:pos="9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issuance of any of the Shares, the total number of shares of the Company’s Common Stock issued and outstanding will not exceed the total number of shares of Common Stock that the Company is then authorized to issue under its charter documents;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6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 grant, stock option, or other security exercisable or exchangeable for a Share under the Plan has been, or will be, duly authorized, validly granted, and duly exercised or exchanged in accordance with the terms of the Plan, at the time of any grant of a Share or exercise of such stock option or other security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67691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76910" cy="128905"/>
                    </a:xfrm>
                    <a:prstGeom prst="rect">
                      <a:avLst/>
                    </a:prstGeom>
                    <a:noFill/>
                  </pic:spPr>
                </pic:pic>
              </a:graphicData>
            </a:graphic>
          </wp:anchor>
        </w:drawing>
        <w:t>Agrify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Based on the foregoing and in reliance thereon, and subject to the assumptions, limitations and qualifications set forth herein, we are of the opinion that:</w:t>
      </w:r>
    </w:p>
    <w:p>
      <w:pPr>
        <w:spacing w:after="0" w:line="162" w:lineRule="exact"/>
        <w:rPr>
          <w:sz w:val="20"/>
          <w:szCs w:val="20"/>
          <w:color w:val="auto"/>
        </w:rPr>
      </w:pPr>
    </w:p>
    <w:p>
      <w:pPr>
        <w:ind w:left="940" w:hanging="284"/>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that have been or may be issued under the Plan are duly authorized shares of the Company’s Common Stock;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and when issued against receipt of the consideration therefor in accordance with the provisions of the Plan and in accordance with the Registration Statement, the Shares will be validly issued, fully paid, and nonassessable.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opinions expressed herein are limited to the matters specifically set forth herein and no other opinion shall be inferred beyond the matters expressly stated. We disclaim any undertaking to advise you of any subsequent changes in the facts stated or assumed herein or any changes in applicable law that may come to our attention after the date the Registration Statement is declared effective.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certain members of this firm are admitted to practice in certain jurisdictions other than Nevada, in rendering the foregoing opinions we have not examined the laws of any jurisdiction other than Nevada. Accordingly, the opinions we express herein are limited to matters involving the laws of the State of Nevada (other than the securities laws and regulations of the State of Nevada, as to which we express no opinion). We express no opinion regarding the effect of the laws of any other jurisdiction or state, including any securities laws related to the issuance and sale of the Shares.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we consent to the reference of our name under the caption “Legal Matters” in the Prospectus forming a part of the Registration Statement. In giving the foregoing consent, we do not hereby admit that we are in the category of persons whose consent is required under Section 7 of the Securities Act or the rules and regulations of the Commission thereunder.</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Fennemore Craig,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FENNEMORE CRAIG,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tmor/cdol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of Agrify Corporation and Subsidiaries on Form S-8 of our report dated April 15, 2024, which included an explanatory paragraph as to Agrify Corporation and Subsidiaries ability to continue as a going concern, with respect to our audits of the consolidated financial statements of Agrify Corporation and Subsidiaries as of December 31, 2023 and 2022 and for the two years in the period ended December 31, 2023, which is part of this Registration Statement. We were dismissed as auditors on June 20, 2024 and, accordingly, we have not performed any audit or review procedures with respect to any financial statements incorporated by reference in the Registration Statement for the periods after the date of June 20,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25, 2024</w:t>
      </w:r>
    </w:p>
    <w:p>
      <w:pPr>
        <w:sectPr>
          <w:pgSz w:w="11900" w:h="16838" w:orient="portrait"/>
          <w:cols w:equalWidth="0" w:num="1">
            <w:col w:w="11240"/>
          </w:cols>
          <w:pgMar w:left="320" w:top="11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Exhibit 107</w:t>
            </w: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9"/>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Calculation of Filing Fee Tables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 S-8</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(Form Type)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9"/>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20" w:type="dxa"/>
            <w:vAlign w:val="bottom"/>
            <w:gridSpan w:val="1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80" w:type="dxa"/>
            <w:vAlign w:val="bottom"/>
            <w:gridSpan w:val="16"/>
          </w:tcPr>
          <w:p>
            <w:pPr>
              <w:jc w:val="center"/>
              <w:ind w:left="790"/>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9"/>
          </w:tcPr>
          <w:p>
            <w:pPr>
              <w:jc w:val="center"/>
              <w:ind w:right="260"/>
              <w:spacing w:after="0"/>
              <w:rPr>
                <w:sz w:val="20"/>
                <w:szCs w:val="20"/>
                <w:color w:val="auto"/>
              </w:rPr>
            </w:pPr>
            <w:r>
              <w:rPr>
                <w:rFonts w:ascii="Times New Roman" w:cs="Times New Roman" w:eastAsia="Times New Roman" w:hAnsi="Times New Roman"/>
                <w:sz w:val="18"/>
                <w:szCs w:val="18"/>
                <w:color w:val="auto"/>
                <w:w w:val="99"/>
              </w:rPr>
              <w:t>Table 1: Newly Registered Securities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Proposed</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10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300" w:type="dxa"/>
            <w:vAlign w:val="bottom"/>
          </w:tcPr>
          <w:p>
            <w:pPr>
              <w:spacing w:after="0"/>
              <w:rPr>
                <w:sz w:val="19"/>
                <w:szCs w:val="19"/>
                <w:color w:val="auto"/>
              </w:rPr>
            </w:pPr>
          </w:p>
        </w:tc>
        <w:tc>
          <w:tcPr>
            <w:tcW w:w="7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Fee</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Pr>
          <w:p>
            <w:pPr>
              <w:spacing w:after="0"/>
              <w:rPr>
                <w:sz w:val="19"/>
                <w:szCs w:val="19"/>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9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Price Per</w:t>
            </w: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4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20" w:type="dxa"/>
            <w:vAlign w:val="bottom"/>
          </w:tcPr>
          <w:p>
            <w:pPr>
              <w:spacing w:after="0"/>
              <w:rPr>
                <w:sz w:val="18"/>
                <w:szCs w:val="18"/>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60" w:type="dxa"/>
            <w:vAlign w:val="bottom"/>
          </w:tcPr>
          <w:p>
            <w:pPr>
              <w:spacing w:after="0"/>
              <w:rPr>
                <w:sz w:val="23"/>
                <w:szCs w:val="2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60" w:type="dxa"/>
            <w:vAlign w:val="bottom"/>
          </w:tcPr>
          <w:p>
            <w:pPr>
              <w:spacing w:after="0"/>
              <w:rPr>
                <w:sz w:val="23"/>
                <w:szCs w:val="23"/>
                <w:color w:val="auto"/>
              </w:rPr>
            </w:pPr>
          </w:p>
        </w:tc>
        <w:tc>
          <w:tcPr>
            <w:tcW w:w="1060" w:type="dxa"/>
            <w:vAlign w:val="bottom"/>
            <w:gridSpan w:val="2"/>
          </w:tcPr>
          <w:p>
            <w:pPr>
              <w:jc w:val="right"/>
              <w:ind w:right="80"/>
              <w:spacing w:after="0" w:line="270" w:lineRule="exact"/>
              <w:rPr>
                <w:sz w:val="20"/>
                <w:szCs w:val="20"/>
                <w:color w:val="auto"/>
              </w:rPr>
            </w:pPr>
            <w:r>
              <w:rPr>
                <w:rFonts w:ascii="Times New Roman" w:cs="Times New Roman" w:eastAsia="Times New Roman" w:hAnsi="Times New Roman"/>
                <w:sz w:val="18"/>
                <w:szCs w:val="18"/>
                <w:b w:val="1"/>
                <w:bCs w:val="1"/>
                <w:color w:val="auto"/>
                <w:w w:val="91"/>
              </w:rPr>
              <w:t>Registered</w:t>
            </w:r>
            <w:r>
              <w:rPr>
                <w:rFonts w:ascii="Times New Roman" w:cs="Times New Roman" w:eastAsia="Times New Roman" w:hAnsi="Times New Roman"/>
                <w:sz w:val="29"/>
                <w:szCs w:val="29"/>
                <w:b w:val="1"/>
                <w:bCs w:val="1"/>
                <w:color w:val="auto"/>
                <w:w w:val="91"/>
                <w:vertAlign w:val="superscript"/>
              </w:rPr>
              <w:t>(1)</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3"/>
          </w:tcPr>
          <w:p>
            <w:pPr>
              <w:jc w:val="center"/>
              <w:ind w:right="220"/>
              <w:spacing w:after="0" w:line="270" w:lineRule="exact"/>
              <w:rPr>
                <w:sz w:val="20"/>
                <w:szCs w:val="20"/>
                <w:color w:val="auto"/>
              </w:rPr>
            </w:pPr>
            <w:r>
              <w:rPr>
                <w:rFonts w:ascii="Times New Roman" w:cs="Times New Roman" w:eastAsia="Times New Roman" w:hAnsi="Times New Roman"/>
                <w:sz w:val="18"/>
                <w:szCs w:val="18"/>
                <w:b w:val="1"/>
                <w:bCs w:val="1"/>
                <w:color w:val="auto"/>
                <w:w w:val="88"/>
              </w:rPr>
              <w:t>Unit</w:t>
            </w:r>
            <w:r>
              <w:rPr>
                <w:rFonts w:ascii="Times New Roman" w:cs="Times New Roman" w:eastAsia="Times New Roman" w:hAnsi="Times New Roman"/>
                <w:sz w:val="29"/>
                <w:szCs w:val="29"/>
                <w:b w:val="1"/>
                <w:bCs w:val="1"/>
                <w:color w:val="auto"/>
                <w:w w:val="88"/>
                <w:vertAlign w:val="superscript"/>
              </w:rPr>
              <w:t>(2)</w:t>
            </w:r>
          </w:p>
        </w:tc>
        <w:tc>
          <w:tcPr>
            <w:tcW w:w="100" w:type="dxa"/>
            <w:vAlign w:val="bottom"/>
          </w:tcPr>
          <w:p>
            <w:pPr>
              <w:spacing w:after="0"/>
              <w:rPr>
                <w:sz w:val="23"/>
                <w:szCs w:val="23"/>
                <w:color w:val="auto"/>
              </w:rPr>
            </w:pPr>
          </w:p>
        </w:tc>
        <w:tc>
          <w:tcPr>
            <w:tcW w:w="1000" w:type="dxa"/>
            <w:vAlign w:val="bottom"/>
            <w:gridSpan w:val="2"/>
          </w:tcPr>
          <w:p>
            <w:pPr>
              <w:jc w:val="center"/>
              <w:ind w:right="180"/>
              <w:spacing w:after="0" w:line="270" w:lineRule="exact"/>
              <w:rPr>
                <w:sz w:val="20"/>
                <w:szCs w:val="20"/>
                <w:color w:val="auto"/>
              </w:rPr>
            </w:pPr>
            <w:r>
              <w:rPr>
                <w:rFonts w:ascii="Times New Roman" w:cs="Times New Roman" w:eastAsia="Times New Roman" w:hAnsi="Times New Roman"/>
                <w:sz w:val="18"/>
                <w:szCs w:val="18"/>
                <w:b w:val="1"/>
                <w:bCs w:val="1"/>
                <w:color w:val="auto"/>
                <w:w w:val="92"/>
              </w:rPr>
              <w:t>Price</w:t>
            </w:r>
            <w:r>
              <w:rPr>
                <w:rFonts w:ascii="Times New Roman" w:cs="Times New Roman" w:eastAsia="Times New Roman" w:hAnsi="Times New Roman"/>
                <w:sz w:val="29"/>
                <w:szCs w:val="29"/>
                <w:b w:val="1"/>
                <w:bCs w:val="1"/>
                <w:color w:val="auto"/>
                <w:w w:val="92"/>
                <w:vertAlign w:val="superscript"/>
              </w:rPr>
              <w:t>(1)</w:t>
            </w:r>
          </w:p>
        </w:tc>
        <w:tc>
          <w:tcPr>
            <w:tcW w:w="40" w:type="dxa"/>
            <w:vAlign w:val="bottom"/>
          </w:tcPr>
          <w:p>
            <w:pPr>
              <w:spacing w:after="0"/>
              <w:rPr>
                <w:sz w:val="23"/>
                <w:szCs w:val="23"/>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3"/>
          </w:tcPr>
          <w:p>
            <w:pPr>
              <w:jc w:val="center"/>
              <w:ind w:right="160"/>
              <w:spacing w:after="0" w:line="270" w:lineRule="exact"/>
              <w:rPr>
                <w:sz w:val="20"/>
                <w:szCs w:val="20"/>
                <w:color w:val="auto"/>
              </w:rPr>
            </w:pPr>
            <w:r>
              <w:rPr>
                <w:rFonts w:ascii="Times New Roman" w:cs="Times New Roman" w:eastAsia="Times New Roman" w:hAnsi="Times New Roman"/>
                <w:sz w:val="18"/>
                <w:szCs w:val="18"/>
                <w:b w:val="1"/>
                <w:bCs w:val="1"/>
                <w:color w:val="auto"/>
                <w:w w:val="88"/>
              </w:rPr>
              <w:t>Fee</w:t>
            </w:r>
            <w:r>
              <w:rPr>
                <w:rFonts w:ascii="Times New Roman" w:cs="Times New Roman" w:eastAsia="Times New Roman" w:hAnsi="Times New Roman"/>
                <w:sz w:val="29"/>
                <w:szCs w:val="29"/>
                <w:b w:val="1"/>
                <w:bCs w:val="1"/>
                <w:color w:val="auto"/>
                <w:w w:val="88"/>
                <w:vertAlign w:val="superscript"/>
              </w:rPr>
              <w:t>(1)</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gridSpan w:val="2"/>
          </w:tcPr>
          <w:p>
            <w:pPr>
              <w:spacing w:after="0"/>
              <w:rPr>
                <w:sz w:val="2"/>
                <w:szCs w:val="2"/>
                <w:color w:val="auto"/>
              </w:rPr>
            </w:pPr>
          </w:p>
        </w:tc>
        <w:tc>
          <w:tcPr>
            <w:tcW w:w="800" w:type="dxa"/>
            <w:vAlign w:val="bottom"/>
            <w:gridSpan w:val="2"/>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vMerge w:val="restart"/>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8"/>
          </w:tcPr>
          <w:p>
            <w:pPr>
              <w:ind w:left="240"/>
              <w:spacing w:after="0" w:line="202" w:lineRule="exact"/>
              <w:rPr>
                <w:sz w:val="20"/>
                <w:szCs w:val="20"/>
                <w:color w:val="auto"/>
              </w:rPr>
            </w:pPr>
            <w:r>
              <w:rPr>
                <w:rFonts w:ascii="Times New Roman" w:cs="Times New Roman" w:eastAsia="Times New Roman" w:hAnsi="Times New Roman"/>
                <w:sz w:val="18"/>
                <w:szCs w:val="18"/>
                <w:b w:val="1"/>
                <w:bCs w:val="1"/>
                <w:color w:val="auto"/>
              </w:rPr>
              <w:t>Newly Registered Securities</w:t>
            </w:r>
          </w:p>
        </w:tc>
        <w:tc>
          <w:tcPr>
            <w:tcW w:w="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Fees to Be</w:t>
            </w:r>
          </w:p>
        </w:tc>
        <w:tc>
          <w:tcPr>
            <w:tcW w:w="104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Equity</w:t>
            </w:r>
          </w:p>
        </w:tc>
        <w:tc>
          <w:tcPr>
            <w:tcW w:w="1940" w:type="dxa"/>
            <w:vAlign w:val="bottom"/>
            <w:gridSpan w:val="3"/>
            <w:shd w:val="clear" w:color="auto" w:fill="CCEEFF"/>
          </w:tcPr>
          <w:p>
            <w:pPr>
              <w:jc w:val="center"/>
              <w:ind w:right="160"/>
              <w:spacing w:after="0" w:line="198" w:lineRule="exact"/>
              <w:rPr>
                <w:sz w:val="20"/>
                <w:szCs w:val="20"/>
                <w:color w:val="auto"/>
              </w:rPr>
            </w:pPr>
            <w:r>
              <w:rPr>
                <w:rFonts w:ascii="Times New Roman" w:cs="Times New Roman" w:eastAsia="Times New Roman" w:hAnsi="Times New Roman"/>
                <w:sz w:val="18"/>
                <w:szCs w:val="18"/>
                <w:color w:val="auto"/>
              </w:rPr>
              <w:t>Common stock, par</w:t>
            </w:r>
          </w:p>
        </w:tc>
        <w:tc>
          <w:tcPr>
            <w:tcW w:w="1080" w:type="dxa"/>
            <w:vAlign w:val="bottom"/>
            <w:gridSpan w:val="3"/>
            <w:shd w:val="clear" w:color="auto" w:fill="CCEEFF"/>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rPr>
              <w:t>Rule 457(c)</w:t>
            </w: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value $0.001 per share,</w:t>
            </w:r>
          </w:p>
        </w:tc>
        <w:tc>
          <w:tcPr>
            <w:tcW w:w="108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and Rule</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that may be issued</w:t>
            </w:r>
          </w:p>
        </w:tc>
        <w:tc>
          <w:tcPr>
            <w:tcW w:w="108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457(h)</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under the Agrify 2022</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Omnibus Equity</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9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Incentive Plan</w:t>
            </w: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183,332</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3,680,389.9</w:t>
            </w:r>
          </w:p>
        </w:tc>
        <w:tc>
          <w:tcPr>
            <w:tcW w:w="188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$153.10 per $1,000,000</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563.47</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20" w:type="dxa"/>
            <w:vAlign w:val="bottom"/>
            <w:gridSpan w:val="6"/>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3,680,389.9</w:t>
            </w:r>
          </w:p>
        </w:tc>
        <w:tc>
          <w:tcPr>
            <w:tcW w:w="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563.47</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0" w:type="dxa"/>
            <w:vAlign w:val="bottom"/>
            <w:tcBorders>
              <w:top w:val="single" w:sz="8" w:color="CCEEFF"/>
              <w:bottom w:val="single" w:sz="8" w:color="CCEEFF"/>
            </w:tcBorders>
          </w:tcPr>
          <w:p>
            <w:pPr>
              <w:spacing w:after="0"/>
              <w:rPr>
                <w:sz w:val="18"/>
                <w:szCs w:val="18"/>
                <w:color w:val="auto"/>
              </w:rPr>
            </w:pPr>
          </w:p>
        </w:tc>
        <w:tc>
          <w:tcPr>
            <w:tcW w:w="98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3020" w:type="dxa"/>
            <w:vAlign w:val="bottom"/>
            <w:tcBorders>
              <w:top w:val="single" w:sz="8" w:color="CCEEFF"/>
              <w:bottom w:val="single" w:sz="8" w:color="CCEEFF"/>
            </w:tcBorders>
            <w:gridSpan w:val="6"/>
          </w:tcPr>
          <w:p>
            <w:pPr>
              <w:jc w:val="center"/>
              <w:ind w:right="60"/>
              <w:spacing w:after="0" w:line="203" w:lineRule="exact"/>
              <w:rPr>
                <w:sz w:val="20"/>
                <w:szCs w:val="20"/>
                <w:color w:val="auto"/>
              </w:rPr>
            </w:pPr>
            <w:r>
              <w:rPr>
                <w:rFonts w:ascii="Times New Roman" w:cs="Times New Roman" w:eastAsia="Times New Roman" w:hAnsi="Times New Roman"/>
                <w:sz w:val="18"/>
                <w:szCs w:val="18"/>
                <w:b w:val="1"/>
                <w:bCs w:val="1"/>
                <w:color w:val="auto"/>
                <w:w w:val="99"/>
              </w:rPr>
              <w:t>Total Fees Previously Paid</w:t>
            </w:r>
          </w:p>
        </w:tc>
        <w:tc>
          <w:tcPr>
            <w:tcW w:w="98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7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94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17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gridSpan w:val="6"/>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Total Fee Offsets</w:t>
            </w: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40" w:type="dxa"/>
            <w:vAlign w:val="bottom"/>
            <w:gridSpan w:val="3"/>
          </w:tcPr>
          <w:p>
            <w:pPr>
              <w:jc w:val="center"/>
              <w:ind w:left="910"/>
              <w:spacing w:after="0" w:line="203" w:lineRule="exact"/>
              <w:rPr>
                <w:sz w:val="20"/>
                <w:szCs w:val="20"/>
                <w:color w:val="auto"/>
              </w:rPr>
            </w:pPr>
            <w:r>
              <w:rPr>
                <w:rFonts w:ascii="Times New Roman" w:cs="Times New Roman" w:eastAsia="Times New Roman" w:hAnsi="Times New Roman"/>
                <w:sz w:val="18"/>
                <w:szCs w:val="18"/>
                <w:b w:val="1"/>
                <w:bCs w:val="1"/>
                <w:color w:val="auto"/>
                <w:w w:val="99"/>
              </w:rPr>
              <w:t>Net Fee Due</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563.47</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shares of common stock, par value $0.001 per share of the Registrant (the “Common Stock”) that may become issuable under the Agrify Corporation 2022 Omnibus Equity Incentive Plan, as amended (the “2022 Plan”) as a result of any stock dividend, stock split, recapitalization or other similar transaction which results in an increase in the number of shares of the Registrant’s outstanding Common Stock.</w:t>
      </w:r>
    </w:p>
    <w:p>
      <w:pPr>
        <w:spacing w:after="0" w:line="20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Rules 457(c) and 457(h) under the Securities Act and based upon the average of the high and low prices of Common Stock, as reported on The Nasdaq Capital Market on November 19, 2024, which date is within five business days prior to the filing of this Registration Statement, which was $20.075 per share.</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4"/>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38" Type="http://schemas.openxmlformats.org/officeDocument/2006/relationships/image" Target="media/image7.png"/><Relationship Id="rId47" Type="http://schemas.openxmlformats.org/officeDocument/2006/relationships/image" Target="media/image8.png"/><Relationship Id="rId48" Type="http://schemas.openxmlformats.org/officeDocument/2006/relationships/image" Target="media/image9.png"/><Relationship Id="rId49" Type="http://schemas.openxmlformats.org/officeDocument/2006/relationships/image" Target="media/image10.png"/><Relationship Id="rId50" Type="http://schemas.openxmlformats.org/officeDocument/2006/relationships/image" Target="media/image11.jpeg"/><Relationship Id="rId51" Type="http://schemas.openxmlformats.org/officeDocument/2006/relationships/image" Target="media/image12.png"/><Relationship Id="rId52" Type="http://schemas.openxmlformats.org/officeDocument/2006/relationships/image" Target="media/image13.jpeg"/><Relationship Id="rId53" Type="http://schemas.openxmlformats.org/officeDocument/2006/relationships/image" Target="media/image14.png"/><Relationship Id="rId54" Type="http://schemas.openxmlformats.org/officeDocument/2006/relationships/image" Target="media/image15.jpeg"/><Relationship Id="rId55" Type="http://schemas.openxmlformats.org/officeDocument/2006/relationships/image" Target="media/image16.png"/><Relationship Id="rId56" Type="http://schemas.openxmlformats.org/officeDocument/2006/relationships/image" Target="media/image17.png"/><Relationship Id="rId13" Type="http://schemas.openxmlformats.org/officeDocument/2006/relationships/hyperlink" Target="http://www.sec.gov/Archives/edgar/data/1800637/000121390022036363/ea162280-s8_agrifycorp.htm" TargetMode="External"/><Relationship Id="rId15" Type="http://schemas.openxmlformats.org/officeDocument/2006/relationships/hyperlink" Target="http://www.sec.gov/Archives/edgar/data/1800637/000121390024033048/ea0203682-10k_agrify.htm" TargetMode="External"/><Relationship Id="rId16" Type="http://schemas.openxmlformats.org/officeDocument/2006/relationships/hyperlink" Target="http://www.sec.gov/Archives/edgar/data/1800637/000121390024037183/ea0204717-10ka1_agrify.htm" TargetMode="External"/><Relationship Id="rId17" Type="http://schemas.openxmlformats.org/officeDocument/2006/relationships/hyperlink" Target="http://www.sec.gov/Archives/edgar/data/1800637/000121390024045393/ea0206077-10q_agrify.htm" TargetMode="External"/><Relationship Id="rId18" Type="http://schemas.openxmlformats.org/officeDocument/2006/relationships/hyperlink" Target="http://www.sec.gov/Archives/edgar/data/1800637/000121390024069066/ea0211276-10qa1_agrify.htm" TargetMode="External"/><Relationship Id="rId19" Type="http://schemas.openxmlformats.org/officeDocument/2006/relationships/hyperlink" Target="http://www.sec.gov/Archives/edgar/data/1800637/000121390024069081/ea0210884-10q_agrify.htm" TargetMode="External"/><Relationship Id="rId20" Type="http://schemas.openxmlformats.org/officeDocument/2006/relationships/hyperlink" Target="http://www.sec.gov/Archives/edgar/data/1800637/000121390024098443/ea0220741-10q_agrify.htm" TargetMode="External"/><Relationship Id="rId21" Type="http://schemas.openxmlformats.org/officeDocument/2006/relationships/hyperlink" Target="http://www.sec.gov/Archives/edgar/data/1800637/000143774924000875/agfy20240108_8k.htm" TargetMode="External"/><Relationship Id="rId22" Type="http://schemas.openxmlformats.org/officeDocument/2006/relationships/hyperlink" Target="http://www.sec.gov/Archives/edgar/data/1800637/000121390024006275/ea192155-8k_agrify.htm" TargetMode="External"/><Relationship Id="rId23" Type="http://schemas.openxmlformats.org/officeDocument/2006/relationships/hyperlink" Target="http://www.sec.gov/Archives/edgar/data/1800637/000121390024008117/ea192524-8k_agrifycorp.htm" TargetMode="External"/><Relationship Id="rId24" Type="http://schemas.openxmlformats.org/officeDocument/2006/relationships/hyperlink" Target="http://www.sec.gov/Archives/edgar/data/1800637/000121390024017786/ea0200855-8k_agrifycorp.htm" TargetMode="External"/><Relationship Id="rId25" Type="http://schemas.openxmlformats.org/officeDocument/2006/relationships/hyperlink" Target="http://www.sec.gov/Archives/edgar/data/1800637/000121390024020454/ea0201307-8k_agrifycorp.htm" TargetMode="External"/><Relationship Id="rId26" Type="http://schemas.openxmlformats.org/officeDocument/2006/relationships/hyperlink" Target="http://www.sec.gov/Archives/edgar/data/1800637/000121390024034983/ea0204304-8k_agrifycorp.htm" TargetMode="External"/><Relationship Id="rId27" Type="http://schemas.openxmlformats.org/officeDocument/2006/relationships/hyperlink" Target="http://www.sec.gov/Archives/edgar/data/1800637/000121390024043986/ea0206334-8k_agrify.htm" TargetMode="External"/><Relationship Id="rId28" Type="http://schemas.openxmlformats.org/officeDocument/2006/relationships/hyperlink" Target="http://www.sec.gov/Archives/edgar/data/1800637/000121390024044908/ea0206523-8k_agrify.htm" TargetMode="External"/><Relationship Id="rId29" Type="http://schemas.openxmlformats.org/officeDocument/2006/relationships/hyperlink" Target="http://www.sec.gov/Archives/edgar/data/1800637/000121390024068270/ea021128801-8k_agrify.htm" TargetMode="External"/><Relationship Id="rId30" Type="http://schemas.openxmlformats.org/officeDocument/2006/relationships/hyperlink" Target="http://www.sec.gov/Archives/edgar/data/1800637/000121390024085199/ea0216705-8k_agrify.htm" TargetMode="External"/><Relationship Id="rId31" Type="http://schemas.openxmlformats.org/officeDocument/2006/relationships/hyperlink" Target="http://www.sec.gov/Archives/edgar/data/1800637/000121390024089657/ea0218192-8k_agrify.htm" TargetMode="External"/><Relationship Id="rId32" Type="http://schemas.openxmlformats.org/officeDocument/2006/relationships/hyperlink" Target="http://www.sec.gov/Archives/edgar/data/1800637/000121390024094613/ea0220100-8k_agrify.htm" TargetMode="External"/><Relationship Id="rId33" Type="http://schemas.openxmlformats.org/officeDocument/2006/relationships/hyperlink" Target="http://www.sec.gov/Archives/edgar/data/1800637/000121390024100715/ea0222062-8k_agrify.htm" TargetMode="External"/><Relationship Id="rId34" Type="http://schemas.openxmlformats.org/officeDocument/2006/relationships/hyperlink" Target="http://www.sec.gov/Archives/edgar/data/1800637/000101376224000467/ea0209323-02.htm" TargetMode="External"/><Relationship Id="rId35" Type="http://schemas.openxmlformats.org/officeDocument/2006/relationships/hyperlink" Target="http://www.sec.gov/Archives/edgar/data/1800637/000121390024078980/ea0213661-02.htm" TargetMode="External"/><Relationship Id="rId36" Type="http://schemas.openxmlformats.org/officeDocument/2006/relationships/hyperlink" Target="http://www.sec.gov/Archives/edgar/data/1800637/000121390021019992/f10k2020ex4-5_agrifycorp.htm" TargetMode="External"/><Relationship Id="rId37" Type="http://schemas.openxmlformats.org/officeDocument/2006/relationships/hyperlink" Target="http://www.sec.gov/Archives/edgar/data/1800637/000121390021019992/f10k2020_agrifycorporation.htm" TargetMode="External"/><Relationship Id="rId39" Type="http://schemas.openxmlformats.org/officeDocument/2006/relationships/hyperlink" Target="http://www.sec.gov/Archives/edgar/data/1800637/000121390021001799/fs12020a1ex3-1_agrify.htm" TargetMode="External"/><Relationship Id="rId40" Type="http://schemas.openxmlformats.org/officeDocument/2006/relationships/hyperlink" Target="http://www.sec.gov/Archives/edgar/data/1800637/000121390021001799/fs12020a1ex3-2_agrify.htm" TargetMode="External"/><Relationship Id="rId41" Type="http://schemas.openxmlformats.org/officeDocument/2006/relationships/hyperlink" Target="http://www.sec.gov/Archives/edgar/data/1800637/000121390024067146/ea021098501ex3-1_agrify.htm" TargetMode="External"/><Relationship Id="rId42" Type="http://schemas.openxmlformats.org/officeDocument/2006/relationships/hyperlink" Target="http://www.sec.gov/Archives/edgar/data/1800637/000101376224000467/ea0209323-02.htm#T99019" TargetMode="External"/><Relationship Id="rId43" Type="http://schemas.openxmlformats.org/officeDocument/2006/relationships/hyperlink" Target="http://www.sec.gov/Archives/edgar/data/1800637/000121390022036363/ea162280ex4-6_agrifycorp.htm" TargetMode="External"/><Relationship Id="rId44" Type="http://schemas.openxmlformats.org/officeDocument/2006/relationships/hyperlink" Target="http://www.sec.gov/Archives/edgar/data/1800637/000121390022036363/ea162280ex4-7_agrifycorp.htm" TargetMode="External"/><Relationship Id="rId45" Type="http://schemas.openxmlformats.org/officeDocument/2006/relationships/hyperlink" Target="http://www.sec.gov/Archives/edgar/data/1800637/000121390022036363/ea162280ex4-8_agrifycorp.htm" TargetMode="External"/><Relationship Id="rId46" Type="http://schemas.openxmlformats.org/officeDocument/2006/relationships/hyperlink" Target="http://www.sec.gov/Archives/edgar/data/1800637/000121390022036363/ea162280ex4-9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2024-11-26T05:11:24Z</dcterms:created>
  <dcterms:modified xsi:type="dcterms:W3CDTF">2024-11-26T05:11:24Z</dcterms:modified>
</cp:coreProperties>
</file>