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$0.001 par value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00853E 305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Raymond Chang</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 Agrify Corporation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2468 Industrial Drive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Troy, MI 48084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(617) 896-5243</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August 30,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which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w:t>
      </w:r>
      <w:r>
        <w:rPr>
          <w:rFonts w:ascii="Times New Roman" w:cs="Times New Roman" w:eastAsia="Times New Roman" w:hAnsi="Times New Roman"/>
          <w:sz w:val="18"/>
          <w:szCs w:val="18"/>
          <w:i w:val="1"/>
          <w:iCs w:val="1"/>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5322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6532245"/>
                    </a:xfrm>
                    <a:prstGeom prst="rect">
                      <a:avLst/>
                    </a:prstGeom>
                    <a:noFill/>
                  </pic:spPr>
                </pic:pic>
              </a:graphicData>
            </a:graphic>
          </wp:anchor>
        </w:drawing>
      </w:r>
    </w:p>
    <w:p>
      <w:pPr>
        <w:spacing w:after="0" w:line="259" w:lineRule="exact"/>
        <w:rPr>
          <w:sz w:val="20"/>
          <w:szCs w:val="20"/>
          <w:color w:val="auto"/>
        </w:rPr>
      </w:pPr>
    </w:p>
    <w:p>
      <w:pPr>
        <w:ind w:left="920" w:right="8140" w:hanging="782"/>
        <w:spacing w:after="0" w:line="286" w:lineRule="auto"/>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Names of Reporting Persons </w:t>
      </w:r>
      <w:r>
        <w:rPr>
          <w:rFonts w:ascii="Times New Roman" w:cs="Times New Roman" w:eastAsia="Times New Roman" w:hAnsi="Times New Roman"/>
          <w:sz w:val="18"/>
          <w:szCs w:val="18"/>
          <w:color w:val="auto"/>
        </w:rPr>
        <w:t>I-Tseng Jenny Chan</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220" w:hanging="294"/>
        <w:spacing w:after="0" w:line="207" w:lineRule="exact"/>
        <w:tabs>
          <w:tab w:leader="none" w:pos="1220" w:val="left"/>
        </w:tabs>
        <w:numPr>
          <w:ilvl w:val="1"/>
          <w:numId w:val="2"/>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240" w:hanging="314"/>
        <w:spacing w:after="0" w:line="207" w:lineRule="exact"/>
        <w:tabs>
          <w:tab w:leader="none" w:pos="1240" w:val="left"/>
        </w:tabs>
        <w:numPr>
          <w:ilvl w:val="1"/>
          <w:numId w:val="2"/>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ind w:left="920" w:right="9060" w:hanging="782"/>
        <w:spacing w:after="0" w:line="286" w:lineRule="auto"/>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PF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2" w:lineRule="exact"/>
        <w:rPr>
          <w:rFonts w:ascii="Times New Roman" w:cs="Times New Roman" w:eastAsia="Times New Roman" w:hAnsi="Times New Roman"/>
          <w:sz w:val="17"/>
          <w:szCs w:val="17"/>
          <w:b w:val="1"/>
          <w:bCs w:val="1"/>
          <w:color w:val="auto"/>
        </w:rPr>
      </w:pPr>
    </w:p>
    <w:p>
      <w:pPr>
        <w:ind w:left="2600" w:right="7240" w:hanging="774"/>
        <w:spacing w:after="0" w:line="286" w:lineRule="auto"/>
        <w:tabs>
          <w:tab w:leader="none" w:pos="2600" w:val="left"/>
        </w:tabs>
        <w:numPr>
          <w:ilvl w:val="2"/>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0</w:t>
      </w:r>
    </w:p>
    <w:p>
      <w:pPr>
        <w:spacing w:after="0" w:line="209"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tcPr>
          <w:p>
            <w:pPr>
              <w:spacing w:after="0"/>
              <w:rPr>
                <w:sz w:val="21"/>
                <w:szCs w:val="21"/>
                <w:color w:val="auto"/>
              </w:rPr>
            </w:pPr>
          </w:p>
        </w:tc>
        <w:tc>
          <w:tcPr>
            <w:tcW w:w="8960" w:type="dxa"/>
            <w:vAlign w:val="bottom"/>
          </w:tcPr>
          <w:p>
            <w:pPr>
              <w:ind w:left="320"/>
              <w:spacing w:after="0" w:line="252" w:lineRule="exact"/>
              <w:rPr>
                <w:sz w:val="20"/>
                <w:szCs w:val="20"/>
                <w:color w:val="auto"/>
              </w:rPr>
            </w:pPr>
            <w:r>
              <w:rPr>
                <w:rFonts w:ascii="Times New Roman" w:cs="Times New Roman" w:eastAsia="Times New Roman" w:hAnsi="Times New Roman"/>
                <w:sz w:val="18"/>
                <w:szCs w:val="18"/>
                <w:color w:val="auto"/>
              </w:rPr>
              <w:t>13,333,859</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80" w:hanging="774"/>
        <w:spacing w:after="0" w:line="289" w:lineRule="auto"/>
        <w:tabs>
          <w:tab w:leader="none" w:pos="2600" w:val="left"/>
        </w:tabs>
        <w:numPr>
          <w:ilvl w:val="2"/>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13,333,859</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13,333,859</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49.99%</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w:t>
      </w:r>
    </w:p>
    <w:p>
      <w:pPr>
        <w:spacing w:after="0" w:line="339" w:lineRule="exact"/>
        <w:rPr>
          <w:rFonts w:ascii="Times New Roman" w:cs="Times New Roman" w:eastAsia="Times New Roman" w:hAnsi="Times New Roman"/>
          <w:sz w:val="18"/>
          <w:szCs w:val="18"/>
          <w:b w:val="1"/>
          <w:bCs w:val="1"/>
          <w:color w:val="auto"/>
        </w:rPr>
      </w:pPr>
    </w:p>
    <w:p>
      <w:pPr>
        <w:jc w:val="both"/>
        <w:ind w:left="340" w:hanging="332"/>
        <w:spacing w:after="0" w:line="25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1,019,962 shares of common stock, par value $0.001, of Agrify Corporation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held by M Zion Capital, LLC (“</w:t>
      </w:r>
      <w:r>
        <w:rPr>
          <w:rFonts w:ascii="Times New Roman" w:cs="Times New Roman" w:eastAsia="Times New Roman" w:hAnsi="Times New Roman"/>
          <w:sz w:val="18"/>
          <w:szCs w:val="18"/>
          <w:i w:val="1"/>
          <w:iCs w:val="1"/>
          <w:color w:val="auto"/>
        </w:rPr>
        <w:t>M Zion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w:t>
      </w:r>
      <w:r>
        <w:rPr>
          <w:rFonts w:ascii="Times New Roman" w:cs="Times New Roman" w:eastAsia="Times New Roman" w:hAnsi="Times New Roman"/>
          <w:sz w:val="18"/>
          <w:szCs w:val="18"/>
          <w:color w:val="auto"/>
        </w:rPr>
        <w:t>”), an entity controlled by Ms. Chan, (ii) 1,019,962 shares of Common Stock held by M Olivet Capital, LLC (“</w:t>
      </w:r>
      <w:r>
        <w:rPr>
          <w:rFonts w:ascii="Times New Roman" w:cs="Times New Roman" w:eastAsia="Times New Roman" w:hAnsi="Times New Roman"/>
          <w:sz w:val="18"/>
          <w:szCs w:val="18"/>
          <w:i w:val="1"/>
          <w:iCs w:val="1"/>
          <w:color w:val="auto"/>
        </w:rPr>
        <w:t>M Olivet Capital</w:t>
      </w:r>
      <w:r>
        <w:rPr>
          <w:rFonts w:ascii="Times New Roman" w:cs="Times New Roman" w:eastAsia="Times New Roman" w:hAnsi="Times New Roman"/>
          <w:sz w:val="18"/>
          <w:szCs w:val="18"/>
          <w:color w:val="auto"/>
        </w:rPr>
        <w:t>”), an entity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controlled by Ms. Chan, (iii) 1,019,962 shares of Common Stock held by M Cannan Capital, LLC (“</w:t>
      </w:r>
      <w:r>
        <w:rPr>
          <w:rFonts w:ascii="Times New Roman" w:cs="Times New Roman" w:eastAsia="Times New Roman" w:hAnsi="Times New Roman"/>
          <w:sz w:val="18"/>
          <w:szCs w:val="18"/>
          <w:i w:val="1"/>
          <w:iCs w:val="1"/>
          <w:color w:val="auto"/>
        </w:rPr>
        <w:t>M Cannan Capital</w:t>
      </w:r>
      <w:r>
        <w:rPr>
          <w:rFonts w:ascii="Times New Roman" w:cs="Times New Roman" w:eastAsia="Times New Roman" w:hAnsi="Times New Roman"/>
          <w:sz w:val="18"/>
          <w:szCs w:val="18"/>
          <w:color w:val="auto"/>
        </w:rPr>
        <w:t>”), an entity controlled by Ms. Chan, (iv) that number of shares of Common Stock issuable to CP Acquisitions, LLC (“</w:t>
      </w:r>
      <w:r>
        <w:rPr>
          <w:rFonts w:ascii="Times New Roman" w:cs="Times New Roman" w:eastAsia="Times New Roman" w:hAnsi="Times New Roman"/>
          <w:sz w:val="18"/>
          <w:szCs w:val="18"/>
          <w:i w:val="1"/>
          <w:iCs w:val="1"/>
          <w:color w:val="auto"/>
        </w:rPr>
        <w:t>CP Acquisitions</w:t>
      </w:r>
      <w:r>
        <w:rPr>
          <w:rFonts w:ascii="Times New Roman" w:cs="Times New Roman" w:eastAsia="Times New Roman" w:hAnsi="Times New Roman"/>
          <w:sz w:val="18"/>
          <w:szCs w:val="18"/>
          <w:color w:val="auto"/>
        </w:rPr>
        <w:t>”), an entity controlled by Ms. Chan, issuable to Ms. Chan upon the conversion of that certain Senior Secured Amended, Restated and Consolidated Convertible Note, as amended (the “</w:t>
      </w:r>
      <w:r>
        <w:rPr>
          <w:rFonts w:ascii="Times New Roman" w:cs="Times New Roman" w:eastAsia="Times New Roman" w:hAnsi="Times New Roman"/>
          <w:sz w:val="18"/>
          <w:szCs w:val="18"/>
          <w:i w:val="1"/>
          <w:iCs w:val="1"/>
          <w:color w:val="auto"/>
        </w:rPr>
        <w:t>Convertible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due 2025 described herein with an outstanding principal amount of $3,500,000.00 and a conversion price of $1.46 per share (as may be adjusted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 the Senior Secured Amended, Restated and Consolidated Convertible Note due 2025 from time to time), which conversion is subject to a 49.99% beneficial ownership limitation; provided that CP Acquisitions may assign its right to receive shares of common stock upon conversion to Mr. Chang and/or Ms. Chan, each a member of the Board of Directors of the Issuer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in which case the 49.99% beneficial ownership limitation will apply to each of them individually, (v) that number of shares of Common Stock issuable to CP Acquisitions or, at CP Acquisition’s election, pre-funded warrants to purchase shares of Common Stock issuable to CP Acquisitions upon conversion of that certain Junior Secured Convertible Promissory Note (“</w:t>
      </w:r>
      <w:r>
        <w:rPr>
          <w:rFonts w:ascii="Times New Roman" w:cs="Times New Roman" w:eastAsia="Times New Roman" w:hAnsi="Times New Roman"/>
          <w:sz w:val="18"/>
          <w:szCs w:val="18"/>
          <w:i w:val="1"/>
          <w:iCs w:val="1"/>
          <w:color w:val="auto"/>
        </w:rPr>
        <w:t>New Junior Note</w:t>
      </w:r>
      <w:r>
        <w:rPr>
          <w:rFonts w:ascii="Times New Roman" w:cs="Times New Roman" w:eastAsia="Times New Roman" w:hAnsi="Times New Roman"/>
          <w:sz w:val="18"/>
          <w:szCs w:val="18"/>
          <w:color w:val="auto"/>
        </w:rPr>
        <w:t>”) due July 1, 2025 described herein with an outstanding principal amount of $1,500,000.00 and a conversion price of $0.2633 (as may be adjusted per the New Junior Note), which pre-funded warrants are exercisable subject to a 49.99% beneficial ownership limitation, and (vi) pre-funded warrants to purchase 81,784,320 shares of Common Stock held by CP Acquisitions that are exercisable within 60 days of the date hereof, as amended by that certain Amendment to Pre-Funded Common Stock Purchase Warrant, dated August 28, 2024, by and between Issuer and CP Acquisitions (the “</w:t>
      </w:r>
      <w:r>
        <w:rPr>
          <w:rFonts w:ascii="Times New Roman" w:cs="Times New Roman" w:eastAsia="Times New Roman" w:hAnsi="Times New Roman"/>
          <w:sz w:val="18"/>
          <w:szCs w:val="18"/>
          <w:i w:val="1"/>
          <w:iCs w:val="1"/>
          <w:color w:val="auto"/>
        </w:rPr>
        <w:t>CP Warrant Amendment</w:t>
      </w:r>
      <w:r>
        <w:rPr>
          <w:rFonts w:ascii="Times New Roman" w:cs="Times New Roman" w:eastAsia="Times New Roman" w:hAnsi="Times New Roman"/>
          <w:sz w:val="18"/>
          <w:szCs w:val="18"/>
          <w:color w:val="auto"/>
        </w:rPr>
        <w:t>”), and subject to (A) a 49.99% beneficial ownership limitation, and (B) an agreement between CP Acquisitions and the Issuer whereby CP Acquisitions agreed not to exercise the CP Warrant for more than 4,000,000 shares of Common Stock until the Issuer completes a reverse stock split or increase in authorized shares resulting in sufficient authorized but unissued shares to permit such conversion or exercise.</w:t>
      </w:r>
    </w:p>
    <w:p>
      <w:pPr>
        <w:spacing w:after="0" w:line="192" w:lineRule="exact"/>
        <w:rPr>
          <w:rFonts w:ascii="Times New Roman" w:cs="Times New Roman" w:eastAsia="Times New Roman" w:hAnsi="Times New Roman"/>
          <w:sz w:val="18"/>
          <w:szCs w:val="18"/>
          <w:color w:val="auto"/>
        </w:rPr>
      </w:pPr>
    </w:p>
    <w:p>
      <w:pPr>
        <w:jc w:val="both"/>
        <w:ind w:lef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Chan disclaims beneficial ownership with respect to the shares held by M Zion Capital, the shares held by M Olivet Capital, the shares held by M Cannan Capital and the shares entitled to CP Acquisitions upon conversion of its Convertible Note, in each case except to the extent of her pecuniary interest therein.</w:t>
      </w:r>
    </w:p>
    <w:p>
      <w:pPr>
        <w:sectPr>
          <w:pgSz w:w="11900" w:h="16913" w:orient="portrait"/>
          <w:cols w:equalWidth="0" w:num="1">
            <w:col w:w="11240"/>
          </w:cols>
          <w:pgMar w:left="320" w:top="900" w:right="339" w:bottom="0" w:gutter="0" w:footer="0" w:header="0"/>
        </w:sectPr>
      </w:pPr>
    </w:p>
    <w:bookmarkStart w:id="2" w:name="page3"/>
    <w:bookmarkEnd w:id="2"/>
    <w:p>
      <w:pPr>
        <w:ind w:left="332" w:hanging="332"/>
        <w:spacing w:after="0" w:line="282" w:lineRule="auto"/>
        <w:tabs>
          <w:tab w:leader="none" w:pos="33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19,977,347 shares of Common Stock outstanding as of the date hereof, plus the shares of Common Stock issuable and issued upon exercise of the warrants and options and conversion of the Convertible Note in footnote (1) above, subject to applicable beneficial ownership limitations.</w:t>
      </w:r>
    </w:p>
    <w:p>
      <w:pPr>
        <w:spacing w:after="0" w:line="24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3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5322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6532245"/>
                    </a:xfrm>
                    <a:prstGeom prst="rect">
                      <a:avLst/>
                    </a:prstGeom>
                    <a:noFill/>
                  </pic:spPr>
                </pic:pic>
              </a:graphicData>
            </a:graphic>
          </wp:anchor>
        </w:drawing>
      </w:r>
    </w:p>
    <w:p>
      <w:pPr>
        <w:spacing w:after="0" w:line="259" w:lineRule="exact"/>
        <w:rPr>
          <w:sz w:val="20"/>
          <w:szCs w:val="20"/>
          <w:color w:val="auto"/>
        </w:rPr>
      </w:pPr>
    </w:p>
    <w:p>
      <w:pPr>
        <w:ind w:left="920" w:right="8140" w:hanging="782"/>
        <w:spacing w:after="0" w:line="317" w:lineRule="auto"/>
        <w:tabs>
          <w:tab w:leader="none" w:pos="92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M Zion Capital, LLC</w:t>
      </w:r>
    </w:p>
    <w:p>
      <w:pPr>
        <w:spacing w:after="0" w:line="212" w:lineRule="exact"/>
        <w:rPr>
          <w:rFonts w:ascii="Times New Roman" w:cs="Times New Roman" w:eastAsia="Times New Roman" w:hAnsi="Times New Roman"/>
          <w:sz w:val="17"/>
          <w:szCs w:val="17"/>
          <w:b w:val="1"/>
          <w:bCs w:val="1"/>
          <w:color w:val="auto"/>
        </w:rPr>
      </w:pPr>
    </w:p>
    <w:p>
      <w:pPr>
        <w:ind w:left="920" w:hanging="782"/>
        <w:spacing w:after="0"/>
        <w:tabs>
          <w:tab w:leader="none" w:pos="9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220" w:hanging="294"/>
        <w:spacing w:after="0" w:line="207" w:lineRule="exact"/>
        <w:tabs>
          <w:tab w:leader="none" w:pos="1220" w:val="left"/>
        </w:tabs>
        <w:numPr>
          <w:ilvl w:val="1"/>
          <w:numId w:val="7"/>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240" w:hanging="314"/>
        <w:spacing w:after="0" w:line="207" w:lineRule="exact"/>
        <w:tabs>
          <w:tab w:leader="none" w:pos="1240" w:val="left"/>
        </w:tabs>
        <w:numPr>
          <w:ilvl w:val="1"/>
          <w:numId w:val="7"/>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20" w:right="9060" w:hanging="782"/>
        <w:spacing w:after="0" w:line="286" w:lineRule="auto"/>
        <w:tabs>
          <w:tab w:leader="none" w:pos="9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2" w:lineRule="exact"/>
        <w:rPr>
          <w:rFonts w:ascii="Times New Roman" w:cs="Times New Roman" w:eastAsia="Times New Roman" w:hAnsi="Times New Roman"/>
          <w:sz w:val="17"/>
          <w:szCs w:val="17"/>
          <w:b w:val="1"/>
          <w:bCs w:val="1"/>
          <w:color w:val="auto"/>
        </w:rPr>
      </w:pPr>
    </w:p>
    <w:p>
      <w:pPr>
        <w:ind w:left="2600" w:right="7240" w:hanging="774"/>
        <w:spacing w:after="0" w:line="286" w:lineRule="auto"/>
        <w:tabs>
          <w:tab w:leader="none" w:pos="2600" w:val="left"/>
        </w:tabs>
        <w:numPr>
          <w:ilvl w:val="2"/>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0</w:t>
      </w:r>
    </w:p>
    <w:p>
      <w:pPr>
        <w:spacing w:after="0" w:line="209"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tcPr>
          <w:p>
            <w:pPr>
              <w:spacing w:after="0"/>
              <w:rPr>
                <w:sz w:val="21"/>
                <w:szCs w:val="21"/>
                <w:color w:val="auto"/>
              </w:rPr>
            </w:pPr>
          </w:p>
        </w:tc>
        <w:tc>
          <w:tcPr>
            <w:tcW w:w="8960" w:type="dxa"/>
            <w:vAlign w:val="bottom"/>
          </w:tcPr>
          <w:p>
            <w:pPr>
              <w:ind w:left="320"/>
              <w:spacing w:after="0" w:line="252" w:lineRule="exact"/>
              <w:rPr>
                <w:sz w:val="20"/>
                <w:szCs w:val="20"/>
                <w:color w:val="auto"/>
              </w:rPr>
            </w:pPr>
            <w:r>
              <w:rPr>
                <w:rFonts w:ascii="Times New Roman" w:cs="Times New Roman" w:eastAsia="Times New Roman" w:hAnsi="Times New Roman"/>
                <w:sz w:val="18"/>
                <w:szCs w:val="18"/>
                <w:color w:val="auto"/>
              </w:rPr>
              <w:t>1,019,962</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80" w:hanging="774"/>
        <w:spacing w:after="0" w:line="289" w:lineRule="auto"/>
        <w:tabs>
          <w:tab w:leader="none" w:pos="2600" w:val="left"/>
        </w:tabs>
        <w:numPr>
          <w:ilvl w:val="2"/>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1,019,962</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1,019,962</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6.89%</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OO</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1,019,962 shares of Common Stock held by M Zion Capital.</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19,977,347 shares of Common Stock outstanding as of the date hereof.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532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6532245"/>
                    </a:xfrm>
                    <a:prstGeom prst="rect">
                      <a:avLst/>
                    </a:prstGeom>
                    <a:noFill/>
                  </pic:spPr>
                </pic:pic>
              </a:graphicData>
            </a:graphic>
          </wp:anchor>
        </w:drawing>
      </w:r>
    </w:p>
    <w:p>
      <w:pPr>
        <w:spacing w:after="0" w:line="259" w:lineRule="exact"/>
        <w:rPr>
          <w:sz w:val="20"/>
          <w:szCs w:val="20"/>
          <w:color w:val="auto"/>
        </w:rPr>
      </w:pPr>
    </w:p>
    <w:p>
      <w:pPr>
        <w:ind w:left="920" w:right="8140" w:hanging="782"/>
        <w:spacing w:after="0" w:line="317" w:lineRule="auto"/>
        <w:tabs>
          <w:tab w:leader="none" w:pos="92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M Olivet Capital, LLC</w:t>
      </w:r>
    </w:p>
    <w:p>
      <w:pPr>
        <w:spacing w:after="0" w:line="212" w:lineRule="exact"/>
        <w:rPr>
          <w:rFonts w:ascii="Times New Roman" w:cs="Times New Roman" w:eastAsia="Times New Roman" w:hAnsi="Times New Roman"/>
          <w:sz w:val="17"/>
          <w:szCs w:val="17"/>
          <w:b w:val="1"/>
          <w:bCs w:val="1"/>
          <w:color w:val="auto"/>
        </w:rPr>
      </w:pPr>
    </w:p>
    <w:p>
      <w:pPr>
        <w:ind w:left="920" w:hanging="782"/>
        <w:spacing w:after="0"/>
        <w:tabs>
          <w:tab w:leader="none" w:pos="9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220" w:hanging="294"/>
        <w:spacing w:after="0" w:line="207" w:lineRule="exact"/>
        <w:tabs>
          <w:tab w:leader="none" w:pos="1220" w:val="left"/>
        </w:tabs>
        <w:numPr>
          <w:ilvl w:val="1"/>
          <w:numId w:val="11"/>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240" w:hanging="314"/>
        <w:spacing w:after="0" w:line="207" w:lineRule="exact"/>
        <w:tabs>
          <w:tab w:leader="none" w:pos="1240" w:val="left"/>
        </w:tabs>
        <w:numPr>
          <w:ilvl w:val="1"/>
          <w:numId w:val="11"/>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20" w:right="9060" w:hanging="782"/>
        <w:spacing w:after="0" w:line="286" w:lineRule="auto"/>
        <w:tabs>
          <w:tab w:leader="none" w:pos="9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WC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2" w:lineRule="exact"/>
        <w:rPr>
          <w:rFonts w:ascii="Times New Roman" w:cs="Times New Roman" w:eastAsia="Times New Roman" w:hAnsi="Times New Roman"/>
          <w:sz w:val="17"/>
          <w:szCs w:val="17"/>
          <w:b w:val="1"/>
          <w:bCs w:val="1"/>
          <w:color w:val="auto"/>
        </w:rPr>
      </w:pPr>
    </w:p>
    <w:p>
      <w:pPr>
        <w:ind w:left="2600" w:right="7240" w:hanging="774"/>
        <w:spacing w:after="0" w:line="286" w:lineRule="auto"/>
        <w:tabs>
          <w:tab w:leader="none" w:pos="2600" w:val="left"/>
        </w:tabs>
        <w:numPr>
          <w:ilvl w:val="2"/>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0</w:t>
      </w:r>
    </w:p>
    <w:p>
      <w:pPr>
        <w:spacing w:after="0" w:line="209"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tcPr>
          <w:p>
            <w:pPr>
              <w:spacing w:after="0"/>
              <w:rPr>
                <w:sz w:val="21"/>
                <w:szCs w:val="21"/>
                <w:color w:val="auto"/>
              </w:rPr>
            </w:pPr>
          </w:p>
        </w:tc>
        <w:tc>
          <w:tcPr>
            <w:tcW w:w="8960" w:type="dxa"/>
            <w:vAlign w:val="bottom"/>
          </w:tcPr>
          <w:p>
            <w:pPr>
              <w:ind w:left="320"/>
              <w:spacing w:after="0" w:line="252" w:lineRule="exact"/>
              <w:rPr>
                <w:sz w:val="20"/>
                <w:szCs w:val="20"/>
                <w:color w:val="auto"/>
              </w:rPr>
            </w:pPr>
            <w:r>
              <w:rPr>
                <w:rFonts w:ascii="Times New Roman" w:cs="Times New Roman" w:eastAsia="Times New Roman" w:hAnsi="Times New Roman"/>
                <w:sz w:val="18"/>
                <w:szCs w:val="18"/>
                <w:color w:val="auto"/>
              </w:rPr>
              <w:t>1,019,962</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80" w:hanging="774"/>
        <w:spacing w:after="0" w:line="289" w:lineRule="auto"/>
        <w:tabs>
          <w:tab w:leader="none" w:pos="2600" w:val="left"/>
        </w:tabs>
        <w:numPr>
          <w:ilvl w:val="2"/>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1,019,962</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1,019,962</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6.89%</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PN</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1,019,962 held by M Olivet Capital.</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19,977,347 shares of Common Stock outstanding as of the date hereof.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532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6532245"/>
                    </a:xfrm>
                    <a:prstGeom prst="rect">
                      <a:avLst/>
                    </a:prstGeom>
                    <a:noFill/>
                  </pic:spPr>
                </pic:pic>
              </a:graphicData>
            </a:graphic>
          </wp:anchor>
        </w:drawing>
      </w:r>
    </w:p>
    <w:p>
      <w:pPr>
        <w:spacing w:after="0" w:line="259" w:lineRule="exact"/>
        <w:rPr>
          <w:sz w:val="20"/>
          <w:szCs w:val="20"/>
          <w:color w:val="auto"/>
        </w:rPr>
      </w:pPr>
    </w:p>
    <w:p>
      <w:pPr>
        <w:ind w:left="920" w:right="8140" w:hanging="782"/>
        <w:spacing w:after="0" w:line="317" w:lineRule="auto"/>
        <w:tabs>
          <w:tab w:leader="none" w:pos="92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M Cannan Capital, LLC</w:t>
      </w:r>
    </w:p>
    <w:p>
      <w:pPr>
        <w:spacing w:after="0" w:line="212" w:lineRule="exact"/>
        <w:rPr>
          <w:rFonts w:ascii="Times New Roman" w:cs="Times New Roman" w:eastAsia="Times New Roman" w:hAnsi="Times New Roman"/>
          <w:sz w:val="17"/>
          <w:szCs w:val="17"/>
          <w:b w:val="1"/>
          <w:bCs w:val="1"/>
          <w:color w:val="auto"/>
        </w:rPr>
      </w:pPr>
    </w:p>
    <w:p>
      <w:pPr>
        <w:ind w:left="920" w:hanging="782"/>
        <w:spacing w:after="0"/>
        <w:tabs>
          <w:tab w:leader="none" w:pos="9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220" w:hanging="294"/>
        <w:spacing w:after="0" w:line="207" w:lineRule="exact"/>
        <w:tabs>
          <w:tab w:leader="none" w:pos="1220" w:val="left"/>
        </w:tabs>
        <w:numPr>
          <w:ilvl w:val="1"/>
          <w:numId w:val="15"/>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240" w:hanging="314"/>
        <w:spacing w:after="0" w:line="207" w:lineRule="exact"/>
        <w:tabs>
          <w:tab w:leader="none" w:pos="1240" w:val="left"/>
        </w:tabs>
        <w:numPr>
          <w:ilvl w:val="1"/>
          <w:numId w:val="15"/>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20" w:right="9060" w:hanging="782"/>
        <w:spacing w:after="0" w:line="286" w:lineRule="auto"/>
        <w:tabs>
          <w:tab w:leader="none" w:pos="9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WC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3" w:lineRule="exact"/>
        <w:rPr>
          <w:sz w:val="20"/>
          <w:szCs w:val="20"/>
          <w:color w:val="auto"/>
        </w:rPr>
      </w:pPr>
    </w:p>
    <w:tbl>
      <w:tblPr>
        <w:tblLayout w:type="fixed"/>
        <w:tblInd w:w="360" w:type="dxa"/>
        <w:tblCellMar>
          <w:top w:w="0" w:type="dxa"/>
          <w:left w:w="0" w:type="dxa"/>
          <w:bottom w:w="0" w:type="dxa"/>
          <w:right w:w="0" w:type="dxa"/>
        </w:tblCellMar>
      </w:tblPr>
      <w:tr>
        <w:trPr>
          <w:trHeight w:val="220"/>
        </w:trPr>
        <w:tc>
          <w:tcPr>
            <w:tcW w:w="1340" w:type="dxa"/>
            <w:vAlign w:val="bottom"/>
          </w:tcPr>
          <w:p>
            <w:pPr>
              <w:spacing w:after="0"/>
              <w:rPr>
                <w:sz w:val="19"/>
                <w:szCs w:val="19"/>
                <w:color w:val="auto"/>
              </w:rPr>
            </w:pP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0"/>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Borders>
              <w:bottom w:val="single" w:sz="8" w:color="auto"/>
            </w:tcBorders>
          </w:tcPr>
          <w:p>
            <w:pPr>
              <w:spacing w:after="0"/>
              <w:rPr>
                <w:sz w:val="21"/>
                <w:szCs w:val="21"/>
                <w:color w:val="auto"/>
              </w:rPr>
            </w:pPr>
          </w:p>
        </w:tc>
        <w:tc>
          <w:tcPr>
            <w:tcW w:w="8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40" w:type="dxa"/>
            <w:vAlign w:val="bottom"/>
            <w:vMerge w:val="continue"/>
          </w:tcPr>
          <w:p>
            <w:pPr>
              <w:spacing w:after="0"/>
              <w:rPr>
                <w:sz w:val="16"/>
                <w:szCs w:val="16"/>
                <w:color w:val="auto"/>
              </w:rPr>
            </w:pPr>
          </w:p>
        </w:tc>
        <w:tc>
          <w:tcPr>
            <w:tcW w:w="580" w:type="dxa"/>
            <w:vAlign w:val="bottom"/>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tcPr>
          <w:p>
            <w:pPr>
              <w:spacing w:after="0"/>
              <w:rPr>
                <w:sz w:val="21"/>
                <w:szCs w:val="21"/>
                <w:color w:val="auto"/>
              </w:rPr>
            </w:pPr>
          </w:p>
        </w:tc>
        <w:tc>
          <w:tcPr>
            <w:tcW w:w="8960" w:type="dxa"/>
            <w:vAlign w:val="bottom"/>
          </w:tcPr>
          <w:p>
            <w:pPr>
              <w:ind w:left="320"/>
              <w:spacing w:after="0" w:line="252" w:lineRule="exact"/>
              <w:rPr>
                <w:sz w:val="20"/>
                <w:szCs w:val="20"/>
                <w:color w:val="auto"/>
              </w:rPr>
            </w:pPr>
            <w:r>
              <w:rPr>
                <w:rFonts w:ascii="Times New Roman" w:cs="Times New Roman" w:eastAsia="Times New Roman" w:hAnsi="Times New Roman"/>
                <w:sz w:val="18"/>
                <w:szCs w:val="18"/>
                <w:color w:val="auto"/>
              </w:rPr>
              <w:t>1,019,962</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80" w:hanging="774"/>
        <w:spacing w:after="0" w:line="289" w:lineRule="auto"/>
        <w:tabs>
          <w:tab w:leader="none" w:pos="2600" w:val="left"/>
        </w:tabs>
        <w:numPr>
          <w:ilvl w:val="2"/>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1,019,962</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1,019,962</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6.89%</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PN</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1,019,962 shares of Common Stock held by M Cannan Capital.</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19,977,347 shares of Common Stock outstanding as of the date hereof.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532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6532245"/>
                    </a:xfrm>
                    <a:prstGeom prst="rect">
                      <a:avLst/>
                    </a:prstGeom>
                    <a:noFill/>
                  </pic:spPr>
                </pic:pic>
              </a:graphicData>
            </a:graphic>
          </wp:anchor>
        </w:drawing>
      </w:r>
    </w:p>
    <w:p>
      <w:pPr>
        <w:spacing w:after="0" w:line="259" w:lineRule="exact"/>
        <w:rPr>
          <w:sz w:val="20"/>
          <w:szCs w:val="20"/>
          <w:color w:val="auto"/>
        </w:rPr>
      </w:pPr>
    </w:p>
    <w:p>
      <w:pPr>
        <w:ind w:left="920" w:right="8140" w:hanging="782"/>
        <w:spacing w:after="0" w:line="317" w:lineRule="auto"/>
        <w:tabs>
          <w:tab w:leader="none" w:pos="920"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CP Acquisitions, LLC</w:t>
      </w:r>
    </w:p>
    <w:p>
      <w:pPr>
        <w:spacing w:after="0" w:line="212" w:lineRule="exact"/>
        <w:rPr>
          <w:rFonts w:ascii="Times New Roman" w:cs="Times New Roman" w:eastAsia="Times New Roman" w:hAnsi="Times New Roman"/>
          <w:sz w:val="17"/>
          <w:szCs w:val="17"/>
          <w:b w:val="1"/>
          <w:bCs w:val="1"/>
          <w:color w:val="auto"/>
        </w:rPr>
      </w:pPr>
    </w:p>
    <w:p>
      <w:pPr>
        <w:ind w:left="920" w:hanging="782"/>
        <w:spacing w:after="0"/>
        <w:tabs>
          <w:tab w:leader="none" w:pos="9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220" w:hanging="294"/>
        <w:spacing w:after="0" w:line="207" w:lineRule="exact"/>
        <w:tabs>
          <w:tab w:leader="none" w:pos="1220" w:val="left"/>
        </w:tabs>
        <w:numPr>
          <w:ilvl w:val="1"/>
          <w:numId w:val="19"/>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240" w:hanging="314"/>
        <w:spacing w:after="0" w:line="207" w:lineRule="exact"/>
        <w:tabs>
          <w:tab w:leader="none" w:pos="1240" w:val="left"/>
        </w:tabs>
        <w:numPr>
          <w:ilvl w:val="1"/>
          <w:numId w:val="19"/>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20" w:right="9060" w:hanging="782"/>
        <w:spacing w:after="0" w:line="286" w:lineRule="auto"/>
        <w:tabs>
          <w:tab w:leader="none" w:pos="9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WC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3" w:lineRule="exact"/>
        <w:rPr>
          <w:sz w:val="20"/>
          <w:szCs w:val="20"/>
          <w:color w:val="auto"/>
        </w:rPr>
      </w:pPr>
    </w:p>
    <w:tbl>
      <w:tblPr>
        <w:tblLayout w:type="fixed"/>
        <w:tblInd w:w="360" w:type="dxa"/>
        <w:tblCellMar>
          <w:top w:w="0" w:type="dxa"/>
          <w:left w:w="0" w:type="dxa"/>
          <w:bottom w:w="0" w:type="dxa"/>
          <w:right w:w="0" w:type="dxa"/>
        </w:tblCellMar>
      </w:tblPr>
      <w:tr>
        <w:trPr>
          <w:trHeight w:val="220"/>
        </w:trPr>
        <w:tc>
          <w:tcPr>
            <w:tcW w:w="1340" w:type="dxa"/>
            <w:vAlign w:val="bottom"/>
          </w:tcPr>
          <w:p>
            <w:pPr>
              <w:spacing w:after="0"/>
              <w:rPr>
                <w:sz w:val="19"/>
                <w:szCs w:val="19"/>
                <w:color w:val="auto"/>
              </w:rPr>
            </w:pP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0"/>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Borders>
              <w:bottom w:val="single" w:sz="8" w:color="auto"/>
            </w:tcBorders>
          </w:tcPr>
          <w:p>
            <w:pPr>
              <w:spacing w:after="0"/>
              <w:rPr>
                <w:sz w:val="21"/>
                <w:szCs w:val="21"/>
                <w:color w:val="auto"/>
              </w:rPr>
            </w:pPr>
          </w:p>
        </w:tc>
        <w:tc>
          <w:tcPr>
            <w:tcW w:w="8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40" w:type="dxa"/>
            <w:vAlign w:val="bottom"/>
            <w:vMerge w:val="continue"/>
          </w:tcPr>
          <w:p>
            <w:pPr>
              <w:spacing w:after="0"/>
              <w:rPr>
                <w:sz w:val="16"/>
                <w:szCs w:val="16"/>
                <w:color w:val="auto"/>
              </w:rPr>
            </w:pPr>
          </w:p>
        </w:tc>
        <w:tc>
          <w:tcPr>
            <w:tcW w:w="580" w:type="dxa"/>
            <w:vAlign w:val="bottom"/>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tcPr>
          <w:p>
            <w:pPr>
              <w:spacing w:after="0"/>
              <w:rPr>
                <w:sz w:val="21"/>
                <w:szCs w:val="21"/>
                <w:color w:val="auto"/>
              </w:rPr>
            </w:pPr>
          </w:p>
        </w:tc>
        <w:tc>
          <w:tcPr>
            <w:tcW w:w="8960" w:type="dxa"/>
            <w:vAlign w:val="bottom"/>
          </w:tcPr>
          <w:p>
            <w:pPr>
              <w:ind w:left="320"/>
              <w:spacing w:after="0" w:line="252" w:lineRule="exact"/>
              <w:rPr>
                <w:sz w:val="20"/>
                <w:szCs w:val="20"/>
                <w:color w:val="auto"/>
              </w:rPr>
            </w:pPr>
            <w:r>
              <w:rPr>
                <w:rFonts w:ascii="Times New Roman" w:cs="Times New Roman" w:eastAsia="Times New Roman" w:hAnsi="Times New Roman"/>
                <w:sz w:val="18"/>
                <w:szCs w:val="18"/>
                <w:color w:val="auto"/>
              </w:rPr>
              <w:t>84,181,581</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80" w:hanging="774"/>
        <w:spacing w:after="0" w:line="289" w:lineRule="auto"/>
        <w:tabs>
          <w:tab w:leader="none" w:pos="2600" w:val="left"/>
        </w:tabs>
        <w:numPr>
          <w:ilvl w:val="2"/>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84,181,581</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84,181,581</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49.99%</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PN</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jc w:val="both"/>
        <w:ind w:left="340" w:hanging="332"/>
        <w:spacing w:after="0" w:line="253"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that number of shares of Common Stock issuable to CP Acquisitions, an entity controlled by Ms. Chan, issuable to Ms. Chan upon the conversion of the Convertible Note due 2025 described herein with an outstanding principal amount of $3,500,000.00 and a conversion price of $1.46 per share (as may be adjusted per the Senior Secured Amended, Restated and Consolidated Convertible Note due 2025 from time to time), which conversion is subject to a 49.99% beneficial ownership limitation; provided that CP Acquisitions may assign its right to receive shares of Common Stock upon conversion to Mr. Chang and/or Ms. Chan, each a member of the Board, in which case the 49.99% beneficial ownership limitation will apply to each of them individually, (ii) pre-funded warrants to purchase 81,784,320 shares of Common Stock held by CP Acquisitions that are exercisable within 60 days of the date hereof, as amended by the CP Warrant Amendment, and subject to (A) a 49.99% beneficial ownership limitation, and (B) an agreement between CP Acquisitions and the Issuer whereby CP Acquisitions agreed not to exercise the CP Warrant for more than 4,000,000 shares of Common Stock until the Issuer completes a reverse stock split or increase in authorized shares resulting in sufficient authorized but unissued shares to permit such conversion or exercise, and (iii) that number of shares of Common Stock issuable to CP Acquisitions or, at CP Acquisition’s election, pre-funded warrants to purchase shares of Common Stock issuable to CP Acquisitions upon conversion of the New Junior Note due July 1, 2025 described herein with an outstanding principal amount of $1,500,000.00 and a conversion price of $0.2633 (as may be adjusted per the New Junior Note), which pre-funded warrants are exercisable subject to a 49.99% beneficial ownership limitation.</w:t>
      </w:r>
    </w:p>
    <w:p>
      <w:pPr>
        <w:spacing w:after="0" w:line="187"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19,977,347 shares of Common Stock outstanding as of the date hereof, plus the shares of Common Stock issuable and issued upon exercise of the warrants and options and conversion of the Convertible Note in footnote (1) above, subject to applicable beneficial ownership limitations.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339"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SCHEDULE 13D – EXPLANATORY NOTE</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Amendment No. 4 to the statement on Schedule 13D (“</w:t>
      </w:r>
      <w:r>
        <w:rPr>
          <w:rFonts w:ascii="Times New Roman" w:cs="Times New Roman" w:eastAsia="Times New Roman" w:hAnsi="Times New Roman"/>
          <w:sz w:val="18"/>
          <w:szCs w:val="18"/>
          <w:i w:val="1"/>
          <w:iCs w:val="1"/>
          <w:color w:val="auto"/>
        </w:rPr>
        <w:t>Amendment No. 4</w:t>
      </w:r>
      <w:r>
        <w:rPr>
          <w:rFonts w:ascii="Times New Roman" w:cs="Times New Roman" w:eastAsia="Times New Roman" w:hAnsi="Times New Roman"/>
          <w:sz w:val="18"/>
          <w:szCs w:val="18"/>
          <w:color w:val="auto"/>
        </w:rPr>
        <w:t>”) amends the Schedule 13D originally filed by the Reporting Persons (as defined herein) on January 25, 2024, as amended by that certain Amendment No. 1 filed on May 23, 2024, Amendment No. 2 filed on August 6, 2024, and Amendment No. 3 filed on August 16, 2024 (collectively, the “</w:t>
      </w:r>
      <w:r>
        <w:rPr>
          <w:rFonts w:ascii="Times New Roman" w:cs="Times New Roman" w:eastAsia="Times New Roman" w:hAnsi="Times New Roman"/>
          <w:sz w:val="18"/>
          <w:szCs w:val="18"/>
          <w:i w:val="1"/>
          <w:iCs w:val="1"/>
          <w:color w:val="auto"/>
        </w:rPr>
        <w:t>Schedule 13D</w:t>
      </w:r>
      <w:r>
        <w:rPr>
          <w:rFonts w:ascii="Times New Roman" w:cs="Times New Roman" w:eastAsia="Times New Roman" w:hAnsi="Times New Roman"/>
          <w:sz w:val="18"/>
          <w:szCs w:val="18"/>
          <w:color w:val="auto"/>
        </w:rPr>
        <w:t>”), and relates to the shares of common stock, par value $0.001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of the Agrify Corporation (“</w:t>
      </w: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 beneficially owned by M Zion Capital, LLC (“</w:t>
      </w:r>
      <w:r>
        <w:rPr>
          <w:rFonts w:ascii="Times New Roman" w:cs="Times New Roman" w:eastAsia="Times New Roman" w:hAnsi="Times New Roman"/>
          <w:sz w:val="18"/>
          <w:szCs w:val="18"/>
          <w:i w:val="1"/>
          <w:iCs w:val="1"/>
          <w:color w:val="auto"/>
        </w:rPr>
        <w:t>M Zion Capital</w:t>
      </w:r>
      <w:r>
        <w:rPr>
          <w:rFonts w:ascii="Times New Roman" w:cs="Times New Roman" w:eastAsia="Times New Roman" w:hAnsi="Times New Roman"/>
          <w:sz w:val="18"/>
          <w:szCs w:val="18"/>
          <w:color w:val="auto"/>
        </w:rPr>
        <w:t>”), M Olivet Capital, LLC (“</w:t>
      </w:r>
      <w:r>
        <w:rPr>
          <w:rFonts w:ascii="Times New Roman" w:cs="Times New Roman" w:eastAsia="Times New Roman" w:hAnsi="Times New Roman"/>
          <w:sz w:val="18"/>
          <w:szCs w:val="18"/>
          <w:i w:val="1"/>
          <w:iCs w:val="1"/>
          <w:color w:val="auto"/>
        </w:rPr>
        <w:t>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Olivet Capital</w:t>
      </w:r>
      <w:r>
        <w:rPr>
          <w:rFonts w:ascii="Times New Roman" w:cs="Times New Roman" w:eastAsia="Times New Roman" w:hAnsi="Times New Roman"/>
          <w:sz w:val="18"/>
          <w:szCs w:val="18"/>
          <w:color w:val="auto"/>
        </w:rPr>
        <w:t>”), M Cannan Capital, LLC (“</w:t>
      </w:r>
      <w:r>
        <w:rPr>
          <w:rFonts w:ascii="Times New Roman" w:cs="Times New Roman" w:eastAsia="Times New Roman" w:hAnsi="Times New Roman"/>
          <w:sz w:val="18"/>
          <w:szCs w:val="18"/>
          <w:i w:val="1"/>
          <w:iCs w:val="1"/>
          <w:color w:val="auto"/>
        </w:rPr>
        <w:t>M Cannan Capital</w:t>
      </w:r>
      <w:r>
        <w:rPr>
          <w:rFonts w:ascii="Times New Roman" w:cs="Times New Roman" w:eastAsia="Times New Roman" w:hAnsi="Times New Roman"/>
          <w:sz w:val="18"/>
          <w:szCs w:val="18"/>
          <w:color w:val="auto"/>
        </w:rPr>
        <w:t>”), and CP Acquisitions, LLC (“</w:t>
      </w:r>
      <w:r>
        <w:rPr>
          <w:rFonts w:ascii="Times New Roman" w:cs="Times New Roman" w:eastAsia="Times New Roman" w:hAnsi="Times New Roman"/>
          <w:sz w:val="18"/>
          <w:szCs w:val="18"/>
          <w:i w:val="1"/>
          <w:iCs w:val="1"/>
          <w:color w:val="auto"/>
        </w:rPr>
        <w:t>CP Acquisitions</w:t>
      </w:r>
      <w:r>
        <w:rPr>
          <w:rFonts w:ascii="Times New Roman" w:cs="Times New Roman" w:eastAsia="Times New Roman" w:hAnsi="Times New Roman"/>
          <w:sz w:val="18"/>
          <w:szCs w:val="18"/>
          <w:color w:val="auto"/>
        </w:rPr>
        <w:t>”) (each of M Zion Capital, M Olivet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M Cannan Capital CP Acquisitions, a “</w:t>
      </w:r>
      <w:r>
        <w:rPr>
          <w:rFonts w:ascii="Times New Roman" w:cs="Times New Roman" w:eastAsia="Times New Roman" w:hAnsi="Times New Roman"/>
          <w:sz w:val="18"/>
          <w:szCs w:val="18"/>
          <w:i w:val="1"/>
          <w:iCs w:val="1"/>
          <w:color w:val="auto"/>
        </w:rPr>
        <w:t>Reporting Person</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i w:val="1"/>
          <w:iCs w:val="1"/>
          <w:color w:val="auto"/>
        </w:rPr>
        <w:t>Reporting Persons</w:t>
      </w:r>
      <w:r>
        <w:rPr>
          <w:rFonts w:ascii="Times New Roman" w:cs="Times New Roman" w:eastAsia="Times New Roman" w:hAnsi="Times New Roman"/>
          <w:sz w:val="18"/>
          <w:szCs w:val="18"/>
          <w:color w:val="auto"/>
        </w:rPr>
        <w:t>”) with respect to shares of Common Stock that they may be deemed to have beneficial ownership.</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Rule 13d-2 of the Securities Exchange Act of 1934, as amended, except as specifically provided herein, this Amendment No. 4 does not modify any of the information previously reported on the Schedule 13D. Capitalized terms used but not otherwise defined in this Amendment No. 4 shall have the meanings ascribed to them in the Schedule 13D.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5(c) of the Schedule 13D is hereby amended and supplemented as follows: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Pre-Funded Warrant Amendments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previously reported, on June 30, 2024, the Issuer amended the terms of a pre-funded warrant (the “</w:t>
      </w:r>
      <w:r>
        <w:rPr>
          <w:rFonts w:ascii="Times New Roman" w:cs="Times New Roman" w:eastAsia="Times New Roman" w:hAnsi="Times New Roman"/>
          <w:sz w:val="18"/>
          <w:szCs w:val="18"/>
          <w:i w:val="1"/>
          <w:iCs w:val="1"/>
          <w:color w:val="auto"/>
        </w:rPr>
        <w:t>CP Warrant</w:t>
      </w:r>
      <w:r>
        <w:rPr>
          <w:rFonts w:ascii="Times New Roman" w:cs="Times New Roman" w:eastAsia="Times New Roman" w:hAnsi="Times New Roman"/>
          <w:sz w:val="18"/>
          <w:szCs w:val="18"/>
          <w:color w:val="auto"/>
        </w:rPr>
        <w:t>”) held by CP Acquisitions, an entity affiliated with and controlled by Raymond Chang, the Chairman and Chief Executive Officer of the Issuer and by I-Tseng Jenny Chan, a member of the Issuer’s Board of Directors. Among other things, the June 30, 2024 amendments removed certain adjustment provisions (the “</w:t>
      </w:r>
      <w:r>
        <w:rPr>
          <w:rFonts w:ascii="Times New Roman" w:cs="Times New Roman" w:eastAsia="Times New Roman" w:hAnsi="Times New Roman"/>
          <w:sz w:val="18"/>
          <w:szCs w:val="18"/>
          <w:i w:val="1"/>
          <w:iCs w:val="1"/>
          <w:color w:val="auto"/>
        </w:rPr>
        <w:t>Adjustment Provisions</w:t>
      </w:r>
      <w:r>
        <w:rPr>
          <w:rFonts w:ascii="Times New Roman" w:cs="Times New Roman" w:eastAsia="Times New Roman" w:hAnsi="Times New Roman"/>
          <w:sz w:val="18"/>
          <w:szCs w:val="18"/>
          <w:color w:val="auto"/>
        </w:rPr>
        <w:t>”) from the CP Warrant. Pursuant to the Adjustment Provisions, each time the Issuer consummated any bona fide equity financing with the primary purpose of raising capital, then the number of shares of common stock underlying the CP Warrant, as applicable, would be increased to an amount equal to (i) the amount of the convertible note that was originally converted into CP Warrant, as applicable, divided by (ii) the purchase or conversion price in the equity financing transaction, subject to proportional adjustment in the event the CP Warrant has been partially exercised.</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Also as previously reported, on August 12, 2024, the shareholders of the Issuer approved a proposal to amend the CP Warrant to add the Adjustment Provisions at a future date. Pursuant to that approval, on August 28, 2024, the Issuer entered into an amendment to the CP Warrant (the “</w:t>
      </w:r>
      <w:r>
        <w:rPr>
          <w:rFonts w:ascii="Times New Roman" w:cs="Times New Roman" w:eastAsia="Times New Roman" w:hAnsi="Times New Roman"/>
          <w:sz w:val="18"/>
          <w:szCs w:val="18"/>
          <w:i w:val="1"/>
          <w:iCs w:val="1"/>
          <w:color w:val="auto"/>
        </w:rPr>
        <w:t>CP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Warrant Amendment</w:t>
      </w:r>
      <w:r>
        <w:rPr>
          <w:rFonts w:ascii="Times New Roman" w:cs="Times New Roman" w:eastAsia="Times New Roman" w:hAnsi="Times New Roman"/>
          <w:sz w:val="18"/>
          <w:szCs w:val="18"/>
          <w:color w:val="auto"/>
        </w:rPr>
        <w:t>”). The CP Warrant Amendment inserted the Adjustment Provisions into the CP Warrant, respectively. As a result of the CP Warrant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and the subsequent issuance of 2,844,672 shares of Common Stock to Ionic Ventures, LLC (“</w:t>
      </w:r>
      <w:r>
        <w:rPr>
          <w:rFonts w:ascii="Times New Roman" w:cs="Times New Roman" w:eastAsia="Times New Roman" w:hAnsi="Times New Roman"/>
          <w:sz w:val="18"/>
          <w:szCs w:val="18"/>
          <w:i w:val="1"/>
          <w:iCs w:val="1"/>
          <w:color w:val="auto"/>
        </w:rPr>
        <w:t>Ionic</w:t>
      </w:r>
      <w:r>
        <w:rPr>
          <w:rFonts w:ascii="Times New Roman" w:cs="Times New Roman" w:eastAsia="Times New Roman" w:hAnsi="Times New Roman"/>
          <w:sz w:val="18"/>
          <w:szCs w:val="18"/>
          <w:color w:val="auto"/>
        </w:rPr>
        <w:t>”) pursuant to that Purchase Agreement (“</w:t>
      </w:r>
      <w:r>
        <w:rPr>
          <w:rFonts w:ascii="Times New Roman" w:cs="Times New Roman" w:eastAsia="Times New Roman" w:hAnsi="Times New Roman"/>
          <w:sz w:val="18"/>
          <w:szCs w:val="18"/>
          <w:i w:val="1"/>
          <w:iCs w:val="1"/>
          <w:color w:val="auto"/>
        </w:rPr>
        <w:t>Purchase Agreement</w:t>
      </w:r>
      <w:r>
        <w:rPr>
          <w:rFonts w:ascii="Times New Roman" w:cs="Times New Roman" w:eastAsia="Times New Roman" w:hAnsi="Times New Roman"/>
          <w:sz w:val="18"/>
          <w:szCs w:val="18"/>
          <w:color w:val="auto"/>
        </w:rPr>
        <w:t>”) entered into on August 28, 2024 between Ionic and Issuer, at an effective purchase price of approximately $0.1406 per share of Common Stock, the number of shares of Common Stock underlying the CP Warrant was adjusted to 81,784,320. As a result of such adjustment and the issuance to Ionic, CP Acquisitions agreed not to exercise the CP Warrant for more than 4,000,000 shares of Common Stock or to convert its outstanding convertible notes until the Issuer completes a reverse stock split or increase in authorized shares resulting in sufficient authorized but unissued shares to permit such conversion or exercise.</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foregoing summaries of the Purchase Agreement, and CP Warrant Amendment, do not purport to be complete, and are qualified in their entirety by reference to copies of the CP Warrant Amendment, which are filed as Exhibits 10.1 and 10.3, respectively, to the Issuer’s Current Report on Form 8-K, filed with the SEC on August 29, 2024, which are attached as exhibits 1 and 2, respectively, to this Schedule 13D and are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The information provided or incorporated by reference in </w:t>
      </w:r>
      <w:r>
        <w:rPr>
          <w:rFonts w:ascii="Times New Roman" w:cs="Times New Roman" w:eastAsia="Times New Roman" w:hAnsi="Times New Roman"/>
          <w:sz w:val="18"/>
          <w:szCs w:val="18"/>
          <w:i w:val="1"/>
          <w:iCs w:val="1"/>
          <w:u w:val="single" w:color="auto"/>
          <w:color w:val="auto"/>
        </w:rPr>
        <w:t>Item 5</w:t>
      </w:r>
      <w:r>
        <w:rPr>
          <w:rFonts w:ascii="Times New Roman" w:cs="Times New Roman" w:eastAsia="Times New Roman" w:hAnsi="Times New Roman"/>
          <w:sz w:val="18"/>
          <w:szCs w:val="18"/>
          <w:i w:val="1"/>
          <w:iCs w:val="1"/>
          <w:color w:val="auto"/>
        </w:rPr>
        <w:t xml:space="preserve"> of this Schedule 13D, is hereby incorporated herein by this reference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Item 6 is hereby amended and modified to include the following (which shall be in addition to the information previously included in the Schedule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13D):</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Except as set forth in the New Junior Note, or herein, the Reporting Persons do not have any contracts, arrangements, understandings or relationships (legal or otherwise) with any person with respect to any securities of the Issuer, including, but not limited to, any contracts, arrangements, understandings or relationships concerning the call options, put options, security-based swaps or any other derivative securities, transfer or voting of such securities, finder’s fees, joint ventures, loan or option arrangements, guarantees of profits, division of profits or losses, or the giving or withholding of proxies.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91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0" w:lineRule="exact"/>
        <w:rPr>
          <w:sz w:val="20"/>
          <w:szCs w:val="20"/>
          <w:color w:val="auto"/>
        </w:rPr>
      </w:pPr>
    </w:p>
    <w:p>
      <w:pPr>
        <w:ind w:left="1140" w:hanging="1132"/>
        <w:spacing w:after="0"/>
        <w:tabs>
          <w:tab w:leader="none" w:pos="1140" w:val="left"/>
        </w:tabs>
        <w:numPr>
          <w:ilvl w:val="0"/>
          <w:numId w:val="23"/>
        </w:numPr>
        <w:rPr>
          <w:rFonts w:ascii="Times New Roman" w:cs="Times New Roman" w:eastAsia="Times New Roman" w:hAnsi="Times New Roman"/>
          <w:sz w:val="18"/>
          <w:szCs w:val="18"/>
          <w:u w:val="single" w:color="auto"/>
          <w:color w:val="0000EE"/>
        </w:rPr>
      </w:pPr>
      <w:hyperlink r:id="rId24">
        <w:r>
          <w:rPr>
            <w:rFonts w:ascii="Times New Roman" w:cs="Times New Roman" w:eastAsia="Times New Roman" w:hAnsi="Times New Roman"/>
            <w:sz w:val="18"/>
            <w:szCs w:val="18"/>
            <w:u w:val="single" w:color="auto"/>
            <w:color w:val="0000EE"/>
          </w:rPr>
          <w:t>Purchase Agreement, dated as of August 28, 2024, by and between Agrify Corporation and Ionic Ventures, LLC (incorporated by reference</w:t>
        </w:r>
      </w:hyperlink>
    </w:p>
    <w:p>
      <w:pPr>
        <w:spacing w:after="0" w:line="27" w:lineRule="exact"/>
        <w:rPr>
          <w:sz w:val="20"/>
          <w:szCs w:val="20"/>
          <w:color w:val="auto"/>
        </w:rPr>
      </w:pPr>
    </w:p>
    <w:p>
      <w:pPr>
        <w:ind w:left="1140"/>
        <w:spacing w:after="0"/>
        <w:rPr>
          <w:rFonts w:ascii="Times New Roman" w:cs="Times New Roman" w:eastAsia="Times New Roman" w:hAnsi="Times New Roman"/>
          <w:sz w:val="18"/>
          <w:szCs w:val="18"/>
          <w:u w:val="single" w:color="auto"/>
          <w:color w:val="0000EE"/>
        </w:rPr>
      </w:pPr>
      <w:hyperlink r:id="rId24">
        <w:r>
          <w:rPr>
            <w:rFonts w:ascii="Times New Roman" w:cs="Times New Roman" w:eastAsia="Times New Roman" w:hAnsi="Times New Roman"/>
            <w:sz w:val="18"/>
            <w:szCs w:val="18"/>
            <w:u w:val="single" w:color="auto"/>
            <w:color w:val="0000EE"/>
          </w:rPr>
          <w:t>to Exhibit 10.1 to the Issuer’s Current Report on Form 8-K, filed with the SEC on August 29, 2024).</w:t>
        </w:r>
      </w:hyperlink>
    </w:p>
    <w:p>
      <w:pPr>
        <w:spacing w:after="0" w:line="9" w:lineRule="exact"/>
        <w:rPr>
          <w:sz w:val="20"/>
          <w:szCs w:val="20"/>
          <w:color w:val="auto"/>
        </w:rPr>
      </w:pPr>
    </w:p>
    <w:p>
      <w:pPr>
        <w:jc w:val="both"/>
        <w:ind w:left="1140" w:hanging="1132"/>
        <w:spacing w:after="0" w:line="255" w:lineRule="auto"/>
        <w:tabs>
          <w:tab w:leader="none" w:pos="1140" w:val="left"/>
        </w:tabs>
        <w:numPr>
          <w:ilvl w:val="0"/>
          <w:numId w:val="24"/>
        </w:numPr>
        <w:rPr>
          <w:rFonts w:ascii="Times New Roman" w:cs="Times New Roman" w:eastAsia="Times New Roman" w:hAnsi="Times New Roman"/>
          <w:sz w:val="18"/>
          <w:szCs w:val="18"/>
          <w:u w:val="single" w:color="auto"/>
          <w:color w:val="0000EE"/>
        </w:rPr>
      </w:pPr>
      <w:hyperlink r:id="rId25">
        <w:r>
          <w:rPr>
            <w:rFonts w:ascii="Times New Roman" w:cs="Times New Roman" w:eastAsia="Times New Roman" w:hAnsi="Times New Roman"/>
            <w:sz w:val="18"/>
            <w:szCs w:val="18"/>
            <w:u w:val="single" w:color="auto"/>
            <w:color w:val="0000EE"/>
          </w:rPr>
          <w:t>Amendment to Pre-Funded Common Stock Purchase Warrant, dated as of August 28, 2024, by and between Agrify Corporation and CP</w:t>
        </w:r>
      </w:hyperlink>
      <w:r>
        <w:rPr>
          <w:rFonts w:ascii="Times New Roman" w:cs="Times New Roman" w:eastAsia="Times New Roman" w:hAnsi="Times New Roman"/>
          <w:sz w:val="18"/>
          <w:szCs w:val="18"/>
          <w:u w:val="single" w:color="auto"/>
          <w:color w:val="0000EE"/>
        </w:rPr>
        <w:t xml:space="preserve"> </w:t>
      </w:r>
      <w:hyperlink r:id="rId25">
        <w:r>
          <w:rPr>
            <w:rFonts w:ascii="Times New Roman" w:cs="Times New Roman" w:eastAsia="Times New Roman" w:hAnsi="Times New Roman"/>
            <w:sz w:val="18"/>
            <w:szCs w:val="18"/>
            <w:u w:val="single" w:color="auto"/>
            <w:color w:val="0000EE"/>
          </w:rPr>
          <w:t>Acquisitions, LLC (incorporated by reference to Exhibit 10.3 to the Issuer’s Current Report on Form 8-K, filed with the SEC on August 29,</w:t>
        </w:r>
      </w:hyperlink>
      <w:r>
        <w:rPr>
          <w:rFonts w:ascii="Times New Roman" w:cs="Times New Roman" w:eastAsia="Times New Roman" w:hAnsi="Times New Roman"/>
          <w:sz w:val="18"/>
          <w:szCs w:val="18"/>
          <w:u w:val="single" w:color="auto"/>
          <w:color w:val="0000EE"/>
        </w:rPr>
        <w:t xml:space="preserve"> </w:t>
      </w:r>
      <w:hyperlink r:id="rId25">
        <w:r>
          <w:rPr>
            <w:rFonts w:ascii="Times New Roman" w:cs="Times New Roman" w:eastAsia="Times New Roman" w:hAnsi="Times New Roman"/>
            <w:sz w:val="18"/>
            <w:szCs w:val="18"/>
            <w:u w:val="single" w:color="auto"/>
            <w:color w:val="0000EE"/>
          </w:rPr>
          <w:t>2024).</w:t>
        </w:r>
      </w:hyperlink>
    </w:p>
    <w:p>
      <w:pPr>
        <w:spacing w:after="0" w:line="200" w:lineRule="exact"/>
        <w:rPr>
          <w:rFonts w:ascii="Times New Roman" w:cs="Times New Roman" w:eastAsia="Times New Roman" w:hAnsi="Times New Roman"/>
          <w:sz w:val="18"/>
          <w:szCs w:val="18"/>
          <w:u w:val="single" w:color="auto"/>
          <w:color w:val="0000EE"/>
        </w:rPr>
      </w:pPr>
    </w:p>
    <w:p>
      <w:pPr>
        <w:spacing w:after="0" w:line="202" w:lineRule="exact"/>
        <w:rPr>
          <w:rFonts w:ascii="Times New Roman" w:cs="Times New Roman" w:eastAsia="Times New Roman" w:hAnsi="Times New Roman"/>
          <w:sz w:val="18"/>
          <w:szCs w:val="18"/>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879"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4,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I-Tseng Jenny Chan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I-Tseng Jenny 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I-Tseng Jenny Chan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 Zion Capital,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I-Tseng Jenny Chan</w:t>
            </w:r>
          </w:p>
        </w:tc>
        <w:tc>
          <w:tcPr>
            <w:tcW w:w="40" w:type="dxa"/>
            <w:vAlign w:val="bottom"/>
          </w:tcPr>
          <w:p>
            <w:pPr>
              <w:spacing w:after="0"/>
              <w:rPr>
                <w:sz w:val="20"/>
                <w:szCs w:val="20"/>
                <w:color w:val="auto"/>
              </w:rPr>
            </w:pP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I-Tseng Jenny Chan</w:t>
            </w:r>
          </w:p>
        </w:tc>
        <w:tc>
          <w:tcPr>
            <w:tcW w:w="40" w:type="dxa"/>
            <w:vAlign w:val="bottom"/>
          </w:tcPr>
          <w:p>
            <w:pPr>
              <w:spacing w:after="0"/>
              <w:rPr>
                <w:sz w:val="17"/>
                <w:szCs w:val="17"/>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Manager</w:t>
            </w:r>
          </w:p>
        </w:tc>
        <w:tc>
          <w:tcPr>
            <w:tcW w:w="40" w:type="dxa"/>
            <w:vAlign w:val="bottom"/>
          </w:tcPr>
          <w:p>
            <w:pPr>
              <w:spacing w:after="0"/>
              <w:rPr>
                <w:sz w:val="20"/>
                <w:szCs w:val="20"/>
                <w:color w:val="auto"/>
              </w:rPr>
            </w:pPr>
          </w:p>
        </w:tc>
      </w:tr>
      <w:tr>
        <w:trPr>
          <w:trHeight w:val="432"/>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 Olivet Capital, LLC</w:t>
            </w:r>
          </w:p>
        </w:tc>
        <w:tc>
          <w:tcPr>
            <w:tcW w:w="40" w:type="dxa"/>
            <w:vAlign w:val="bottom"/>
          </w:tcPr>
          <w:p>
            <w:pPr>
              <w:spacing w:after="0"/>
              <w:rPr>
                <w:sz w:val="24"/>
                <w:szCs w:val="24"/>
                <w:color w:val="auto"/>
              </w:rPr>
            </w:pP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 w:type="dxa"/>
            <w:vAlign w:val="bottom"/>
          </w:tcPr>
          <w:p>
            <w:pPr>
              <w:spacing w:after="0"/>
              <w:rPr>
                <w:sz w:val="24"/>
                <w:szCs w:val="24"/>
                <w:color w:val="auto"/>
              </w:rPr>
            </w:pP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I-Tseng Jenny Chan</w:t>
            </w:r>
          </w:p>
        </w:tc>
        <w:tc>
          <w:tcPr>
            <w:tcW w:w="40" w:type="dxa"/>
            <w:vAlign w:val="bottom"/>
            <w:tcBorders>
              <w:bottom w:val="single" w:sz="8" w:color="auto"/>
            </w:tcBorders>
          </w:tcPr>
          <w:p>
            <w:pPr>
              <w:spacing w:after="0"/>
              <w:rPr>
                <w:sz w:val="24"/>
                <w:szCs w:val="24"/>
                <w:color w:val="auto"/>
              </w:rPr>
            </w:pP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0" w:type="dxa"/>
            <w:vAlign w:val="bottom"/>
          </w:tcPr>
          <w:p>
            <w:pPr>
              <w:spacing w:after="0"/>
              <w:rPr>
                <w:sz w:val="17"/>
                <w:szCs w:val="17"/>
                <w:color w:val="auto"/>
              </w:rPr>
            </w:pPr>
          </w:p>
        </w:tc>
        <w:tc>
          <w:tcPr>
            <w:tcW w:w="3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I-Tseng Jenny Chan</w:t>
            </w:r>
          </w:p>
        </w:tc>
        <w:tc>
          <w:tcPr>
            <w:tcW w:w="40" w:type="dxa"/>
            <w:vAlign w:val="bottom"/>
          </w:tcPr>
          <w:p>
            <w:pPr>
              <w:spacing w:after="0"/>
              <w:rPr>
                <w:sz w:val="17"/>
                <w:szCs w:val="17"/>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c>
          <w:tcPr>
            <w:tcW w:w="40" w:type="dxa"/>
            <w:vAlign w:val="bottom"/>
          </w:tcPr>
          <w:p>
            <w:pPr>
              <w:spacing w:after="0"/>
              <w:rPr>
                <w:sz w:val="20"/>
                <w:szCs w:val="20"/>
                <w:color w:val="auto"/>
              </w:rPr>
            </w:pPr>
          </w:p>
        </w:tc>
      </w:tr>
      <w:tr>
        <w:trPr>
          <w:trHeight w:val="432"/>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 Cannan Capital, LLC</w:t>
            </w:r>
          </w:p>
        </w:tc>
        <w:tc>
          <w:tcPr>
            <w:tcW w:w="40" w:type="dxa"/>
            <w:vAlign w:val="bottom"/>
          </w:tcPr>
          <w:p>
            <w:pPr>
              <w:spacing w:after="0"/>
              <w:rPr>
                <w:sz w:val="24"/>
                <w:szCs w:val="24"/>
                <w:color w:val="auto"/>
              </w:rPr>
            </w:pP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 w:type="dxa"/>
            <w:vAlign w:val="bottom"/>
          </w:tcPr>
          <w:p>
            <w:pPr>
              <w:spacing w:after="0"/>
              <w:rPr>
                <w:sz w:val="24"/>
                <w:szCs w:val="24"/>
                <w:color w:val="auto"/>
              </w:rPr>
            </w:pP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I-Tseng Jenny Chan</w:t>
            </w:r>
          </w:p>
        </w:tc>
        <w:tc>
          <w:tcPr>
            <w:tcW w:w="40" w:type="dxa"/>
            <w:vAlign w:val="bottom"/>
            <w:tcBorders>
              <w:bottom w:val="single" w:sz="8" w:color="auto"/>
            </w:tcBorders>
          </w:tcPr>
          <w:p>
            <w:pPr>
              <w:spacing w:after="0"/>
              <w:rPr>
                <w:sz w:val="24"/>
                <w:szCs w:val="24"/>
                <w:color w:val="auto"/>
              </w:rPr>
            </w:pP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0" w:type="dxa"/>
            <w:vAlign w:val="bottom"/>
          </w:tcPr>
          <w:p>
            <w:pPr>
              <w:spacing w:after="0"/>
              <w:rPr>
                <w:sz w:val="17"/>
                <w:szCs w:val="17"/>
                <w:color w:val="auto"/>
              </w:rPr>
            </w:pPr>
          </w:p>
        </w:tc>
        <w:tc>
          <w:tcPr>
            <w:tcW w:w="3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I-Tseng Jenny Chan</w:t>
            </w:r>
          </w:p>
        </w:tc>
        <w:tc>
          <w:tcPr>
            <w:tcW w:w="40" w:type="dxa"/>
            <w:vAlign w:val="bottom"/>
          </w:tcPr>
          <w:p>
            <w:pPr>
              <w:spacing w:after="0"/>
              <w:rPr>
                <w:sz w:val="17"/>
                <w:szCs w:val="17"/>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c>
          <w:tcPr>
            <w:tcW w:w="40" w:type="dxa"/>
            <w:vAlign w:val="bottom"/>
          </w:tcPr>
          <w:p>
            <w:pPr>
              <w:spacing w:after="0"/>
              <w:rPr>
                <w:sz w:val="20"/>
                <w:szCs w:val="20"/>
                <w:color w:val="auto"/>
              </w:rPr>
            </w:pPr>
          </w:p>
        </w:tc>
      </w:tr>
      <w:tr>
        <w:trPr>
          <w:trHeight w:val="432"/>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CP Acquisitions, LLC</w:t>
            </w:r>
          </w:p>
        </w:tc>
        <w:tc>
          <w:tcPr>
            <w:tcW w:w="40" w:type="dxa"/>
            <w:vAlign w:val="bottom"/>
          </w:tcPr>
          <w:p>
            <w:pPr>
              <w:spacing w:after="0"/>
              <w:rPr>
                <w:sz w:val="24"/>
                <w:szCs w:val="24"/>
                <w:color w:val="auto"/>
              </w:rPr>
            </w:pP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 w:type="dxa"/>
            <w:vAlign w:val="bottom"/>
          </w:tcPr>
          <w:p>
            <w:pPr>
              <w:spacing w:after="0"/>
              <w:rPr>
                <w:sz w:val="24"/>
                <w:szCs w:val="24"/>
                <w:color w:val="auto"/>
              </w:rPr>
            </w:pP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I-Tseng Jenny Chan</w:t>
            </w:r>
          </w:p>
        </w:tc>
        <w:tc>
          <w:tcPr>
            <w:tcW w:w="40" w:type="dxa"/>
            <w:vAlign w:val="bottom"/>
            <w:tcBorders>
              <w:bottom w:val="single" w:sz="8" w:color="auto"/>
            </w:tcBorders>
          </w:tcPr>
          <w:p>
            <w:pPr>
              <w:spacing w:after="0"/>
              <w:rPr>
                <w:sz w:val="24"/>
                <w:szCs w:val="24"/>
                <w:color w:val="auto"/>
              </w:rPr>
            </w:pP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0" w:type="dxa"/>
            <w:vAlign w:val="bottom"/>
          </w:tcPr>
          <w:p>
            <w:pPr>
              <w:spacing w:after="0"/>
              <w:rPr>
                <w:sz w:val="17"/>
                <w:szCs w:val="17"/>
                <w:color w:val="auto"/>
              </w:rPr>
            </w:pPr>
          </w:p>
        </w:tc>
        <w:tc>
          <w:tcPr>
            <w:tcW w:w="3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I-Tseng Jenny Chan</w:t>
            </w:r>
          </w:p>
        </w:tc>
        <w:tc>
          <w:tcPr>
            <w:tcW w:w="40" w:type="dxa"/>
            <w:vAlign w:val="bottom"/>
          </w:tcPr>
          <w:p>
            <w:pPr>
              <w:spacing w:after="0"/>
              <w:rPr>
                <w:sz w:val="17"/>
                <w:szCs w:val="17"/>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c>
          <w:tcPr>
            <w:tcW w:w="4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2">
    <w:nsid w:val="109CF92E"/>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3">
    <w:nsid w:val="DED7263"/>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4">
    <w:nsid w:val="7FDCC233"/>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5">
    <w:nsid w:val="1BEFD79F"/>
    <w:multiLevelType w:val="hybridMultilevel"/>
    <w:lvl w:ilvl="0">
      <w:lvlJc w:val="left"/>
      <w:lvlText w:val="(%1)"/>
      <w:numFmt w:val="decimal"/>
      <w:start w:val="2"/>
    </w:lvl>
  </w:abstractNum>
  <w:abstractNum w:abstractNumId="6">
    <w:nsid w:val="41A7C4C9"/>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7">
    <w:nsid w:val="6B68079A"/>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8">
    <w:nsid w:val="4E6AFB66"/>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9">
    <w:nsid w:val="25E45D32"/>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0">
    <w:nsid w:val="519B500D"/>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11">
    <w:nsid w:val="431BD7B7"/>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12">
    <w:nsid w:val="3F2DBA31"/>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13">
    <w:nsid w:val="7C83E458"/>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4">
    <w:nsid w:val="257130A3"/>
    <w:multiLevelType w:val="hybridMultilevel"/>
    <w:lvl w:ilvl="0">
      <w:lvlJc w:val="left"/>
      <w:lvlText w:val="%1."/>
      <w:numFmt w:val="decimal"/>
      <w:start w:val="1"/>
    </w:lvl>
    <w:lvl w:ilvl="1">
      <w:lvlJc w:val="left"/>
      <w:lvlText w:val="(%2)"/>
      <w:numFmt w:val="lowerLetter"/>
      <w:start w:val="1"/>
    </w:lvl>
  </w:abstractNum>
  <w:abstractNum w:abstractNumId="15">
    <w:nsid w:val="62BBD95A"/>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16">
    <w:nsid w:val="436C6125"/>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17">
    <w:nsid w:val="628C895D"/>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8">
    <w:nsid w:val="333AB105"/>
    <w:multiLevelType w:val="hybridMultilevel"/>
    <w:lvl w:ilvl="0">
      <w:lvlJc w:val="left"/>
      <w:lvlText w:val="%1."/>
      <w:numFmt w:val="decimal"/>
      <w:start w:val="1"/>
    </w:lvl>
    <w:lvl w:ilvl="1">
      <w:lvlJc w:val="left"/>
      <w:lvlText w:val="(%2)"/>
      <w:numFmt w:val="lowerLetter"/>
      <w:start w:val="1"/>
    </w:lvl>
  </w:abstractNum>
  <w:abstractNum w:abstractNumId="19">
    <w:nsid w:val="721DA317"/>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20">
    <w:nsid w:val="2443A858"/>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21">
    <w:nsid w:val="2D1D5AE9"/>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2">
    <w:nsid w:val="6763845E"/>
    <w:multiLevelType w:val="hybridMultilevel"/>
    <w:lvl w:ilvl="0">
      <w:lvlJc w:val="left"/>
      <w:lvlText w:val="1"/>
      <w:numFmt w:val="bullet"/>
      <w:start w:val="1"/>
    </w:lvl>
  </w:abstractNum>
  <w:abstractNum w:abstractNumId="23">
    <w:nsid w:val="75A2A8D4"/>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4" Type="http://schemas.openxmlformats.org/officeDocument/2006/relationships/hyperlink" Target="https://www.sec.gov/Archives/edgar/data/1800637/000121390024073911/ea021277101ex10-1_agrify.htm" TargetMode="External"/><Relationship Id="rId25" Type="http://schemas.openxmlformats.org/officeDocument/2006/relationships/hyperlink" Target="https://www.sec.gov/Archives/edgar/data/1800637/000121390024073911/ea021277101ex10-3_agrif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2024-09-04T20:07:05Z</dcterms:created>
  <dcterms:modified xsi:type="dcterms:W3CDTF">2024-09-04T20:07:05Z</dcterms:modified>
</cp:coreProperties>
</file>