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080612.xml.htm"/>
      <w:bookmarkStart w:id="1" w:name="ksform406182026_0806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Shapiro Peter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 HICKS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ROLLING MEADOWS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RYTHM, Inc.</w:t>
              </w:r>
            </w:hyperlink>
            <w:r>
              <w:rPr/>
              <w:t xml:space="preserve"> [ </w:t>
            </w:r>
            <w:r>
              <w:rPr>
                <w:rFonts w:ascii="Times;serif" w:hAnsi="Times;serif"/>
                <w:color w:val="0000FF"/>
                <w:sz w:val="24"/>
                <w:shd w:fill="FFFFFF" w:val="clear"/>
              </w:rPr>
              <w:t>RYM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granted in the form of restricted stock units under the issuer's 2022 Omnibus Equity Incentive Plan, as amended. 100% of the restricted stock units will vest on the earlier of (i) the one year anniversary of the date of the grant of the restricted stock units and (ii) the next annual meeting of the stockholders of the issuer following the date of the grant of the restricted stock units, subject to the reporting person's continuous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A.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480"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3438</Characters>
  <CharactersWithSpaces>4023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