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74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Holtzman Max</w:t>
              </w:r>
            </w:hyperlink>
          </w:p>
        </w:tc>
        <w:tc>
          <w:tcPr>
            <w:tcW w:w="132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740" w:type="dxa"/>
            <w:vAlign w:val="bottom"/>
            <w:tcBorders>
              <w:top w:val="single" w:sz="8" w:color="0000EE"/>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07/14/2022</w:t>
            </w:r>
          </w:p>
        </w:tc>
        <w:tc>
          <w:tcPr>
            <w:tcW w:w="0" w:type="dxa"/>
            <w:vAlign w:val="bottom"/>
          </w:tcPr>
          <w:p>
            <w:pPr>
              <w:spacing w:after="0"/>
              <w:rPr>
                <w:sz w:val="1"/>
                <w:szCs w:val="1"/>
                <w:color w:val="auto"/>
              </w:rPr>
            </w:pPr>
          </w:p>
        </w:tc>
      </w:tr>
      <w:tr>
        <w:trPr>
          <w:trHeight w:val="348"/>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04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320" w:type="dxa"/>
            <w:vAlign w:val="bottom"/>
          </w:tcPr>
          <w:p>
            <w:pPr>
              <w:ind w:left="32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 AGRIFY CORPORATION</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76 TREBLE COVE ROAD,</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BUILDING 3</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BILLERICA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01862</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Agrify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AGFY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Josh Savitz, attorney-</w:t>
            </w:r>
          </w:p>
        </w:tc>
        <w:tc>
          <w:tcPr>
            <w:tcW w:w="2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07/21/2022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LIMITED POWER OF ATTORNEY</w:t>
      </w:r>
    </w:p>
    <w:p>
      <w:pPr>
        <w:spacing w:after="0" w:line="200" w:lineRule="exact"/>
        <w:rPr>
          <w:sz w:val="20"/>
          <w:szCs w:val="20"/>
          <w:color w:val="auto"/>
        </w:rPr>
      </w:pPr>
    </w:p>
    <w:p>
      <w:pPr>
        <w:spacing w:after="0" w:line="29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undersigned, Max Holtzman, hereby appoints Robert Petitt and Chad Porter of Burns &amp; Levinson LLP of Boston, Massachusetts, and other designated attorneys, and Kathrine LeBlanc and Michael Cifelli, each a paralegal of such firm, as well as Joshua Savitz, Associate General Counsel of Agrify Corporation, a Nevada corporation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to be his true and lawful attorney-in-fact (his “</w:t>
      </w:r>
      <w:r>
        <w:rPr>
          <w:rFonts w:ascii="Times New Roman" w:cs="Times New Roman" w:eastAsia="Times New Roman" w:hAnsi="Times New Roman"/>
          <w:sz w:val="20"/>
          <w:szCs w:val="20"/>
          <w:b w:val="1"/>
          <w:bCs w:val="1"/>
          <w:u w:val="single" w:color="auto"/>
          <w:color w:val="auto"/>
        </w:rPr>
        <w:t>Attorney</w:t>
      </w:r>
      <w:r>
        <w:rPr>
          <w:rFonts w:ascii="Times New Roman" w:cs="Times New Roman" w:eastAsia="Times New Roman" w:hAnsi="Times New Roman"/>
          <w:sz w:val="20"/>
          <w:szCs w:val="20"/>
          <w:color w:val="auto"/>
        </w:rPr>
        <w:t>”) in his name and on his behalf to:</w:t>
      </w:r>
    </w:p>
    <w:p>
      <w:pPr>
        <w:spacing w:after="0" w:line="200" w:lineRule="exact"/>
        <w:rPr>
          <w:sz w:val="20"/>
          <w:szCs w:val="20"/>
          <w:color w:val="auto"/>
        </w:rPr>
      </w:pPr>
    </w:p>
    <w:p>
      <w:pPr>
        <w:ind w:right="340" w:firstLine="720"/>
        <w:spacing w:after="0" w:line="282" w:lineRule="auto"/>
        <w:tabs>
          <w:tab w:leader="none" w:pos="135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acknowledge, deliver and file SEC Form ID’s and any other documents necessary with the United States Securities and Exchange Commission on behalf of the undersigned to obtain filing codes for the undersigned;</w:t>
      </w:r>
    </w:p>
    <w:p>
      <w:pPr>
        <w:spacing w:after="0" w:line="179" w:lineRule="exact"/>
        <w:rPr>
          <w:rFonts w:ascii="Times New Roman" w:cs="Times New Roman" w:eastAsia="Times New Roman" w:hAnsi="Times New Roman"/>
          <w:sz w:val="20"/>
          <w:szCs w:val="20"/>
          <w:color w:val="auto"/>
        </w:rPr>
      </w:pPr>
    </w:p>
    <w:p>
      <w:pPr>
        <w:jc w:val="both"/>
        <w:ind w:right="220" w:firstLine="720"/>
        <w:spacing w:after="0" w:line="261" w:lineRule="auto"/>
        <w:tabs>
          <w:tab w:leader="none" w:pos="130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acknowledge, deliver and file Forms 3, 4, and 5 (including any amendments thereto) with respect to the securities of the Company, with the United States Securities and Exchange Commission, any national securities exchanges and the Company, all as considered necessary or advisable under Section 16(a) of the Securities Exchange Act of 1934 and the rules and regulations promulgated thereunder, as amended from time to time (the “</w:t>
      </w:r>
      <w:r>
        <w:rPr>
          <w:rFonts w:ascii="Times New Roman" w:cs="Times New Roman" w:eastAsia="Times New Roman" w:hAnsi="Times New Roman"/>
          <w:sz w:val="20"/>
          <w:szCs w:val="20"/>
          <w:b w:val="1"/>
          <w:bCs w:val="1"/>
          <w:u w:val="single" w:color="auto"/>
          <w:color w:val="auto"/>
        </w:rPr>
        <w:t>Exchange Act</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ind w:firstLine="720"/>
        <w:spacing w:after="0" w:line="258" w:lineRule="auto"/>
        <w:tabs>
          <w:tab w:leader="none" w:pos="130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if necessary or advisable in connection with performing the acts described in (1) above or under Section 16(a) of the Exchange Act,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4" w:lineRule="exact"/>
        <w:rPr>
          <w:rFonts w:ascii="Times New Roman" w:cs="Times New Roman" w:eastAsia="Times New Roman" w:hAnsi="Times New Roman"/>
          <w:sz w:val="20"/>
          <w:szCs w:val="20"/>
          <w:color w:val="auto"/>
        </w:rPr>
      </w:pPr>
    </w:p>
    <w:p>
      <w:pPr>
        <w:ind w:right="460" w:firstLine="720"/>
        <w:spacing w:after="0" w:line="282" w:lineRule="auto"/>
        <w:tabs>
          <w:tab w:leader="none" w:pos="130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any and all other acts which in the discretion of such attorney-in-fact are necessary or desirable for and on behalf of the undersigned in connection with the foregoing.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and agrees that:</w:t>
      </w:r>
    </w:p>
    <w:p>
      <w:pPr>
        <w:spacing w:after="0" w:line="250" w:lineRule="exact"/>
        <w:rPr>
          <w:sz w:val="20"/>
          <w:szCs w:val="20"/>
          <w:color w:val="auto"/>
        </w:rPr>
      </w:pPr>
    </w:p>
    <w:p>
      <w:pPr>
        <w:ind w:right="200" w:firstLine="720"/>
        <w:spacing w:after="0" w:line="258" w:lineRule="auto"/>
        <w:tabs>
          <w:tab w:leader="none" w:pos="170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authorizes, but does not require, such attorney-in-fact to act in their discretion on information provided to such attorney-in-fact without independent verification of such information and such attorney-in-fact may presume that any such information he receives is accurate and complete and he has no obligation to independently verify such information and is not responsible for any liability based on the inaccuracy or incompleteness of such information as it is provided by the undersigned;</w:t>
      </w:r>
    </w:p>
    <w:p>
      <w:pPr>
        <w:spacing w:after="0" w:line="204" w:lineRule="exact"/>
        <w:rPr>
          <w:rFonts w:ascii="Times New Roman" w:cs="Times New Roman" w:eastAsia="Times New Roman" w:hAnsi="Times New Roman"/>
          <w:sz w:val="20"/>
          <w:szCs w:val="20"/>
          <w:color w:val="auto"/>
        </w:rPr>
      </w:pPr>
    </w:p>
    <w:p>
      <w:pPr>
        <w:ind w:right="180" w:firstLine="720"/>
        <w:spacing w:after="0" w:line="266" w:lineRule="auto"/>
        <w:tabs>
          <w:tab w:leader="none" w:pos="170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and/or executed by such attorney-in-fact on behalf of the undersigned pursuant to this Limited Power of Attorney will be in such form and will contain such information and disclosure as such attorney-in-fact, in his or her discretion, deems necessary or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213360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ind w:right="20" w:firstLine="720"/>
        <w:spacing w:after="0" w:line="266" w:lineRule="auto"/>
        <w:tabs>
          <w:tab w:leader="none" w:pos="170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95" w:lineRule="exact"/>
        <w:rPr>
          <w:rFonts w:ascii="Times New Roman" w:cs="Times New Roman" w:eastAsia="Times New Roman" w:hAnsi="Times New Roman"/>
          <w:sz w:val="20"/>
          <w:szCs w:val="20"/>
          <w:color w:val="auto"/>
        </w:rPr>
      </w:pPr>
    </w:p>
    <w:p>
      <w:pPr>
        <w:jc w:val="both"/>
        <w:ind w:right="500" w:firstLine="720"/>
        <w:spacing w:after="0" w:line="266" w:lineRule="auto"/>
        <w:tabs>
          <w:tab w:leader="none" w:pos="170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does not relieve the undersigned from responsibility for compliance with the undersigned's obligations under the Exchange Act, including without limitation the reporting requirements under Section 16 of the Exchange Act; and</w:t>
      </w:r>
    </w:p>
    <w:p>
      <w:pPr>
        <w:spacing w:after="0" w:line="195" w:lineRule="exact"/>
        <w:rPr>
          <w:rFonts w:ascii="Times New Roman" w:cs="Times New Roman" w:eastAsia="Times New Roman" w:hAnsi="Times New Roman"/>
          <w:sz w:val="20"/>
          <w:szCs w:val="20"/>
          <w:color w:val="auto"/>
        </w:rPr>
      </w:pPr>
    </w:p>
    <w:p>
      <w:pPr>
        <w:ind w:right="300" w:firstLine="720"/>
        <w:spacing w:after="0" w:line="261" w:lineRule="auto"/>
        <w:tabs>
          <w:tab w:leader="none" w:pos="170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also hereby agrees that the Attorney shall not be liable for any error of judgment or for any act reasonably done or step reasonably taken or omitted in good faith, and that the undersigned agrees to indemnify, defend on a current basis, and hold harmless the Attorney from and against any and all claims, obligations, liabilities or causes of action asserted by any person relating to or arising out of, or as a consequence of, any such action or omission hereunder.</w:t>
      </w:r>
    </w:p>
    <w:p>
      <w:pPr>
        <w:spacing w:after="0" w:line="185" w:lineRule="exact"/>
        <w:rPr>
          <w:sz w:val="20"/>
          <w:szCs w:val="20"/>
          <w:color w:val="auto"/>
        </w:rPr>
      </w:pPr>
    </w:p>
    <w:p>
      <w:pPr>
        <w:ind w:right="280" w:firstLine="720"/>
        <w:spacing w:after="0" w:line="258" w:lineRule="auto"/>
        <w:rPr>
          <w:sz w:val="20"/>
          <w:szCs w:val="20"/>
          <w:color w:val="auto"/>
        </w:rPr>
      </w:pPr>
      <w:r>
        <w:rPr>
          <w:rFonts w:ascii="Times New Roman" w:cs="Times New Roman" w:eastAsia="Times New Roman" w:hAnsi="Times New Roman"/>
          <w:sz w:val="20"/>
          <w:szCs w:val="20"/>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 on behalf of the undersigned, shall lawfully do or cause to be done by virtue of this Limited Power of Attorney. This Limited Power of Attorney shall remain in full force and effect until revoked by the undersigned in a signed writing delivered to such attorney-in-fact.</w:t>
      </w:r>
    </w:p>
    <w:p>
      <w:pPr>
        <w:spacing w:after="0" w:line="205"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This Limited Power of Attorney may be filed with the United States Securities and Exchange Commission, any other federal, state or foreign securities regulators, and other entities as a confirming statement of the authority granted herein.</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this Limited Power of Attorney has been duly executed this 15th day of July, 2022.</w:t>
      </w:r>
    </w:p>
    <w:p>
      <w:pPr>
        <w:spacing w:after="0" w:line="200" w:lineRule="exact"/>
        <w:rPr>
          <w:sz w:val="20"/>
          <w:szCs w:val="20"/>
          <w:color w:val="auto"/>
        </w:rPr>
      </w:pPr>
    </w:p>
    <w:p>
      <w:pPr>
        <w:spacing w:after="0" w:line="24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20"/>
          <w:szCs w:val="20"/>
          <w:color w:val="auto"/>
        </w:rPr>
        <w:t>/s/ Max Holtzman</w:t>
      </w:r>
    </w:p>
    <w:p>
      <w:pPr>
        <w:spacing w:after="0" w:line="30"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20"/>
          <w:szCs w:val="20"/>
          <w:color w:val="auto"/>
        </w:rPr>
        <w:t>Max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-145415</wp:posOffset>
            </wp:positionV>
            <wp:extent cx="22872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2872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244475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8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38929" TargetMode="External"/><Relationship Id="rId11"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2022-07-21T15:37:46Z</dcterms:created>
  <dcterms:modified xsi:type="dcterms:W3CDTF">2022-07-21T15:37:46Z</dcterms:modified>
</cp:coreProperties>
</file>