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14, 2022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AGRIFY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2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Billerica, MA 01862</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 Agreement</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March 14, 2022, Agrify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Securities Purchase Agreement (the “</w:t>
      </w:r>
      <w:r>
        <w:rPr>
          <w:rFonts w:ascii="Arial" w:cs="Arial" w:eastAsia="Arial" w:hAnsi="Arial"/>
          <w:sz w:val="16"/>
          <w:szCs w:val="16"/>
          <w:u w:val="single" w:color="auto"/>
          <w:color w:val="auto"/>
        </w:rPr>
        <w:t>Securities Purchase Agreement</w:t>
      </w:r>
      <w:r>
        <w:rPr>
          <w:rFonts w:ascii="Arial" w:cs="Arial" w:eastAsia="Arial" w:hAnsi="Arial"/>
          <w:sz w:val="16"/>
          <w:szCs w:val="16"/>
          <w:color w:val="auto"/>
        </w:rPr>
        <w:t>”) with an accredited investor (the “</w:t>
      </w:r>
      <w:r>
        <w:rPr>
          <w:rFonts w:ascii="Arial" w:cs="Arial" w:eastAsia="Arial" w:hAnsi="Arial"/>
          <w:sz w:val="16"/>
          <w:szCs w:val="16"/>
          <w:u w:val="single" w:color="auto"/>
          <w:color w:val="auto"/>
        </w:rPr>
        <w:t>Investor</w:t>
      </w:r>
      <w:r>
        <w:rPr>
          <w:rFonts w:ascii="Arial" w:cs="Arial" w:eastAsia="Arial" w:hAnsi="Arial"/>
          <w:sz w:val="16"/>
          <w:szCs w:val="16"/>
          <w:color w:val="auto"/>
        </w:rPr>
        <w:t>”), pursuant to which, among other things, the Company agreed to issue and sell to the Investor, in a private placement transaction (the “</w:t>
      </w:r>
      <w:r>
        <w:rPr>
          <w:rFonts w:ascii="Arial" w:cs="Arial" w:eastAsia="Arial" w:hAnsi="Arial"/>
          <w:sz w:val="16"/>
          <w:szCs w:val="16"/>
          <w:u w:val="single" w:color="auto"/>
          <w:color w:val="auto"/>
        </w:rPr>
        <w:t>Private Placement</w:t>
      </w:r>
      <w:r>
        <w:rPr>
          <w:rFonts w:ascii="Arial" w:cs="Arial" w:eastAsia="Arial" w:hAnsi="Arial"/>
          <w:sz w:val="16"/>
          <w:szCs w:val="16"/>
          <w:color w:val="auto"/>
        </w:rPr>
        <w:t>”), in exchange for the payment by the Investor of $65,000,000, less applicable expenses as set forth in the Securities Purchase Agreement, (i) a senior secured promissory note in an aggregate principal amount of $65,000,000 (the “</w:t>
      </w:r>
      <w:r>
        <w:rPr>
          <w:rFonts w:ascii="Arial" w:cs="Arial" w:eastAsia="Arial" w:hAnsi="Arial"/>
          <w:sz w:val="16"/>
          <w:szCs w:val="16"/>
          <w:u w:val="single" w:color="auto"/>
          <w:color w:val="auto"/>
        </w:rPr>
        <w:t>Note</w:t>
      </w:r>
      <w:r>
        <w:rPr>
          <w:rFonts w:ascii="Arial" w:cs="Arial" w:eastAsia="Arial" w:hAnsi="Arial"/>
          <w:sz w:val="16"/>
          <w:szCs w:val="16"/>
          <w:color w:val="auto"/>
        </w:rPr>
        <w:t>”), and (ii) a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to purchase up to an aggregate of 6,881,108 shares of common stock of the Company,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6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Note will be a senior secured obligation of the Company and ranks senior to all indebtedness of the Company. The Company will be required to make amortization payments equal to 4.0% of the original principal amount of the Note on the first day of each calendar month starting on February 1, 2023 and extending through the maturity date of March 1, 2026 (the “Maturity Date”), at which time all remaining outstanding principal and accrued but unpaid interest will be due. The Note will have a stated interest rate of 6.75% per annum, and the Company will be required to pay interest on March 1, June 1, September 1 and December 1 of each calendar year through and including the Maturity Date. Following the one-year anniversary of the Note’s issuance, the Company may, in lieu of paying interest in cash, pay such interest in kind, in which case interest on the Note will be calculated at the rate of 8.75% per annum and will be added to the principal amount of the Note.</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any time following the one-year anniversary of the Note’s issuance, the Company may prepay all (but not less than all) of the Note by redemption at a price equal to 106.75% of the then-outstanding principal amount under the Note plus accrued but unpaid interest. The Investor will also have the option of requiring the Company to redeem the Note if the Company undergoes a fundamental change at a price equal to 107% of the then-outstanding principal amount under the Note plus any accrued interest thereon.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equal to 65% of such principal amount divided by the closing price of the Common Stock on the trading day immediately prior to such subsequent closing.</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Note will impose certain customary affirmative and negative covenants upon the Company, as well as covenants that (i) restrict the Company and its subsidiaries from incurring any additional indebtedness or suffering any liens, subject to specified exceptions, (ii) restrict the ability of the Company and its subsidiaries from making certain investments, subject to specified exceptions, (iii) restrict the declaration of any dividends or other distributions, subject to specified exceptions, (iv) require the Company to maintain specified earnings and adjusted EBDITA targets, and (v) require the Company to maintain minimum amounts of cash on hand. If an event of default under the Note occurs, the Investor can elect to redeem the Note for cash equal to 115% of the then-outstanding principal amount of the Note (or such lesser principal amount accelerated by the Investor), plus accrued and unpaid interest, including default interest, which accrues at a rate per annum equal to 15% from the date of a default or event of default.</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Until the date the Note is fully repaid, the Investor will, subject to certain exceptions, have the right to participate for up to 30% of any debt, preferred stock or equity-linked financing of the Company or its subsidiaries.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Warrant to be issued in the initial closing will have an exercise price of $6.75 per share, subject to adjustment for stock splits, reverse stock splits, stock dividends and similar transactions, will be immediately exercisable, has a term of five and one-half years from the date of issuance and will be exercisable on a cash basis, unless there is not an effective registration statement covering the resale of the shares issuable upon exercise of the Warrant (the “</w:t>
      </w:r>
      <w:r>
        <w:rPr>
          <w:rFonts w:ascii="Arial" w:cs="Arial" w:eastAsia="Arial" w:hAnsi="Arial"/>
          <w:sz w:val="18"/>
          <w:szCs w:val="18"/>
          <w:u w:val="single" w:color="auto"/>
          <w:color w:val="auto"/>
        </w:rPr>
        <w:t>Warrant Shares</w:t>
      </w:r>
      <w:r>
        <w:rPr>
          <w:rFonts w:ascii="Arial" w:cs="Arial" w:eastAsia="Arial" w:hAnsi="Arial"/>
          <w:sz w:val="18"/>
          <w:szCs w:val="18"/>
          <w:color w:val="auto"/>
        </w:rPr>
        <w:t>”), in which case the Warrant shall also be exercisable on a cashless exercise basis at the Investor’s election. The Securities Purchase Agreement requires the Company to file resale registration statements with respect to the Warrant Shares as soon as practicable and in any event within 45 days following the initial closing and any subsequent closings.</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Warrant will provide that in no event will the number of shares of Common Stock issued upon exercise of the Warrant result in the Investor’s beneficial ownership exceeding 4.99% of the Company’s shares outstanding at the time of exercise (which percentage may be decreased or increased by the Investor, but to no greater than 9.99%, and provided that any increase above 4.99% will not be effective until the sixty-first (61st) day after notice of such request by the Investor to increase its beneficial ownership limit has been delivered to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200"/>
        <w:spacing w:after="0" w:line="342" w:lineRule="auto"/>
        <w:rPr>
          <w:sz w:val="20"/>
          <w:szCs w:val="20"/>
          <w:color w:val="auto"/>
        </w:rPr>
      </w:pPr>
      <w:r>
        <w:rPr>
          <w:rFonts w:ascii="Arial" w:cs="Arial" w:eastAsia="Arial" w:hAnsi="Arial"/>
          <w:sz w:val="16"/>
          <w:szCs w:val="16"/>
          <w:color w:val="auto"/>
        </w:rPr>
        <w:t>The Securities Purchase Agreement also contains customary representations and warranties of the Company and the Investor. There is no material relationship between the Company or its affiliates and the Investor other than in respect of the Securities Purchase Agreement, the Note and the Warrant.</w:t>
      </w:r>
    </w:p>
    <w:p>
      <w:pPr>
        <w:spacing w:after="0" w:line="12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foregoing summaries of the Securities Purchase Agreement, the Note and the Warrant do not purport to be complete and are qualified in their entirety by reference to the copies of the Securities Purchase Agreement, the form of Warrant and the form of Note that are filed herewith as Exhibits 10.1, 4.1 and 4.2, respectively.</w:t>
      </w:r>
    </w:p>
    <w:p>
      <w:pPr>
        <w:spacing w:after="0" w:line="18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representations, warranties and covenants contained in the Securities Purchase Agreement were made only for purposes of such agreement and as of specific dates, were solely for the benefit of the parties to the Securities Purchase Agreement, and may be subject to limitations agreed upon by the contracting parties. Accordingly, the Securities Purchase Agreement is incorporated herein by reference only to provide investors with information regarding the terms of the Securities Purchase Agreement, and not to provide investors with any other factual information regarding the Company or its business, and should be read in conjunction with the disclosures in the Company’s periodic reports and other filings with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A.G.P. / Alliance Global Partners is acting as the exclusive placement agent in connection with the Private Placement.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in Item 1.01 of this Current Report on Form 8-K regarding the Note is incorporated herein by reference into this Item 2.03.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Securities.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set forth in Item 1.01 of this Current Report on Form 8-K regarding the Private Placement is incorporated herein by reference into this Item 3.02.</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 the Warrant, and the Warrant Shares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will be offered and sold to the Investor in a transaction exempt from registration under the Securities Act in reliance on Section 4(a)(2) thereof and Rule 506(b) of Regulation D thereunder. The Investor represented that it was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Neither this Current Report on Form 8-K nor the exhibits attached hereto is an offer to sell or the solicitation of an offer to buy shares of Common Stock, notes, warrants or any other securities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March 14, 2022, the Company issued a press release announcing its entry into the Securities Purchase Agreement. A copy of the press release is attached as Exhibit 99.1 to this Current Report on Form 8-K and is incorporated herein by reference.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as applicable,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6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Form of Warrant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Form of Senior Secured Note</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Securities Purchase Agreement, dated as of March 14, 2022, by and among Agrify Corporation and the investors listed on the Schedule of</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4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Buyers thereto</w:t>
              </w:r>
            </w:hyperlink>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Press Release of the registrant dated March 14,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340" w:right="2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but not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Timothy R. Oakes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5" w:name="page6"/>
    <w:bookmarkEnd w:id="5"/>
    <w:p>
      <w:pPr>
        <w:ind w:left="1040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SECURITIES REPRESENTED BY THIS WARRANT, AND THE SECURITIES ISSUABLE UPON EXERCISE HEREOF,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OR AN OPINION OF COUNSEL IN A FORM REASONABLY SATISFACTORY TO THE ISSUER THAT REGISTRATION IS NOT REQUIRED UNDER SAID ACT OR APPLICABLE STATE SECURITIES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Warrant No.: </w:t>
      </w:r>
      <w:r>
        <w:rPr>
          <w:rFonts w:ascii="Arial" w:cs="Arial" w:eastAsia="Arial" w:hAnsi="Arial"/>
          <w:sz w:val="18"/>
          <w:szCs w:val="18"/>
          <w:u w:val="single" w:color="auto"/>
          <w:color w:val="auto"/>
        </w:rPr>
        <w:t>HTCS-1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6,881,108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__, 2022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Agrify Corporation, a corporation organized under the laws of Nevada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High Trail Special Situations LLC,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at any time or times on or after the Issuance Date (the “</w:t>
      </w:r>
      <w:r>
        <w:rPr>
          <w:rFonts w:ascii="Arial" w:cs="Arial" w:eastAsia="Arial" w:hAnsi="Arial"/>
          <w:sz w:val="17"/>
          <w:szCs w:val="17"/>
          <w:b w:val="1"/>
          <w:bCs w:val="1"/>
          <w:color w:val="auto"/>
        </w:rPr>
        <w:t>Initial Exercisability Date</w:t>
      </w:r>
      <w:r>
        <w:rPr>
          <w:rFonts w:ascii="Arial" w:cs="Arial" w:eastAsia="Arial" w:hAnsi="Arial"/>
          <w:sz w:val="17"/>
          <w:szCs w:val="17"/>
          <w:color w:val="auto"/>
        </w:rPr>
        <w:t>”), but not after 11:59 p.m., New York time, on the Expiration Date (as defined below), six million eight hundred eighty one thousand one hundred and eight (6,881,108) duly authorized, validly issued, fully paid and non-assessable shares of Common Stock (as defined below),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7"/>
          <w:szCs w:val="17"/>
          <w:b w:val="1"/>
          <w:bCs w:val="1"/>
          <w:color w:val="auto"/>
        </w:rPr>
        <w:t>Warrant</w:t>
      </w:r>
      <w:r>
        <w:rPr>
          <w:rFonts w:ascii="Arial" w:cs="Arial" w:eastAsia="Arial" w:hAnsi="Arial"/>
          <w:sz w:val="17"/>
          <w:szCs w:val="17"/>
          <w:color w:val="auto"/>
        </w:rPr>
        <w:t xml:space="preserve">”), shall have the meanings set forth in </w:t>
      </w:r>
      <w:r>
        <w:rPr>
          <w:rFonts w:ascii="Arial" w:cs="Arial" w:eastAsia="Arial" w:hAnsi="Arial"/>
          <w:sz w:val="17"/>
          <w:szCs w:val="17"/>
          <w:u w:val="single" w:color="auto"/>
          <w:color w:val="auto"/>
        </w:rPr>
        <w:t>Section 19</w:t>
      </w:r>
      <w:r>
        <w:rPr>
          <w:rFonts w:ascii="Arial" w:cs="Arial" w:eastAsia="Arial" w:hAnsi="Arial"/>
          <w:sz w:val="17"/>
          <w:szCs w:val="17"/>
          <w:color w:val="auto"/>
        </w:rPr>
        <w:t>. This Warrant is one of the Warrants to Purchase Common Stock (the “</w:t>
      </w:r>
      <w:r>
        <w:rPr>
          <w:rFonts w:ascii="Arial" w:cs="Arial" w:eastAsia="Arial" w:hAnsi="Arial"/>
          <w:sz w:val="17"/>
          <w:szCs w:val="17"/>
          <w:b w:val="1"/>
          <w:bCs w:val="1"/>
          <w:color w:val="auto"/>
        </w:rPr>
        <w:t>Warrants</w:t>
      </w:r>
      <w:r>
        <w:rPr>
          <w:rFonts w:ascii="Arial" w:cs="Arial" w:eastAsia="Arial" w:hAnsi="Arial"/>
          <w:sz w:val="17"/>
          <w:szCs w:val="17"/>
          <w:color w:val="auto"/>
        </w:rPr>
        <w:t>”) issued pursuant to that certain Securities Purchase Agreement (the “</w:t>
      </w:r>
      <w:r>
        <w:rPr>
          <w:rFonts w:ascii="Arial" w:cs="Arial" w:eastAsia="Arial" w:hAnsi="Arial"/>
          <w:sz w:val="17"/>
          <w:szCs w:val="17"/>
          <w:b w:val="1"/>
          <w:bCs w:val="1"/>
          <w:color w:val="auto"/>
        </w:rPr>
        <w:t>Securities Purchase Agreement</w:t>
      </w:r>
      <w:r>
        <w:rPr>
          <w:rFonts w:ascii="Arial" w:cs="Arial" w:eastAsia="Arial" w:hAnsi="Arial"/>
          <w:sz w:val="17"/>
          <w:szCs w:val="17"/>
          <w:color w:val="auto"/>
        </w:rPr>
        <w:t>”), dated as of March 14, 2022 (the “</w:t>
      </w:r>
      <w:r>
        <w:rPr>
          <w:rFonts w:ascii="Arial" w:cs="Arial" w:eastAsia="Arial" w:hAnsi="Arial"/>
          <w:sz w:val="17"/>
          <w:szCs w:val="17"/>
          <w:b w:val="1"/>
          <w:bCs w:val="1"/>
          <w:color w:val="auto"/>
        </w:rPr>
        <w:t>Subscription Date</w:t>
      </w:r>
      <w:r>
        <w:rPr>
          <w:rFonts w:ascii="Arial" w:cs="Arial" w:eastAsia="Arial" w:hAnsi="Arial"/>
          <w:sz w:val="17"/>
          <w:szCs w:val="17"/>
          <w:color w:val="auto"/>
        </w:rPr>
        <w:t>”) by and among the Company and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1472" w:hanging="176"/>
        <w:spacing w:after="0"/>
        <w:tabs>
          <w:tab w:leader="none" w:pos="1472"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ind w:left="-8" w:right="20" w:firstLine="1952"/>
        <w:spacing w:after="0" w:line="283" w:lineRule="auto"/>
        <w:tabs>
          <w:tab w:leader="none" w:pos="2180" w:val="left"/>
        </w:tabs>
        <w:numPr>
          <w:ilvl w:val="2"/>
          <w:numId w:val="3"/>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this Warrant may be exercised by the Holder at any time or times on or after the Initial Exercisability Date, in whole or in part, by delivery (whether via electronic mail or otherwise) of a duly completed and executed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two (2) Trading Days following the delivery of the Exercise Notice, if a registration statement covering the issuance or resale of the applicable Exercise Notice Warrant Shares (as defined below) is available for the issuance or resale, as applicable, of such Exercise Notice Warrant Shares, the Holder shall make payment to the Company of an amount equal to the Exercise Price in effect on the date of such exercise multiplied by the number of Warrant Shares as to which this Warrant is being exercised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by wire transfer of immediately available funds or, if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1(d)</w:t>
      </w:r>
      <w:r>
        <w:rPr>
          <w:rFonts w:ascii="Arial" w:cs="Arial" w:eastAsia="Arial" w:hAnsi="Arial"/>
          <w:sz w:val="16"/>
          <w:szCs w:val="16"/>
          <w:b w:val="1"/>
          <w:bCs w:val="1"/>
          <w:color w:val="auto"/>
        </w:rPr>
        <w:t xml:space="preserve"> </w:t>
      </w:r>
      <w:r>
        <w:rPr>
          <w:rFonts w:ascii="Arial" w:cs="Arial" w:eastAsia="Arial" w:hAnsi="Arial"/>
          <w:sz w:val="16"/>
          <w:szCs w:val="16"/>
          <w:color w:val="auto"/>
        </w:rPr>
        <w:t>are applicable, by notifying the Company that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Warrant is being exercised pursuant to a Cashless Exercise (as defined in </w:t>
      </w:r>
      <w:r>
        <w:rPr>
          <w:rFonts w:ascii="Arial" w:cs="Arial" w:eastAsia="Arial" w:hAnsi="Arial"/>
          <w:sz w:val="16"/>
          <w:szCs w:val="16"/>
          <w:u w:val="single" w:color="auto"/>
          <w:color w:val="auto"/>
        </w:rPr>
        <w:t>Section 1(d)</w:t>
      </w:r>
      <w:r>
        <w:rPr>
          <w:rFonts w:ascii="Arial" w:cs="Arial" w:eastAsia="Arial" w:hAnsi="Arial"/>
          <w:sz w:val="16"/>
          <w:szCs w:val="16"/>
          <w:color w:val="auto"/>
        </w:rPr>
        <w:t>).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w:t>
      </w:r>
    </w:p>
    <w:p>
      <w:pPr>
        <w:spacing w:after="0" w:line="1" w:lineRule="exact"/>
        <w:rPr>
          <w:rFonts w:ascii="Arial" w:cs="Arial" w:eastAsia="Arial" w:hAnsi="Arial"/>
          <w:sz w:val="16"/>
          <w:szCs w:val="16"/>
          <w:color w:val="auto"/>
        </w:rPr>
      </w:pPr>
    </w:p>
    <w:p>
      <w:pPr>
        <w:ind w:left="-8" w:firstLine="8"/>
        <w:spacing w:after="0" w:line="282" w:lineRule="auto"/>
        <w:tabs>
          <w:tab w:leader="none" w:pos="247"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Trading Days of the date on which the final Exercise Notice is delivered to the Company. On or before the first (1st) Trading Day following the date on which the Holder has delivered the applicable Exercise Notice, the Company shall transmit by electronic mail a duly executed and completed acknowledgment of confirmation of receipt of the Exercise Notice, in the form attached to the Exercise Notice,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xml:space="preserve">”). So long as the Holder delivers the Aggregate Exercise Price (or notice of a Cashless Exercise, if applicable) on or prior to the first (1st) Trading Day following the date on which the Exercise Notice has been delivered (or deemed to have been delivered) to the Company, then on or prior to the earlier of (i) the second (2nd) Trading Day and (ii) the number of Trading Days comprising the Standard Settlement Period, in each case following the date on which the Exercise Notice has been delivered (or deemed to have been delivered) to the Company, or, if the Holder does not deliver the Aggregate Exercise Price (or notice of a Cashless Exercise, if applicable) on or prior to the first (1st) Trading Day following the date on which the Exercise Notice has been delivered (or deemed to have been delivered) to the Company, then on or prior to the first (1st) Trading Day following the date on which the Aggregate Exercise Price (or notice of a Cashless Exercise, if applicable) is delivered (such earlier date, or if later, the earliest day on which the Company is required to deliver Warrant Shares pursuant to this </w:t>
      </w:r>
      <w:r>
        <w:rPr>
          <w:rFonts w:ascii="Arial" w:cs="Arial" w:eastAsia="Arial" w:hAnsi="Arial"/>
          <w:sz w:val="16"/>
          <w:szCs w:val="16"/>
          <w:u w:val="single" w:color="auto"/>
          <w:color w:val="auto"/>
        </w:rPr>
        <w:t>Section 1(a)</w:t>
      </w:r>
      <w:r>
        <w:rPr>
          <w:rFonts w:ascii="Arial" w:cs="Arial" w:eastAsia="Arial" w:hAnsi="Arial"/>
          <w:sz w:val="16"/>
          <w:szCs w:val="16"/>
          <w:color w:val="auto"/>
        </w:rPr>
        <w:t>, the “</w:t>
      </w:r>
      <w:r>
        <w:rPr>
          <w:rFonts w:ascii="Arial" w:cs="Arial" w:eastAsia="Arial" w:hAnsi="Arial"/>
          <w:sz w:val="16"/>
          <w:szCs w:val="16"/>
          <w:b w:val="1"/>
          <w:bCs w:val="1"/>
          <w:color w:val="auto"/>
        </w:rPr>
        <w:t>Share Delivery Date</w:t>
      </w:r>
      <w:r>
        <w:rPr>
          <w:rFonts w:ascii="Arial" w:cs="Arial" w:eastAsia="Arial" w:hAnsi="Arial"/>
          <w:sz w:val="16"/>
          <w:szCs w:val="16"/>
          <w:color w:val="auto"/>
        </w:rPr>
        <w:t>”),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credit such aggregate number of Warrant Shares to which the Holder is entitled pursuant to such exercise to the Holder’s or its designee’s balance account with DTC through its Deposit / Withdrawal At Custodian system, or (Y) if the Transfer Agent is not participating in FAST,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(or deemed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w:t>
      </w:r>
      <w:r>
        <w:rPr>
          <w:rFonts w:ascii="Arial" w:cs="Arial" w:eastAsia="Arial" w:hAnsi="Arial"/>
          <w:sz w:val="16"/>
          <w:szCs w:val="16"/>
          <w:u w:val="single" w:color="auto"/>
          <w:color w:val="auto"/>
        </w:rPr>
        <w:t>Section 77(d)</w:t>
      </w:r>
      <w:r>
        <w:rPr>
          <w:rFonts w:ascii="Arial" w:cs="Arial" w:eastAsia="Arial" w:hAnsi="Arial"/>
          <w:sz w:val="16"/>
          <w:szCs w:val="16"/>
          <w:color w:val="auto"/>
        </w:rPr>
        <w:t xml:space="preserve">)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provided,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the Person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(except for consents and waivers provided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recovery of any judgment against any Person or any action to enforce the same, or any setoff, counterclaim, recoupment, limitation or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5572" w:hanging="136"/>
        <w:spacing w:after="0"/>
        <w:tabs>
          <w:tab w:leader="none" w:pos="5572" w:val="left"/>
        </w:tabs>
        <w:numPr>
          <w:ilvl w:val="3"/>
          <w:numId w:val="4"/>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7" w:name="page8"/>
    <w:bookmarkEnd w:id="7"/>
    <w:p>
      <w:pPr>
        <w:ind w:left="19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Exercise Price</w:t>
      </w:r>
      <w:r>
        <w:rPr>
          <w:rFonts w:ascii="Arial" w:cs="Arial" w:eastAsia="Arial" w:hAnsi="Arial"/>
          <w:sz w:val="16"/>
          <w:szCs w:val="16"/>
          <w:color w:val="auto"/>
        </w:rPr>
        <w:t>. For purposes of this Warrant, “</w:t>
      </w:r>
      <w:r>
        <w:rPr>
          <w:rFonts w:ascii="Arial" w:cs="Arial" w:eastAsia="Arial" w:hAnsi="Arial"/>
          <w:sz w:val="16"/>
          <w:szCs w:val="16"/>
          <w:b w:val="1"/>
          <w:bCs w:val="1"/>
          <w:color w:val="auto"/>
        </w:rPr>
        <w:t>Exercise Price</w:t>
      </w:r>
      <w:r>
        <w:rPr>
          <w:rFonts w:ascii="Arial" w:cs="Arial" w:eastAsia="Arial" w:hAnsi="Arial"/>
          <w:sz w:val="16"/>
          <w:szCs w:val="16"/>
          <w:color w:val="auto"/>
        </w:rPr>
        <w:t>” means $6.75 per share, subject to adjustment as provided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firstLine="1952"/>
        <w:spacing w:after="0" w:line="283" w:lineRule="auto"/>
        <w:tabs>
          <w:tab w:leader="none" w:pos="218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applicable Share Delivery Date, if (x) the Transfer Agent is not participating in FAST, to issue to the Holder a certificate for the number of shares of Common Stock to which the Holder is entitled and register such Common Stock on the Company’s share register or (y) the Transfer Agent is participating in FAST, to credit the Holder’s balance account with DTC, for such number of shares of Common Stock to which the Holder is entitled upon the Holder’s exercise of this Warrant (such shares to which Holder is entitled being, the “</w:t>
      </w:r>
      <w:r>
        <w:rPr>
          <w:rFonts w:ascii="Arial" w:cs="Arial" w:eastAsia="Arial" w:hAnsi="Arial"/>
          <w:sz w:val="16"/>
          <w:szCs w:val="16"/>
          <w:b w:val="1"/>
          <w:bCs w:val="1"/>
          <w:color w:val="auto"/>
        </w:rPr>
        <w:t>Exercise Notice Warrant Shares</w:t>
      </w:r>
      <w:r>
        <w:rPr>
          <w:rFonts w:ascii="Arial" w:cs="Arial" w:eastAsia="Arial" w:hAnsi="Arial"/>
          <w:sz w:val="16"/>
          <w:szCs w:val="16"/>
          <w:color w:val="auto"/>
        </w:rPr>
        <w:t>”), then, in addition to all other remedies available to the Holder, if on or prior to the applicable Share Delivery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b w:val="1"/>
          <w:bCs w:val="1"/>
          <w:color w:val="auto"/>
        </w:rPr>
        <w:t>Buy-In</w:t>
      </w:r>
      <w:r>
        <w:rPr>
          <w:rFonts w:ascii="Arial" w:cs="Arial" w:eastAsia="Arial" w:hAnsi="Arial"/>
          <w:sz w:val="16"/>
          <w:szCs w:val="16"/>
          <w:color w:val="auto"/>
        </w:rPr>
        <w:t xml:space="preserve">”), then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by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written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As of the Issuance Date, the Company’s current transfer agent participates in FAST. In the event that the Company changes transfer agents while this Warrant is outstanding, the Company shall use commercially reasonable efforts to select a transfer agent that participates in FAST. While this Warrant is outstanding, the Company shall request its transfer agent to participate in FAST with respect to this Warrant. In addition to the foregoing rights, (i) if the Company fails to deliver the applicable number of Warrant Shares upon an exercise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or otherwise. In addition to the foregoing, if the Company fails for any reason to deliver to the Holder the Warrant Shares subject to an Exercise Notice by the second Trading Day following the Share Delivery Date, the Company shall pay to the Holder, in cash, as liquidated damages and not as a penalty, for each $1,000 of Warrant Shares subject to such exercise (based on the Weighted Average Price of the Common Stock on the date of the applicable Exercise Notice), $10 per Trading Day (increasing to $20 per Trading Day on the fifth Trading Day after such liquidated damages begin to accrue) for each Trading Day after the Share Delivery Date until such Warrant Shares are delivered or Holder rescinds such exercise.</w:t>
      </w:r>
    </w:p>
    <w:p>
      <w:pPr>
        <w:spacing w:after="0" w:line="395" w:lineRule="exact"/>
        <w:rPr>
          <w:rFonts w:ascii="Arial" w:cs="Arial" w:eastAsia="Arial" w:hAnsi="Arial"/>
          <w:sz w:val="16"/>
          <w:szCs w:val="16"/>
          <w:color w:val="auto"/>
        </w:rPr>
      </w:pPr>
    </w:p>
    <w:p>
      <w:pPr>
        <w:ind w:left="5580" w:hanging="136"/>
        <w:spacing w:after="0"/>
        <w:tabs>
          <w:tab w:leader="none" w:pos="5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right="140" w:firstLine="1952"/>
        <w:spacing w:after="0" w:line="257" w:lineRule="auto"/>
        <w:tabs>
          <w:tab w:leader="none" w:pos="219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if a registration statement covering the issuance or resale of the applicable Exercise Notice Warrant Shares is not available for the issuance or resale, as applicable, of such Exercise Notice Warrant Shares, then in lieu of making the cash payment otherwise contemplated to be made to the Company upon such exercise in payment of the Aggregate Exercise Price, the Holder may elect to receive upon such exercise the “Net Number” of shares of Common Stock determined according to the following formula (a “</w:t>
      </w:r>
      <w:r>
        <w:rPr>
          <w:rFonts w:ascii="Arial" w:cs="Arial" w:eastAsia="Arial" w:hAnsi="Arial"/>
          <w:sz w:val="18"/>
          <w:szCs w:val="18"/>
          <w:b w:val="1"/>
          <w:bCs w:val="1"/>
          <w:color w:val="auto"/>
        </w:rPr>
        <w:t>Cashless Exercise</w:t>
      </w:r>
      <w:r>
        <w:rPr>
          <w:rFonts w:ascii="Arial" w:cs="Arial" w:eastAsia="Arial" w:hAnsi="Arial"/>
          <w:sz w:val="18"/>
          <w:szCs w:val="18"/>
          <w:color w:val="auto"/>
        </w:rPr>
        <w:t>”):</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620" w:right="20" w:hanging="323"/>
        <w:spacing w:after="0" w:line="269" w:lineRule="auto"/>
        <w:rPr>
          <w:sz w:val="20"/>
          <w:szCs w:val="20"/>
          <w:color w:val="auto"/>
        </w:rPr>
      </w:pPr>
      <w:r>
        <w:rPr>
          <w:rFonts w:ascii="Arial" w:cs="Arial" w:eastAsia="Arial" w:hAnsi="Arial"/>
          <w:sz w:val="17"/>
          <w:szCs w:val="17"/>
          <w:color w:val="auto"/>
        </w:rPr>
        <w:t xml:space="preserve">B= as applicable: (i) the Closing Sale Price of the Common Stock on the Trading Day immediately preceding the date of the applicable Exercise Notice if such Exercise Notice is (1) both executed and delivered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on a day that is not a Trading Day or (2) both executed and delivered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on a Trading Day prior to the opening of “regular trading hours” (as defined in Rule 600(b)(68) of Regulation NMS promulgated under the federal securities laws) on such Trading Day, (ii) at the option of the Holder, either (y) the Weighted Average Price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or (iii) the Closing Sale Price of the Common Stock on the date of the applicable Exercise Notice if the date of such Exercise Notice is a Trading Day and such Exercise Notice is both executed and delivered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after the close of “regular trading hours” on such Trading Day.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Warrant Shares are issued in such a cashless exercise, the Company acknowledges and agrees that in accordance with Section 3(a)(9)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the Warrant Shares shall take on the registered characteristics of the Warrants being exercised, and the holding period of the Warrants being exercised may be tacked on to the holding period of the Warrant Shares. The Company agrees not to take any position contrary to this </w:t>
      </w:r>
      <w:r>
        <w:rPr>
          <w:rFonts w:ascii="Arial" w:cs="Arial" w:eastAsia="Arial" w:hAnsi="Arial"/>
          <w:sz w:val="16"/>
          <w:szCs w:val="16"/>
          <w:u w:val="single" w:color="auto"/>
          <w:color w:val="auto"/>
        </w:rPr>
        <w:t>Section 1(d)</w:t>
      </w:r>
      <w:r>
        <w:rPr>
          <w:rFonts w:ascii="Arial" w:cs="Arial" w:eastAsia="Arial" w:hAnsi="Arial"/>
          <w:sz w:val="16"/>
          <w:szCs w:val="16"/>
          <w:color w:val="auto"/>
        </w:rPr>
        <w:t xml:space="preserve">. Without limiting the rights of a Holder to receive Warrant Shares on a “cashless exercise,” and to receive the cash payments contemplated pursuant to </w:t>
      </w:r>
      <w:r>
        <w:rPr>
          <w:rFonts w:ascii="Arial" w:cs="Arial" w:eastAsia="Arial" w:hAnsi="Arial"/>
          <w:sz w:val="16"/>
          <w:szCs w:val="16"/>
          <w:u w:val="single" w:color="auto"/>
          <w:color w:val="auto"/>
        </w:rPr>
        <w:t>Sections 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4(b)</w:t>
      </w:r>
      <w:r>
        <w:rPr>
          <w:rFonts w:ascii="Arial" w:cs="Arial" w:eastAsia="Arial" w:hAnsi="Arial"/>
          <w:sz w:val="16"/>
          <w:szCs w:val="16"/>
          <w:color w:val="auto"/>
        </w:rPr>
        <w:t>, in no event will the Company be required to net cash settle a Warrant exercise. Any Cashless Exercise of this Warrant shall have the effect of lowering the outstanding number of Warrant Shares purchasable hereunder by an amount equal to the number of Warrant Shares that would be issuable upon exercise of this Warrant in accordance with the terms of this Warrant if such exercise were by means of a cash exercise rather than a Cashless Exercise and not the number of Warrant Shares actually received by the Holder.</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 w:name="page10"/>
    <w:bookmarkEnd w:id="9"/>
    <w:p>
      <w:pPr>
        <w:jc w:val="both"/>
        <w:ind w:left="-1120" w:right="280" w:firstLine="1952"/>
        <w:spacing w:after="0" w:line="263" w:lineRule="auto"/>
        <w:tabs>
          <w:tab w:leader="none" w:pos="106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Warrant Shares, the Company shall promptly issue to the Holder the number of Warrant Shares that are not disputed and resolve such dispute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120" w:firstLine="1952"/>
        <w:spacing w:after="0" w:line="283" w:lineRule="auto"/>
        <w:tabs>
          <w:tab w:leader="none" w:pos="104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the aggregate in excess of 4.99% (the “</w:t>
      </w:r>
      <w:r>
        <w:rPr>
          <w:rFonts w:ascii="Arial" w:cs="Arial" w:eastAsia="Arial" w:hAnsi="Arial"/>
          <w:sz w:val="16"/>
          <w:szCs w:val="16"/>
          <w:b w:val="1"/>
          <w:bCs w:val="1"/>
          <w:color w:val="auto"/>
        </w:rPr>
        <w:t>Maximum</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of the number of shares of Common Stock outstanding immediately after giving effect to such exercise. For purposes of the foregoing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any other Warrants) beneficially owned by the Holder or any other Attribution Party subject to a limitation on conversion or exercise analogous to the limitation contained in this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1(f)</w:t>
      </w:r>
      <w:r>
        <w:rPr>
          <w:rFonts w:ascii="Arial" w:cs="Arial" w:eastAsia="Arial" w:hAnsi="Arial"/>
          <w:sz w:val="16"/>
          <w:szCs w:val="16"/>
          <w:color w:val="auto"/>
        </w:rPr>
        <w:t>,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Reports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w:t>
      </w:r>
      <w:r>
        <w:rPr>
          <w:rFonts w:ascii="Arial" w:cs="Arial" w:eastAsia="Arial" w:hAnsi="Arial"/>
          <w:sz w:val="16"/>
          <w:szCs w:val="16"/>
          <w:u w:val="single" w:color="auto"/>
          <w:color w:val="auto"/>
        </w:rPr>
        <w:t>Section 1(f)</w:t>
      </w:r>
      <w:r>
        <w:rPr>
          <w:rFonts w:ascii="Arial" w:cs="Arial" w:eastAsia="Arial" w:hAnsi="Arial"/>
          <w:sz w:val="16"/>
          <w:szCs w:val="16"/>
          <w:color w:val="auto"/>
        </w:rPr>
        <w:t>,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or to make changes or supplements necessary or desirable to properly give effect to such limitation. The limitation contained in this paragraph may not be waived and shall apply to a successor holder of this Warrant. The Holder hereby acknowledges and agrees that the Company shall be entitled to rely on the representations and other information set forth in any Exercise Notice and shall not be required to independently verify whether any exercise of this Warrant would cause the Holder (together with the other Attribution Parties) to collectively beneficially own in excess of the Maximum Percentage of the number of shares of Common Stock outstanding after giving effect to such exercise or otherwise trigger the provisions of this </w:t>
      </w:r>
      <w:r>
        <w:rPr>
          <w:rFonts w:ascii="Arial" w:cs="Arial" w:eastAsia="Arial" w:hAnsi="Arial"/>
          <w:sz w:val="16"/>
          <w:szCs w:val="16"/>
          <w:u w:val="single" w:color="auto"/>
          <w:color w:val="auto"/>
        </w:rPr>
        <w:t>Section 1(f)</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397" w:lineRule="exact"/>
        <w:rPr>
          <w:rFonts w:ascii="Arial" w:cs="Arial" w:eastAsia="Arial" w:hAnsi="Arial"/>
          <w:sz w:val="16"/>
          <w:szCs w:val="16"/>
          <w:color w:val="auto"/>
        </w:rPr>
      </w:pPr>
    </w:p>
    <w:p>
      <w:pPr>
        <w:ind w:left="4460" w:hanging="136"/>
        <w:spacing w:after="0"/>
        <w:tabs>
          <w:tab w:leader="none" w:pos="4460" w:val="left"/>
        </w:tabs>
        <w:numPr>
          <w:ilvl w:val="1"/>
          <w:numId w:val="7"/>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ind w:left="-1120" w:firstLine="1952"/>
        <w:spacing w:after="0" w:line="268" w:lineRule="auto"/>
        <w:tabs>
          <w:tab w:leader="none" w:pos="107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Required Reserve Amount</w:t>
      </w:r>
      <w:r>
        <w:rPr>
          <w:rFonts w:ascii="Arial" w:cs="Arial" w:eastAsia="Arial" w:hAnsi="Arial"/>
          <w:sz w:val="17"/>
          <w:szCs w:val="17"/>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the number of shares of Common Stock reserved pursuant to this </w:t>
      </w:r>
      <w:r>
        <w:rPr>
          <w:rFonts w:ascii="Arial" w:cs="Arial" w:eastAsia="Arial" w:hAnsi="Arial"/>
          <w:sz w:val="17"/>
          <w:szCs w:val="17"/>
          <w:u w:val="single" w:color="auto"/>
          <w:color w:val="auto"/>
        </w:rPr>
        <w:t>Section 1(g)</w:t>
      </w:r>
      <w:r>
        <w:rPr>
          <w:rFonts w:ascii="Arial" w:cs="Arial" w:eastAsia="Arial" w:hAnsi="Arial"/>
          <w:sz w:val="17"/>
          <w:szCs w:val="17"/>
          <w:color w:val="auto"/>
        </w:rPr>
        <w:t xml:space="preserve"> be reduced other than in connection with any exercise of Warrants or such other event covered by </w:t>
      </w:r>
      <w:r>
        <w:rPr>
          <w:rFonts w:ascii="Arial" w:cs="Arial" w:eastAsia="Arial" w:hAnsi="Arial"/>
          <w:sz w:val="17"/>
          <w:szCs w:val="17"/>
          <w:u w:val="single" w:color="auto"/>
          <w:color w:val="auto"/>
        </w:rPr>
        <w:t>Section 22(b)</w:t>
      </w:r>
      <w:r>
        <w:rPr>
          <w:rFonts w:ascii="Arial" w:cs="Arial" w:eastAsia="Arial" w:hAnsi="Arial"/>
          <w:sz w:val="17"/>
          <w:szCs w:val="17"/>
          <w:color w:val="auto"/>
        </w:rPr>
        <w:t>.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 Each share of Common Stock delivered upon exercise of this Warrant will be a newly issued or treasury 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upon exercise of this Warrant, when delivered upon such exercise, to be admitted for listing on such exchange or quotation on such system.</w:t>
      </w:r>
    </w:p>
    <w:p>
      <w:pPr>
        <w:spacing w:after="0" w:line="388" w:lineRule="exact"/>
        <w:rPr>
          <w:rFonts w:ascii="Arial" w:cs="Arial" w:eastAsia="Arial" w:hAnsi="Arial"/>
          <w:sz w:val="17"/>
          <w:szCs w:val="17"/>
          <w:color w:val="auto"/>
        </w:rPr>
      </w:pPr>
    </w:p>
    <w:p>
      <w:pPr>
        <w:ind w:left="4460" w:hanging="136"/>
        <w:spacing w:after="0"/>
        <w:tabs>
          <w:tab w:leader="none" w:pos="4460" w:val="left"/>
        </w:tabs>
        <w:numPr>
          <w:ilvl w:val="1"/>
          <w:numId w:val="8"/>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ind w:left="-1120" w:firstLine="1952"/>
        <w:spacing w:after="0" w:line="284" w:lineRule="auto"/>
        <w:tabs>
          <w:tab w:leader="none" w:pos="107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reasonably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the Company’s management shall recommend to the Company’s board of directors that it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addition to the foregoing, in the event of any Authorized Share Failure that results in the failure of the Company to deliver any shares of Common Stock that would have otherwise been deliverable pursuant to an Exercise Notice (such shares the “</w:t>
      </w:r>
      <w:r>
        <w:rPr>
          <w:rFonts w:ascii="Arial" w:cs="Arial" w:eastAsia="Arial" w:hAnsi="Arial"/>
          <w:sz w:val="16"/>
          <w:szCs w:val="16"/>
          <w:b w:val="1"/>
          <w:bCs w:val="1"/>
          <w:color w:val="auto"/>
        </w:rPr>
        <w:t>Authorized Shares Failure Shares</w:t>
      </w:r>
      <w:r>
        <w:rPr>
          <w:rFonts w:ascii="Arial" w:cs="Arial" w:eastAsia="Arial" w:hAnsi="Arial"/>
          <w:sz w:val="16"/>
          <w:szCs w:val="16"/>
          <w:color w:val="auto"/>
        </w:rPr>
        <w:t>”), (1) the Company will promptly pay to the Holder, as liquidated damages and not as a penalty, cash in an amount equal (i) to the product of (x) the number of such Authorized Shares Failure Shares; and (y)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 and (2) to the extent the Holder purchases (in an open market transaction or otherwise) shares of Common Stock to deliver in settlement of a sale by the Holder of such Authorized Shares Failure Shares, the Company will reimburse the Holder for (x) any brokerage commissions and other out-of-pocket expenses, if any, of the Holder incurred in connection with such purchases and (y) the excess, if any, of (A) the aggregate purchase price of such purchases over (B) an amount equal to (i) the product of (I) the number of such Authorized Shares Failure Shares purchased by the Holder; and (II)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w:t>
      </w:r>
    </w:p>
    <w:p>
      <w:pPr>
        <w:spacing w:after="0" w:line="174" w:lineRule="exact"/>
        <w:rPr>
          <w:rFonts w:ascii="Arial" w:cs="Arial" w:eastAsia="Arial" w:hAnsi="Arial"/>
          <w:sz w:val="16"/>
          <w:szCs w:val="16"/>
          <w:color w:val="auto"/>
        </w:rPr>
      </w:pPr>
    </w:p>
    <w:p>
      <w:pPr>
        <w:ind w:left="-1120" w:right="60" w:firstLine="1952"/>
        <w:spacing w:after="0" w:line="286" w:lineRule="auto"/>
        <w:tabs>
          <w:tab w:leader="none" w:pos="103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Stock Exchange Limitations</w:t>
      </w:r>
      <w:r>
        <w:rPr>
          <w:rFonts w:ascii="Arial" w:cs="Arial" w:eastAsia="Arial" w:hAnsi="Arial"/>
          <w:sz w:val="16"/>
          <w:szCs w:val="16"/>
          <w:color w:val="auto"/>
        </w:rPr>
        <w:t>. Notwithstanding anything to the contrary in this Warrant, if shareholder approval would otherwise be required under Nasdaq Rule 5635(d) with respect to the issuance of this Warrant, until the Requisite Stockholder Approval (as such term is used in the Securities Purchase Agreement) is obtained, in no event will the number of shares of Common Stock issuable upon exercise of the Warrants, together with all shares of Common Stock issued in respect of the Notes (as defined in the Securities Purchase Agreement), exceed 5,308,578 shares in the aggregate. If, commencing one hundred and eighty (180) days following the issuance of any Warrants that require the Requisite Stockholder Approval under Nasdaq Rule 5635(d), one or more shares of Common Stock are not delivered at any time as a result of the operation of the preceding sentence (such shares, the “Withheld Shares”), then (1) the Company will promptly pay to the Holder, as liquidated damages and not as a penalty, cash in an amount equal to the product of (x) the number of such Withheld Shares; and (y) the Daily VWAP per share of Common Stock on the date the Holder delivered the applicable Exercise Notice hereunder (or, if such date is not a VWAP Trading Day, the immediately preceding VWAP Trading Day); and (2) to the extent the Holder purchases (in an open market transaction or otherwise) shares of Common Stock to deliver in settlement of a sale by the Holder of such Withheld Shares, the Company will reimburse the Holder for (x) any brokerage commissions and other out-of-pocket expenses, if any, of the Holder incurred in connection with such purchases and (y) the excess, if any, of (A) the aggregate purchase price of such purchases over (B) the product of (I) the number of such Withheld Shares purchased by the Holder; and (II) the Daily VWAP per share of Common Stock on the date the Holder delivered the applicable Exercise Notice hereunder (or, if such date is not a VWAP Trading Day, the immediately preceding VWAP Trading Day).</w:t>
      </w:r>
    </w:p>
    <w:p>
      <w:pPr>
        <w:spacing w:after="0" w:line="379" w:lineRule="exact"/>
        <w:rPr>
          <w:rFonts w:ascii="Arial" w:cs="Arial" w:eastAsia="Arial" w:hAnsi="Arial"/>
          <w:sz w:val="16"/>
          <w:szCs w:val="16"/>
          <w:color w:val="auto"/>
        </w:rPr>
      </w:pPr>
    </w:p>
    <w:p>
      <w:pPr>
        <w:ind w:left="4460" w:hanging="136"/>
        <w:spacing w:after="0"/>
        <w:tabs>
          <w:tab w:leader="none" w:pos="4460" w:val="left"/>
        </w:tabs>
        <w:numPr>
          <w:ilvl w:val="1"/>
          <w:numId w:val="9"/>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ind w:left="-1120" w:right="220" w:firstLine="1304"/>
        <w:spacing w:after="0" w:line="277" w:lineRule="auto"/>
        <w:tabs>
          <w:tab w:leader="none" w:pos="35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70" w:lineRule="exact"/>
        <w:rPr>
          <w:rFonts w:ascii="Arial" w:cs="Arial" w:eastAsia="Arial" w:hAnsi="Arial"/>
          <w:sz w:val="18"/>
          <w:szCs w:val="18"/>
          <w:color w:val="auto"/>
        </w:rPr>
      </w:pPr>
    </w:p>
    <w:p>
      <w:pPr>
        <w:ind w:left="-1120" w:right="180" w:firstLine="1952"/>
        <w:spacing w:after="0" w:line="277" w:lineRule="auto"/>
        <w:tabs>
          <w:tab w:leader="none" w:pos="1068"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The Company may at any time during the term of this Warrant reduce the then-current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ind w:left="-1120" w:firstLine="1952"/>
        <w:spacing w:after="0" w:line="272" w:lineRule="auto"/>
        <w:tabs>
          <w:tab w:leader="none" w:pos="1079"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Common Stock</w:t>
      </w:r>
      <w:r>
        <w:rPr>
          <w:rFonts w:ascii="Arial" w:cs="Arial" w:eastAsia="Arial" w:hAnsi="Arial"/>
          <w:sz w:val="17"/>
          <w:szCs w:val="17"/>
          <w:color w:val="auto"/>
        </w:rPr>
        <w:t xml:space="preserve">.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shall become effective at the close of business on the date the subdivision or combination becomes effective.</w:t>
      </w:r>
    </w:p>
    <w:p>
      <w:pPr>
        <w:spacing w:after="0" w:line="177" w:lineRule="exact"/>
        <w:rPr>
          <w:rFonts w:ascii="Arial" w:cs="Arial" w:eastAsia="Arial" w:hAnsi="Arial"/>
          <w:sz w:val="17"/>
          <w:szCs w:val="17"/>
          <w:color w:val="auto"/>
        </w:rPr>
      </w:pPr>
    </w:p>
    <w:p>
      <w:pPr>
        <w:ind w:left="-1120" w:right="140" w:firstLine="1304"/>
        <w:spacing w:after="0" w:line="268" w:lineRule="auto"/>
        <w:tabs>
          <w:tab w:leader="none" w:pos="35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2" w:lineRule="exact"/>
        <w:rPr>
          <w:rFonts w:ascii="Arial" w:cs="Arial" w:eastAsia="Arial" w:hAnsi="Arial"/>
          <w:sz w:val="17"/>
          <w:szCs w:val="17"/>
          <w:color w:val="auto"/>
        </w:rPr>
      </w:pPr>
    </w:p>
    <w:p>
      <w:pPr>
        <w:ind w:left="4460" w:hanging="136"/>
        <w:spacing w:after="0"/>
        <w:tabs>
          <w:tab w:leader="none" w:pos="4460" w:val="left"/>
        </w:tabs>
        <w:numPr>
          <w:ilvl w:val="2"/>
          <w:numId w:val="10"/>
        </w:numPr>
        <w:rPr>
          <w:rFonts w:ascii="Arial" w:cs="Arial" w:eastAsia="Arial" w:hAnsi="Arial"/>
          <w:sz w:val="22"/>
          <w:szCs w:val="22"/>
          <w:color w:val="auto"/>
        </w:rPr>
      </w:pPr>
      <w:r>
        <w:rPr>
          <w:rFonts w:ascii="Arial" w:cs="Arial" w:eastAsia="Arial" w:hAnsi="Arial"/>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ind w:left="360" w:hanging="176"/>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rFonts w:ascii="Arial" w:cs="Arial" w:eastAsia="Arial" w:hAnsi="Arial"/>
          <w:sz w:val="18"/>
          <w:szCs w:val="18"/>
          <w:color w:val="auto"/>
        </w:rPr>
      </w:pPr>
    </w:p>
    <w:p>
      <w:pPr>
        <w:ind w:left="-1120" w:firstLine="1952"/>
        <w:spacing w:after="0" w:line="268" w:lineRule="auto"/>
        <w:tabs>
          <w:tab w:leader="none" w:pos="1068"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84" w:lineRule="exact"/>
        <w:rPr>
          <w:rFonts w:ascii="Arial" w:cs="Arial" w:eastAsia="Arial" w:hAnsi="Arial"/>
          <w:sz w:val="17"/>
          <w:szCs w:val="17"/>
          <w:color w:val="auto"/>
        </w:rPr>
      </w:pPr>
    </w:p>
    <w:p>
      <w:pPr>
        <w:ind w:left="-1120" w:right="20" w:firstLine="1952"/>
        <w:spacing w:after="0" w:line="283" w:lineRule="auto"/>
        <w:tabs>
          <w:tab w:leader="none" w:pos="1079"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xml:space="preserve">. The Company shall not enter into or be party to a Fundamental Transaction unless the Successor Entity assumes in writing all of the obligations of the Company under this Warrant in accordance with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w:t>
      </w:r>
      <w:r>
        <w:rPr>
          <w:rFonts w:ascii="Arial" w:cs="Arial" w:eastAsia="Arial" w:hAnsi="Arial"/>
          <w:sz w:val="16"/>
          <w:szCs w:val="16"/>
          <w:u w:val="single" w:color="auto"/>
          <w:color w:val="auto"/>
        </w:rPr>
        <w:t>Sections 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4(a)</w:t>
      </w:r>
      <w:r>
        <w:rPr>
          <w:rFonts w:ascii="Arial" w:cs="Arial" w:eastAsia="Arial" w:hAnsi="Arial"/>
          <w:sz w:val="16"/>
          <w:szCs w:val="16"/>
          <w:color w:val="auto"/>
        </w:rPr>
        <w:t xml:space="preser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1(f)</w:t>
      </w:r>
      <w:r>
        <w:rPr>
          <w:rFonts w:ascii="Arial" w:cs="Arial" w:eastAsia="Arial" w:hAnsi="Arial"/>
          <w:sz w:val="16"/>
          <w:szCs w:val="16"/>
          <w:color w:val="auto"/>
        </w:rPr>
        <w:t xml:space="preserve"> hereof, the Holder may elect, at its sole option, by delivery of written notice to the Company to waive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w:t>
      </w:r>
      <w:r>
        <w:rPr>
          <w:rFonts w:ascii="Arial" w:cs="Arial" w:eastAsia="Arial" w:hAnsi="Arial"/>
          <w:sz w:val="16"/>
          <w:szCs w:val="16"/>
          <w:u w:val="single" w:color="auto"/>
          <w:color w:val="auto"/>
        </w:rPr>
        <w:t>Sections 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4(a)</w:t>
      </w:r>
      <w:r>
        <w:rPr>
          <w:rFonts w:ascii="Arial" w:cs="Arial" w:eastAsia="Arial" w:hAnsi="Arial"/>
          <w:sz w:val="16"/>
          <w:szCs w:val="16"/>
          <w:color w:val="auto"/>
        </w:rPr>
        <w:t xml:space="preser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apply similarly and equally to successive Fundamental Transactions and Corporate Events. Notwithstanding the foregoing, in the event of a Change of Control, at the request of the Holder delivered before the 30th day after such Change of Control, the Company (or the Successor Entity) shall purchase this Warrant from the Holder by paying to the Holder, within five (5) Business Days after such request (or, if later, on the effective date of the Change of Control), an amount equal to the Black Scholes Value of the remaining unexercised portion of this Warrant on the effective date of such Change of Control, payable in cash; provided, however, that, if the Change of Control is not within the Company’s control, including not approved by the Company’s Board of Directors, Holder shall only be entitled to receive from the Company or any Successor Entity, as of the date of consummation of such Change of Control, the same type or form of consideration (and in the same proportion), at the Black Scholes Value of the unexercised portion of this Warrant, that is being offered and paid to the holders of Common Stock of the Company in connection with the Change of Control, whether that consideration be in the form of cash, stock or any combination thereof, or whether the holders of Common Stock are given the choice to receive from among alternative forms of consideration in connection with the Change of Control; provided, further, that if holders of Common Stock are not offered or paid any consideration in such Change of Control, such holders of Common Stock will be deemed to have received common stock of the Successor Entity (which entity may be the Company following such Change of Control) in such Change of Control.</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4460" w:hanging="136"/>
        <w:spacing w:after="0"/>
        <w:tabs>
          <w:tab w:leader="none" w:pos="4460" w:val="left"/>
        </w:tabs>
        <w:numPr>
          <w:ilvl w:val="2"/>
          <w:numId w:val="11"/>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ind w:left="-1120" w:firstLine="1304"/>
        <w:spacing w:after="0" w:line="269" w:lineRule="auto"/>
        <w:tabs>
          <w:tab w:leader="none" w:pos="35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1120" w:right="60" w:firstLine="1304"/>
        <w:spacing w:after="0" w:line="288" w:lineRule="auto"/>
        <w:tabs>
          <w:tab w:leader="none" w:pos="35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w:t>
      </w:r>
      <w:r>
        <w:rPr>
          <w:rFonts w:ascii="Arial" w:cs="Arial" w:eastAsia="Arial" w:hAnsi="Arial"/>
          <w:sz w:val="16"/>
          <w:szCs w:val="16"/>
          <w:u w:val="single" w:color="auto"/>
          <w:color w:val="auto"/>
        </w:rPr>
        <w:t>Section 6</w:t>
      </w:r>
      <w:r>
        <w:rPr>
          <w:rFonts w:ascii="Arial" w:cs="Arial" w:eastAsia="Arial" w:hAnsi="Arial"/>
          <w:sz w:val="16"/>
          <w:szCs w:val="16"/>
          <w:color w:val="auto"/>
        </w:rPr>
        <w:t>, the Company shall provide the Holder with copies of the same notices and other information given to the stockholders of the Company generally, contemporaneously with the giving thereof to the stockholders.</w:t>
      </w:r>
    </w:p>
    <w:p>
      <w:pPr>
        <w:spacing w:after="0" w:line="377" w:lineRule="exact"/>
        <w:rPr>
          <w:rFonts w:ascii="Arial" w:cs="Arial" w:eastAsia="Arial" w:hAnsi="Arial"/>
          <w:sz w:val="16"/>
          <w:szCs w:val="16"/>
          <w:color w:val="auto"/>
        </w:rPr>
      </w:pPr>
    </w:p>
    <w:p>
      <w:pPr>
        <w:ind w:left="4400" w:hanging="130"/>
        <w:spacing w:after="0"/>
        <w:tabs>
          <w:tab w:leader="none" w:pos="44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15" w:name="page16"/>
    <w:bookmarkEnd w:id="15"/>
    <w:p>
      <w:pPr>
        <w:ind w:left="360" w:hanging="176"/>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p>
    <w:p>
      <w:pPr>
        <w:spacing w:after="0" w:line="225" w:lineRule="exact"/>
        <w:rPr>
          <w:rFonts w:ascii="Arial" w:cs="Arial" w:eastAsia="Arial" w:hAnsi="Arial"/>
          <w:sz w:val="18"/>
          <w:szCs w:val="18"/>
          <w:color w:val="auto"/>
        </w:rPr>
      </w:pPr>
    </w:p>
    <w:p>
      <w:pPr>
        <w:ind w:left="-1120" w:firstLine="1952"/>
        <w:spacing w:after="0" w:line="272" w:lineRule="auto"/>
        <w:tabs>
          <w:tab w:leader="none" w:pos="1068"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Transfer of Warrant</w:t>
      </w:r>
      <w:r>
        <w:rPr>
          <w:rFonts w:ascii="Arial" w:cs="Arial" w:eastAsia="Arial" w:hAnsi="Arial"/>
          <w:sz w:val="17"/>
          <w:szCs w:val="17"/>
          <w:color w:val="auto"/>
        </w:rPr>
        <w:t xml:space="preserve">. If this Warrant is to be transferred, the Holder shall notify the Company and surrender this Warrant to the Company, whereupon the Company will forthwith issue and deliver upon the order of the Holder a new Warrant (in accordance with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registered as the Holder may request, representing the right to purchase the number of Warrant Shares being transferred by the Holder and, if less than the total number of Warrant Shares then underlying this Warrant is being transferred, a new Warrant (in accordance with </w:t>
      </w:r>
      <w:r>
        <w:rPr>
          <w:rFonts w:ascii="Arial" w:cs="Arial" w:eastAsia="Arial" w:hAnsi="Arial"/>
          <w:sz w:val="17"/>
          <w:szCs w:val="17"/>
          <w:u w:val="single" w:color="auto"/>
          <w:color w:val="auto"/>
        </w:rPr>
        <w:t>Section 7(d)</w:t>
      </w:r>
      <w:r>
        <w:rPr>
          <w:rFonts w:ascii="Arial" w:cs="Arial" w:eastAsia="Arial" w:hAnsi="Arial"/>
          <w:sz w:val="17"/>
          <w:szCs w:val="17"/>
          <w:color w:val="auto"/>
        </w:rPr>
        <w:t>) to the Holder representing the right to purchase the number of Warrant Shares not being transferred. The Company shall not be obligated to pay any tax which may be payable with respect to any transfer (or deemed transfer) arising in connection with the registration of any certificates for Warrant Shares or Warrants in the name of any Person other than the Holder.</w:t>
      </w:r>
    </w:p>
    <w:p>
      <w:pPr>
        <w:spacing w:after="0" w:line="177" w:lineRule="exact"/>
        <w:rPr>
          <w:rFonts w:ascii="Arial" w:cs="Arial" w:eastAsia="Arial" w:hAnsi="Arial"/>
          <w:sz w:val="17"/>
          <w:szCs w:val="17"/>
          <w:color w:val="auto"/>
        </w:rPr>
      </w:pPr>
    </w:p>
    <w:p>
      <w:pPr>
        <w:ind w:left="-1120" w:right="80" w:firstLine="1952"/>
        <w:spacing w:after="0" w:line="257" w:lineRule="auto"/>
        <w:tabs>
          <w:tab w:leader="none" w:pos="1079"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Warrant</w:t>
      </w:r>
      <w:r>
        <w:rPr>
          <w:rFonts w:ascii="Arial" w:cs="Arial" w:eastAsia="Arial" w:hAnsi="Arial"/>
          <w:sz w:val="18"/>
          <w:szCs w:val="18"/>
          <w:color w:val="auto"/>
        </w:rPr>
        <w:t xml:space="preserve">.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representing the right to purchase the Warrant Shares then underlying this Warrant.</w:t>
      </w:r>
    </w:p>
    <w:p>
      <w:pPr>
        <w:spacing w:after="0" w:line="187" w:lineRule="exact"/>
        <w:rPr>
          <w:rFonts w:ascii="Arial" w:cs="Arial" w:eastAsia="Arial" w:hAnsi="Arial"/>
          <w:sz w:val="18"/>
          <w:szCs w:val="18"/>
          <w:color w:val="auto"/>
        </w:rPr>
      </w:pPr>
    </w:p>
    <w:p>
      <w:pPr>
        <w:ind w:left="-1120" w:right="60" w:firstLine="1952"/>
        <w:spacing w:after="0" w:line="259" w:lineRule="auto"/>
        <w:tabs>
          <w:tab w:leader="none" w:pos="106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xml:space="preserve">. This Warrant is exchangeable, upon the surrender hereof by the Holder at the principal office of the Company, for a new Warrant or Warrants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186" w:lineRule="exact"/>
        <w:rPr>
          <w:rFonts w:ascii="Arial" w:cs="Arial" w:eastAsia="Arial" w:hAnsi="Arial"/>
          <w:sz w:val="18"/>
          <w:szCs w:val="18"/>
          <w:color w:val="auto"/>
        </w:rPr>
      </w:pPr>
    </w:p>
    <w:p>
      <w:pPr>
        <w:ind w:left="-1120" w:right="60" w:firstLine="1952"/>
        <w:spacing w:after="0" w:line="293" w:lineRule="auto"/>
        <w:tabs>
          <w:tab w:leader="none" w:pos="1079"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7(c)</w:t>
      </w:r>
      <w:r>
        <w:rPr>
          <w:rFonts w:ascii="Arial" w:cs="Arial" w:eastAsia="Arial" w:hAnsi="Arial"/>
          <w:sz w:val="16"/>
          <w:szCs w:val="16"/>
          <w:color w:val="auto"/>
        </w:rPr>
        <w:t>,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73" w:lineRule="exact"/>
        <w:rPr>
          <w:rFonts w:ascii="Arial" w:cs="Arial" w:eastAsia="Arial" w:hAnsi="Arial"/>
          <w:sz w:val="16"/>
          <w:szCs w:val="16"/>
          <w:color w:val="auto"/>
        </w:rPr>
      </w:pPr>
    </w:p>
    <w:p>
      <w:pPr>
        <w:ind w:left="4400" w:hanging="126"/>
        <w:spacing w:after="0"/>
        <w:tabs>
          <w:tab w:leader="none" w:pos="4400" w:val="left"/>
        </w:tabs>
        <w:numPr>
          <w:ilvl w:val="2"/>
          <w:numId w:val="13"/>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16" w:name="page17"/>
    <w:bookmarkEnd w:id="16"/>
    <w:p>
      <w:pPr>
        <w:ind w:firstLine="1304"/>
        <w:spacing w:after="0" w:line="270" w:lineRule="auto"/>
        <w:tabs>
          <w:tab w:leader="none" w:pos="147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prior to 5:00 p.m. (New York time) on a Trading Day and (E) the next Trading Day after the date of transmission, if delivered by electronic mail to each of the email addresses specified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on a day that is not a Trading Day or later than 5:00 p.m. (New York time) on any Trading Day, and will be delivered and addressed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76 Treble Cove Road, Building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Billerica, MA 01862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(919) 619-7346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Joshua Savitz, Esq., Associate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josh.savitz@agrify.com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Burns &amp; Levinson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 High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(617) 345-3000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Frank A. Segall,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fsegall@burnslev.com</w:t>
      </w:r>
    </w:p>
    <w:p>
      <w:pPr>
        <w:spacing w:after="0" w:line="211" w:lineRule="exact"/>
        <w:rPr>
          <w:sz w:val="20"/>
          <w:szCs w:val="20"/>
          <w:color w:val="auto"/>
        </w:rPr>
      </w:pPr>
    </w:p>
    <w:p>
      <w:pPr>
        <w:ind w:right="60" w:firstLine="1304"/>
        <w:spacing w:after="0" w:line="277" w:lineRule="auto"/>
        <w:tabs>
          <w:tab w:leader="none" w:pos="15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to the Holder, at such address or other contact information delivered by the Holder to Company or as is on the books and records of the Company (provided that, with respect to the Holder, such notice may only be delivered via electronic mail),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(858) 523-5400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Michael E. Sullivan,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michael.sullivan@lw.com</w:t>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promptly upon any adjustment of the Exercise Price, setting forth in reasonable detail, and certifying, the calculation of such adjustment,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pro rata to holders of shares of Common Stock or (C) for determining rights to vote with respect to any Fundamental Transaction, dissolution or liquidation and (iii) ten (10) Business Days (or such shorter period as is reasonably practicable under the circumstances if the Company does not have 10 Business Days’ prior notice) prior to the consummation of any Fundamental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such information shall be made known to the public prior to or in conjunction with such notice being provided to the Holder but only to the extent the information in such notice constitutes material non-public information regarding the Company. It is expressly understood and agreed that the time of exercise specified by the Holder in each Exercise Notice shall be definitive and may not be disputed or challenged by the Company.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firstLine="1304"/>
        <w:spacing w:after="0" w:line="254" w:lineRule="auto"/>
        <w:tabs>
          <w:tab w:leader="none" w:pos="147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94" w:lineRule="exact"/>
        <w:rPr>
          <w:rFonts w:ascii="Arial" w:cs="Arial" w:eastAsia="Arial" w:hAnsi="Arial"/>
          <w:sz w:val="18"/>
          <w:szCs w:val="18"/>
          <w:color w:val="auto"/>
        </w:rPr>
      </w:pPr>
    </w:p>
    <w:p>
      <w:pPr>
        <w:ind w:right="60" w:firstLine="1304"/>
        <w:spacing w:after="0" w:line="282" w:lineRule="auto"/>
        <w:tabs>
          <w:tab w:leader="none" w:pos="156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hereto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such party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set forth with respect to such party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such other address as such party subsequently delivers to the other party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 party hereto from bringing suit or taking other legal action against the other party in any other jurisdiction to collect on its obligations to the other party, to realize on any collateral or any other security for such obligations, or to enforce a judgment or other court ruling in favor of the other party.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Arial" w:cs="Arial" w:eastAsia="Arial" w:hAnsi="Arial"/>
          <w:sz w:val="16"/>
          <w:szCs w:val="16"/>
          <w:b w:val="1"/>
          <w:bCs w:val="1"/>
          <w:color w:val="auto"/>
        </w:rPr>
        <w:t>EACH</w:t>
      </w:r>
    </w:p>
    <w:p>
      <w:pPr>
        <w:spacing w:after="0" w:line="11" w:lineRule="exact"/>
        <w:rPr>
          <w:rFonts w:ascii="Arial" w:cs="Arial" w:eastAsia="Arial" w:hAnsi="Arial"/>
          <w:sz w:val="16"/>
          <w:szCs w:val="16"/>
          <w:color w:val="auto"/>
        </w:rPr>
      </w:pPr>
    </w:p>
    <w:p>
      <w:pPr>
        <w:ind w:right="20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PARTY HERETO HEREBY IRREVOCABLY WAIVES ANY RIGHT IT MAY HAVE, AND AGREES NOT TO REQUEST, A JURY TRIAL FOR THE ADJUDICATION OF ANY DISPUTE HEREUNDER OR IN CONNECTION WITH OR ARISING OUT OF THIS WARRANT OR ANY TRANSACTION CONTEMPLATED HEREBY</w:t>
      </w:r>
      <w:r>
        <w:rPr>
          <w:rFonts w:ascii="Arial" w:cs="Arial" w:eastAsia="Arial" w:hAnsi="Arial"/>
          <w:sz w:val="18"/>
          <w:szCs w:val="18"/>
          <w:color w:val="auto"/>
        </w:rPr>
        <w:t>.</w:t>
      </w:r>
    </w:p>
    <w:p>
      <w:pPr>
        <w:spacing w:after="0" w:line="398" w:lineRule="exact"/>
        <w:rPr>
          <w:rFonts w:ascii="Arial" w:cs="Arial" w:eastAsia="Arial" w:hAnsi="Arial"/>
          <w:sz w:val="16"/>
          <w:szCs w:val="16"/>
          <w:color w:val="auto"/>
        </w:rPr>
      </w:pPr>
    </w:p>
    <w:p>
      <w:pPr>
        <w:ind w:left="5520" w:hanging="130"/>
        <w:spacing w:after="0"/>
        <w:tabs>
          <w:tab w:leader="none" w:pos="5520" w:val="left"/>
        </w:tabs>
        <w:numPr>
          <w:ilvl w:val="1"/>
          <w:numId w:val="16"/>
        </w:numPr>
        <w:rPr>
          <w:rFonts w:ascii="Arial" w:cs="Arial" w:eastAsia="Arial" w:hAnsi="Arial"/>
          <w:sz w:val="22"/>
          <w:szCs w:val="22"/>
          <w:color w:val="auto"/>
        </w:rPr>
      </w:pPr>
      <w:r>
        <w:rPr>
          <w:rFonts w:ascii="Arial" w:cs="Arial" w:eastAsia="Arial" w:hAnsi="Arial"/>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 w:name="page19"/>
    <w:bookmarkEnd w:id="18"/>
    <w:p>
      <w:pPr>
        <w:ind w:left="-20" w:firstLine="1304"/>
        <w:spacing w:after="0" w:line="288" w:lineRule="auto"/>
        <w:tabs>
          <w:tab w:leader="none" w:pos="153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8" w:lineRule="exact"/>
        <w:rPr>
          <w:rFonts w:ascii="Arial" w:cs="Arial" w:eastAsia="Arial" w:hAnsi="Arial"/>
          <w:sz w:val="16"/>
          <w:szCs w:val="16"/>
          <w:color w:val="auto"/>
        </w:rPr>
      </w:pPr>
    </w:p>
    <w:p>
      <w:pPr>
        <w:ind w:left="-20" w:right="100" w:firstLine="1304"/>
        <w:spacing w:after="0" w:line="291" w:lineRule="auto"/>
        <w:tabs>
          <w:tab w:leader="none" w:pos="154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or the Company to pursue actual damages for any failure by the other party to comply with the terms of this Warrant. Each of the Company and the Holder acknowledges that a breach by such party of its obligations hereunder will cause irreparable harm to the other party and that the remedy at law for any such breach may be inadequate. The Company and the Holder therefore agree that, in the event of any such breach or threatened breach, the other party shall be entitled, in addition to all other available remedies, to an injunction restraining any breach, without the necessity of showing economic loss and without any bond or other security being required.</w:t>
      </w:r>
    </w:p>
    <w:p>
      <w:pPr>
        <w:spacing w:after="0" w:line="166" w:lineRule="exact"/>
        <w:rPr>
          <w:rFonts w:ascii="Arial" w:cs="Arial" w:eastAsia="Arial" w:hAnsi="Arial"/>
          <w:sz w:val="16"/>
          <w:szCs w:val="16"/>
          <w:color w:val="auto"/>
        </w:rPr>
      </w:pPr>
    </w:p>
    <w:p>
      <w:pPr>
        <w:ind w:left="-20" w:right="220" w:firstLine="1304"/>
        <w:spacing w:after="0" w:line="277" w:lineRule="auto"/>
        <w:tabs>
          <w:tab w:leader="none" w:pos="154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Subject to the transfer conditions referred to in the legend hereon and compliance with </w:t>
      </w:r>
      <w:r>
        <w:rPr>
          <w:rFonts w:ascii="Arial" w:cs="Arial" w:eastAsia="Arial" w:hAnsi="Arial"/>
          <w:sz w:val="18"/>
          <w:szCs w:val="18"/>
          <w:u w:val="single" w:color="auto"/>
          <w:color w:val="auto"/>
        </w:rPr>
        <w:t>Section 7(a)</w:t>
      </w:r>
      <w:r>
        <w:rPr>
          <w:rFonts w:ascii="Arial" w:cs="Arial" w:eastAsia="Arial" w:hAnsi="Arial"/>
          <w:sz w:val="18"/>
          <w:szCs w:val="18"/>
          <w:color w:val="auto"/>
        </w:rPr>
        <w:t>, this Warrant and the Warrant Shares may be offered for sale, sold, transferred, pledged or assigned without the consent of the Company.</w:t>
      </w:r>
    </w:p>
    <w:p>
      <w:pPr>
        <w:spacing w:after="0" w:line="170" w:lineRule="exact"/>
        <w:rPr>
          <w:rFonts w:ascii="Arial" w:cs="Arial" w:eastAsia="Arial" w:hAnsi="Arial"/>
          <w:sz w:val="18"/>
          <w:szCs w:val="18"/>
          <w:color w:val="auto"/>
        </w:rPr>
      </w:pPr>
    </w:p>
    <w:p>
      <w:pPr>
        <w:ind w:left="1560" w:hanging="276"/>
        <w:spacing w:after="0"/>
        <w:tabs>
          <w:tab w:leader="none" w:pos="15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COMPLIANCE WITH THE SECURITIES ACT.</w:t>
      </w:r>
    </w:p>
    <w:p>
      <w:pPr>
        <w:spacing w:after="0" w:line="225" w:lineRule="exact"/>
        <w:rPr>
          <w:rFonts w:ascii="Arial" w:cs="Arial" w:eastAsia="Arial" w:hAnsi="Arial"/>
          <w:sz w:val="18"/>
          <w:szCs w:val="18"/>
          <w:color w:val="auto"/>
        </w:rPr>
      </w:pPr>
    </w:p>
    <w:p>
      <w:pPr>
        <w:ind w:left="-20" w:right="240" w:firstLine="1952"/>
        <w:spacing w:after="0" w:line="275" w:lineRule="auto"/>
        <w:tabs>
          <w:tab w:leader="none" w:pos="2168"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Agreement to Comply with the Securities Act; Legend</w:t>
      </w:r>
      <w:r>
        <w:rPr>
          <w:rFonts w:ascii="Arial" w:cs="Arial" w:eastAsia="Arial" w:hAnsi="Arial"/>
          <w:sz w:val="17"/>
          <w:szCs w:val="17"/>
          <w:color w:val="auto"/>
        </w:rPr>
        <w:t xml:space="preserve">. The Holder, by acceptance of this Warrant, agrees to comply in all respects with the provisions of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and the restrictive legend requirements set forth on the face of this Warrant and further agrees that such Holder shall not offer, sell or otherwise dispose of this Warrant or any Warrant Shares to be issued upon exercise hereof except under circumstances that will not result in a violation of the Securities Act. This Warrant and all Warrant Shares issued upon exercise of this Warrant (unless registered under the Securities Act) shall be stamped or imprinted with a legend in substantially the following form:</w:t>
      </w:r>
    </w:p>
    <w:p>
      <w:pPr>
        <w:spacing w:after="0" w:line="176" w:lineRule="exact"/>
        <w:rPr>
          <w:sz w:val="20"/>
          <w:szCs w:val="20"/>
          <w:color w:val="auto"/>
        </w:rPr>
      </w:pPr>
    </w:p>
    <w:p>
      <w:pPr>
        <w:ind w:left="1280" w:right="1200"/>
        <w:spacing w:after="0" w:line="254" w:lineRule="auto"/>
        <w:rPr>
          <w:sz w:val="20"/>
          <w:szCs w:val="20"/>
          <w:color w:val="auto"/>
        </w:rPr>
      </w:pPr>
      <w:r>
        <w:rPr>
          <w:rFonts w:ascii="Arial" w:cs="Arial" w:eastAsia="Arial" w:hAnsi="Arial"/>
          <w:sz w:val="18"/>
          <w:szCs w:val="18"/>
          <w:color w:val="auto"/>
        </w:rPr>
        <w:t>“THE SECURITIES REPRESENTED BY THIS WARRANT, AND THE SECURITIES ISSUABLE UPON EXERCISE THEREOF,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OR AN OPINION OF COUNSEL IN A FORM REASONABLY SATISFACTORY TO THE ISSUER THAT REGISTRATION IS NOT REQUIRED UNDER SAID ACT OR APPLICABLE STATE SECURITIES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9" w:name="page20"/>
    <w:bookmarkEnd w:id="19"/>
    <w:p>
      <w:pPr>
        <w:ind w:left="-1120" w:right="180" w:firstLine="1952"/>
        <w:spacing w:after="0" w:line="277" w:lineRule="auto"/>
        <w:tabs>
          <w:tab w:leader="none" w:pos="107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Representations of the Holder</w:t>
      </w:r>
      <w:r>
        <w:rPr>
          <w:rFonts w:ascii="Arial" w:cs="Arial" w:eastAsia="Arial" w:hAnsi="Arial"/>
          <w:sz w:val="18"/>
          <w:szCs w:val="18"/>
          <w:color w:val="auto"/>
        </w:rPr>
        <w:t>. In connection with the issuance of this Warrant, the Holder specifically represents, as of the date hereof, to the Company by acceptance of this Warrant as follows:</w:t>
      </w:r>
    </w:p>
    <w:p>
      <w:pPr>
        <w:spacing w:after="0" w:line="170" w:lineRule="exact"/>
        <w:rPr>
          <w:rFonts w:ascii="Arial" w:cs="Arial" w:eastAsia="Arial" w:hAnsi="Arial"/>
          <w:sz w:val="18"/>
          <w:szCs w:val="18"/>
          <w:color w:val="auto"/>
        </w:rPr>
      </w:pPr>
    </w:p>
    <w:p>
      <w:pPr>
        <w:ind w:left="-1120" w:right="100" w:firstLine="2600"/>
        <w:spacing w:after="0" w:line="259" w:lineRule="auto"/>
        <w:tabs>
          <w:tab w:leader="none" w:pos="1724"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Holder is an “accredited investor” as defined in Rule 501(a) of Regulation D promulgated under the Securities Act. The Holder is acquiring this Warrant and the shares of Common Stock to be issued upon exercise hereof for investment for its own account and not with a view towards, or for resale in connection with, the public sale or distribution of this Warrant or the Warrant Shares, except pursuant to sales registered or exempted under the Securities Act.</w:t>
      </w:r>
    </w:p>
    <w:p>
      <w:pPr>
        <w:spacing w:after="0" w:line="186" w:lineRule="exact"/>
        <w:rPr>
          <w:rFonts w:ascii="Arial" w:cs="Arial" w:eastAsia="Arial" w:hAnsi="Arial"/>
          <w:sz w:val="18"/>
          <w:szCs w:val="18"/>
          <w:color w:val="auto"/>
        </w:rPr>
      </w:pPr>
    </w:p>
    <w:p>
      <w:pPr>
        <w:ind w:left="-1120" w:right="40" w:firstLine="2600"/>
        <w:spacing w:after="0" w:line="275" w:lineRule="auto"/>
        <w:tabs>
          <w:tab w:leader="none" w:pos="1724"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Holder understands and acknowledges that this Warrant and the shares of Common Stock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w:t>
      </w:r>
      <w:r>
        <w:rPr>
          <w:rFonts w:ascii="Arial" w:cs="Arial" w:eastAsia="Arial" w:hAnsi="Arial"/>
          <w:sz w:val="17"/>
          <w:szCs w:val="17"/>
          <w:b w:val="1"/>
          <w:bCs w:val="1"/>
          <w:color w:val="auto"/>
        </w:rPr>
        <w:t>Rule 144</w:t>
      </w:r>
      <w:r>
        <w:rPr>
          <w:rFonts w:ascii="Arial" w:cs="Arial" w:eastAsia="Arial" w:hAnsi="Arial"/>
          <w:sz w:val="17"/>
          <w:szCs w:val="17"/>
          <w:color w:val="auto"/>
        </w:rPr>
        <w:t>”), and understands the resale limitations imposed thereby and by the Securities Act.</w:t>
      </w:r>
    </w:p>
    <w:p>
      <w:pPr>
        <w:spacing w:after="0" w:line="176" w:lineRule="exact"/>
        <w:rPr>
          <w:rFonts w:ascii="Arial" w:cs="Arial" w:eastAsia="Arial" w:hAnsi="Arial"/>
          <w:sz w:val="17"/>
          <w:szCs w:val="17"/>
          <w:color w:val="auto"/>
        </w:rPr>
      </w:pPr>
    </w:p>
    <w:p>
      <w:pPr>
        <w:jc w:val="both"/>
        <w:ind w:left="-1120" w:right="20" w:firstLine="2600"/>
        <w:spacing w:after="0" w:line="279" w:lineRule="auto"/>
        <w:tabs>
          <w:tab w:leader="none" w:pos="1724"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Holder acknowledges that it can bear the economic and financial risk of its investment for an indefinite period, and has such knowledge and experience in financial or business matters that it is capable of evaluating the merits and risks of the investment in the Warrant and the Warrant Shares. The Holder has had an opportunity to ask questions and receive answers from the Company regarding the terms and conditions of the offering of the Warrant and the business, properties, prospects and financial condition of the Company.</w:t>
      </w:r>
    </w:p>
    <w:p>
      <w:pPr>
        <w:spacing w:after="0" w:line="171" w:lineRule="exact"/>
        <w:rPr>
          <w:rFonts w:ascii="Arial" w:cs="Arial" w:eastAsia="Arial" w:hAnsi="Arial"/>
          <w:sz w:val="17"/>
          <w:szCs w:val="17"/>
          <w:color w:val="auto"/>
        </w:rPr>
      </w:pPr>
    </w:p>
    <w:p>
      <w:pPr>
        <w:ind w:left="-1120" w:firstLine="1952"/>
        <w:spacing w:after="0" w:line="254" w:lineRule="auto"/>
        <w:tabs>
          <w:tab w:leader="none" w:pos="106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Acknowledgement of the Company</w:t>
      </w:r>
      <w:r>
        <w:rPr>
          <w:rFonts w:ascii="Arial" w:cs="Arial" w:eastAsia="Arial" w:hAnsi="Arial"/>
          <w:sz w:val="18"/>
          <w:szCs w:val="18"/>
          <w:color w:val="auto"/>
        </w:rPr>
        <w:t>. The Company acknowledges and agrees that the Holder may from time to time pledge pursuant to a bona fide margin agreement with a registered broker-dealer or grant a security interest in some or all of this Warrant or the Warrant Shares to a financial institution that is an “accredited investor” as defined in Rule 501(a) under the Securities Act and, if required under the terms of such arrangement, Holder may transfer any pledged or secured Warrant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Holder’s expense, the Company will execute and deliver such reasonable documentation as a pledgee or secured party of this Warrants or any Warrant Shares may reasonably request in connection with a pledge or transfer of this Warrant or any Warrant Shares.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400" w:hanging="130"/>
        <w:spacing w:after="0"/>
        <w:tabs>
          <w:tab w:leader="none" w:pos="4400" w:val="left"/>
        </w:tabs>
        <w:numPr>
          <w:ilvl w:val="2"/>
          <w:numId w:val="18"/>
        </w:numPr>
        <w:rPr>
          <w:rFonts w:ascii="Arial" w:cs="Arial" w:eastAsia="Arial" w:hAnsi="Arial"/>
          <w:sz w:val="22"/>
          <w:szCs w:val="22"/>
          <w:color w:val="auto"/>
        </w:rPr>
      </w:pPr>
      <w:r>
        <w:rPr>
          <w:rFonts w:ascii="Arial" w:cs="Arial" w:eastAsia="Arial" w:hAnsi="Arial"/>
          <w:sz w:val="22"/>
          <w:szCs w:val="22"/>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0" w:name="page21"/>
    <w:bookmarkEnd w:id="20"/>
    <w:p>
      <w:pPr>
        <w:ind w:left="-1120" w:right="20" w:firstLine="1952"/>
        <w:spacing w:after="0" w:line="284" w:lineRule="auto"/>
        <w:tabs>
          <w:tab w:leader="none" w:pos="107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Removal of Legends</w:t>
      </w:r>
      <w:r>
        <w:rPr>
          <w:rFonts w:ascii="Arial" w:cs="Arial" w:eastAsia="Arial" w:hAnsi="Arial"/>
          <w:sz w:val="16"/>
          <w:szCs w:val="16"/>
          <w:color w:val="auto"/>
        </w:rPr>
        <w:t xml:space="preserve">. This Warrant and the Warrant Shares shall not be required to contain the legend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14(a)</w:t>
      </w:r>
      <w:r>
        <w:rPr>
          <w:rFonts w:ascii="Arial" w:cs="Arial" w:eastAsia="Arial" w:hAnsi="Arial"/>
          <w:sz w:val="16"/>
          <w:szCs w:val="16"/>
          <w:color w:val="auto"/>
        </w:rPr>
        <w:t xml:space="preserve"> or any other legend (i) following any sale of the Warrant or Warrant Shares pursuant to Rule 144 (assuming the transferor is not an affiliate of the Company), provided that the Holder furnishes the Company with reasonable assurances that such Warrant or Warrant Shares are eligible for sale, assignment or transfer under Rule 144 which shall not include an opinion of the Holder’s counsel, (ii) in connection with a sale, assignment or other transfer (other than under Rule 144), provided that the Holder provides the Company with an opinion in a form reasonably acceptable to the Company to the effect that such sale, assignment or transfer of the Warrant or Warrant Shares may be made without registration under the applicable requirements of the Securities Act or (iii) if such legend is not required or customarily included under applicable provisions of the Securities Act (including, without limitation, controlling judicial interpretations and pronouncements issued by the SEC). If a legend is not required pursuant to the foregoing, the Company shall no later than two (2) Business Days (or such earlier date as required pursuant to the 1934 Act or other applicable law, rule or regulation for the settlement of a trade initiated on the date the Holder delivers notice to the Company with respect to this Warrant or any Warrant Shares issued in the form of book-entries or, if applicable, delivers a legended certificate representing Warrant Shares to the Company) following the delivery by the Holder to the Company or the Transfer Agent (with notice to the Company) of notice with respect to this Warrant or any Warrant Shares issued in the form of book-entries or, if applicable, a legended certificate representing any Warrant Shares (endorsed or with stock powers attached, signatures guaranteed, and otherwise in form necessary to affect the reissuance and/or transfer, if applicable), together with any other deliveries from the Holder as may be reasonably required above in this </w:t>
      </w:r>
      <w:r>
        <w:rPr>
          <w:rFonts w:ascii="Arial" w:cs="Arial" w:eastAsia="Arial" w:hAnsi="Arial"/>
          <w:sz w:val="16"/>
          <w:szCs w:val="16"/>
          <w:u w:val="single" w:color="auto"/>
          <w:color w:val="auto"/>
        </w:rPr>
        <w:t>Section 14(c)</w:t>
      </w:r>
      <w:r>
        <w:rPr>
          <w:rFonts w:ascii="Arial" w:cs="Arial" w:eastAsia="Arial" w:hAnsi="Arial"/>
          <w:sz w:val="16"/>
          <w:szCs w:val="16"/>
          <w:color w:val="auto"/>
        </w:rPr>
        <w:t xml:space="preserve"> (such date, the “</w:t>
      </w:r>
      <w:r>
        <w:rPr>
          <w:rFonts w:ascii="Arial" w:cs="Arial" w:eastAsia="Arial" w:hAnsi="Arial"/>
          <w:sz w:val="16"/>
          <w:szCs w:val="16"/>
          <w:b w:val="1"/>
          <w:bCs w:val="1"/>
          <w:color w:val="auto"/>
        </w:rPr>
        <w:t>Legend Removal Date</w:t>
      </w:r>
      <w:r>
        <w:rPr>
          <w:rFonts w:ascii="Arial" w:cs="Arial" w:eastAsia="Arial" w:hAnsi="Arial"/>
          <w:sz w:val="16"/>
          <w:szCs w:val="16"/>
          <w:color w:val="auto"/>
        </w:rPr>
        <w:t>”), as directed by the Holder, either: (A) provided that the Transfer Agent is participating in FAST, credit the applicable number of Warrant Shares to the Holder’s or its designee’s balance account with DTC through its Deposit/Withdrawal at Custodian system or (B) with respect to this Warrant or if the Transfer Agent is not participating in FAST, issue and deliver (via reputable overnight courier) to the Holder, an updated form of this Warrant or a certificate representing Warrant Shares, as applicable, in the case of each of clauses (A) and (B) above, free from all restrictive and other legends, registered in the name of the Holder or its designee. The Company shall be responsible for any transfer agent fees or DTC fees with respect to any issuance of Warrant Shares or the removal of any legends with respect to this Warrant or any Warrant Shares in accordance herewith.</w:t>
      </w:r>
    </w:p>
    <w:p>
      <w:pPr>
        <w:spacing w:after="0" w:line="397" w:lineRule="exact"/>
        <w:rPr>
          <w:rFonts w:ascii="Arial" w:cs="Arial" w:eastAsia="Arial" w:hAnsi="Arial"/>
          <w:sz w:val="16"/>
          <w:szCs w:val="16"/>
          <w:color w:val="auto"/>
        </w:rPr>
      </w:pPr>
    </w:p>
    <w:p>
      <w:pPr>
        <w:ind w:left="-1120" w:firstLine="1952"/>
        <w:spacing w:after="0" w:line="268" w:lineRule="auto"/>
        <w:tabs>
          <w:tab w:leader="none" w:pos="10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 addition to the Holder’s other available remedies hereunder, the Company shall pay to the Holder, in cash, (i) as partial liquidated damages and not as a penalty, for each $1,000 of Warrant Shares (based on the Weighted Average Price of the Common Stock on the date the Holder delivers notice or a legended certificate, as applicable, to the Company or the Transfer Agent with respect to such Warrant Shares pursuant to </w:t>
      </w:r>
      <w:r>
        <w:rPr>
          <w:rFonts w:ascii="Arial" w:cs="Arial" w:eastAsia="Arial" w:hAnsi="Arial"/>
          <w:sz w:val="17"/>
          <w:szCs w:val="17"/>
          <w:u w:val="single" w:color="auto"/>
          <w:color w:val="auto"/>
        </w:rPr>
        <w:t>Section 14(d)</w:t>
      </w:r>
      <w:r>
        <w:rPr>
          <w:rFonts w:ascii="Arial" w:cs="Arial" w:eastAsia="Arial" w:hAnsi="Arial"/>
          <w:sz w:val="17"/>
          <w:szCs w:val="17"/>
          <w:color w:val="auto"/>
        </w:rPr>
        <w:t xml:space="preserve">) delivered for removal of the restrictive legend and subject to </w:t>
      </w:r>
      <w:r>
        <w:rPr>
          <w:rFonts w:ascii="Arial" w:cs="Arial" w:eastAsia="Arial" w:hAnsi="Arial"/>
          <w:sz w:val="17"/>
          <w:szCs w:val="17"/>
          <w:u w:val="single" w:color="auto"/>
          <w:color w:val="auto"/>
        </w:rPr>
        <w:t>Section 14(d)</w:t>
      </w:r>
      <w:r>
        <w:rPr>
          <w:rFonts w:ascii="Arial" w:cs="Arial" w:eastAsia="Arial" w:hAnsi="Arial"/>
          <w:sz w:val="17"/>
          <w:szCs w:val="17"/>
          <w:color w:val="auto"/>
        </w:rPr>
        <w:t xml:space="preserve">, $10 per Trading Day (increasing to $20 per Trading Day five (5) Trading Days after such damages have begun to accrue) for each Trading Day after the Legend Removal Date until such Warrant Shares are delivered without a legend and (ii) if the Company is obligated to remove the restrictive legends pursuant to </w:t>
      </w:r>
      <w:r>
        <w:rPr>
          <w:rFonts w:ascii="Arial" w:cs="Arial" w:eastAsia="Arial" w:hAnsi="Arial"/>
          <w:sz w:val="17"/>
          <w:szCs w:val="17"/>
          <w:u w:val="single" w:color="auto"/>
          <w:color w:val="auto"/>
        </w:rPr>
        <w:t>Section 14(d)</w:t>
      </w:r>
      <w:r>
        <w:rPr>
          <w:rFonts w:ascii="Arial" w:cs="Arial" w:eastAsia="Arial" w:hAnsi="Arial"/>
          <w:sz w:val="17"/>
          <w:szCs w:val="17"/>
          <w:color w:val="auto"/>
        </w:rPr>
        <w:t xml:space="preserve"> but fails to (a) issue and deliver (or cause to be delivered) Warrant Shares to the Holder by the Legend Removal Date that are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Warrant Shares that the Company was required to deliver to the Holder by the Legend Removal Date multiplied by (B) the price at which the sell order giving rise to such purchase obligation was executed.</w:t>
      </w:r>
    </w:p>
    <w:p>
      <w:pPr>
        <w:spacing w:after="0" w:line="184" w:lineRule="exact"/>
        <w:rPr>
          <w:rFonts w:ascii="Arial" w:cs="Arial" w:eastAsia="Arial" w:hAnsi="Arial"/>
          <w:sz w:val="17"/>
          <w:szCs w:val="17"/>
          <w:color w:val="auto"/>
        </w:rPr>
      </w:pPr>
    </w:p>
    <w:p>
      <w:pPr>
        <w:ind w:left="-1120" w:right="40" w:firstLine="1952"/>
        <w:spacing w:after="0" w:line="259" w:lineRule="auto"/>
        <w:tabs>
          <w:tab w:leader="none" w:pos="10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order to facilitate the Company filing a registration statement covering the issuance or resale of any Warrant Shares issued and issuable upon exercise of this Warrant, the Holder hereby agrees to provide the Company with, following reasonable advance written request by the Company, an executed selling stockholder questionnaire in a form reasonably acceptable to the Holder and the Company as is customary under the circumstances.</w:t>
      </w:r>
    </w:p>
    <w:p>
      <w:pPr>
        <w:spacing w:after="0" w:line="395" w:lineRule="exact"/>
        <w:rPr>
          <w:rFonts w:ascii="Arial" w:cs="Arial" w:eastAsia="Arial" w:hAnsi="Arial"/>
          <w:sz w:val="18"/>
          <w:szCs w:val="18"/>
          <w:color w:val="auto"/>
        </w:rPr>
      </w:pPr>
    </w:p>
    <w:p>
      <w:pPr>
        <w:ind w:left="4400" w:hanging="130"/>
        <w:spacing w:after="0"/>
        <w:tabs>
          <w:tab w:leader="none" w:pos="44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1" w:name="page22"/>
    <w:bookmarkEnd w:id="21"/>
    <w:p>
      <w:pPr>
        <w:ind w:left="-1120" w:firstLine="1304"/>
        <w:spacing w:after="0" w:line="269" w:lineRule="auto"/>
        <w:tabs>
          <w:tab w:leader="none" w:pos="44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SEVERABILITY; CONSTRUCTION; HEADINGS</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85" w:lineRule="exact"/>
        <w:rPr>
          <w:rFonts w:ascii="Arial" w:cs="Arial" w:eastAsia="Arial" w:hAnsi="Arial"/>
          <w:sz w:val="17"/>
          <w:szCs w:val="17"/>
          <w:color w:val="auto"/>
        </w:rPr>
      </w:pPr>
    </w:p>
    <w:p>
      <w:pPr>
        <w:ind w:left="-1120" w:right="20" w:firstLine="1304"/>
        <w:spacing w:after="0" w:line="269" w:lineRule="auto"/>
        <w:tabs>
          <w:tab w:leader="none" w:pos="44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limit any obligations of the Company, or any rights of the Holder, under any other agreement by and between the Company and the Holder.</w:t>
      </w:r>
    </w:p>
    <w:p>
      <w:pPr>
        <w:spacing w:after="0" w:line="185" w:lineRule="exact"/>
        <w:rPr>
          <w:rFonts w:ascii="Arial" w:cs="Arial" w:eastAsia="Arial" w:hAnsi="Arial"/>
          <w:sz w:val="17"/>
          <w:szCs w:val="17"/>
          <w:color w:val="auto"/>
        </w:rPr>
      </w:pPr>
    </w:p>
    <w:p>
      <w:pPr>
        <w:ind w:left="-1120" w:right="100" w:firstLine="1304"/>
        <w:spacing w:after="0" w:line="273" w:lineRule="auto"/>
        <w:tabs>
          <w:tab w:leader="none" w:pos="44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ABSENCE OF TRADING AND DISCLOSURE RESTRICTIONS</w:t>
      </w:r>
      <w:r>
        <w:rPr>
          <w:rFonts w:ascii="Arial" w:cs="Arial" w:eastAsia="Arial" w:hAnsi="Arial"/>
          <w:sz w:val="17"/>
          <w:szCs w:val="17"/>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77" w:lineRule="exact"/>
        <w:rPr>
          <w:rFonts w:ascii="Arial" w:cs="Arial" w:eastAsia="Arial" w:hAnsi="Arial"/>
          <w:sz w:val="17"/>
          <w:szCs w:val="17"/>
          <w:color w:val="auto"/>
        </w:rPr>
      </w:pPr>
    </w:p>
    <w:p>
      <w:pPr>
        <w:ind w:left="-1120" w:firstLine="1304"/>
        <w:spacing w:after="0" w:line="296"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COUNTERPARTS; ELECTRONIC SIGNATURES</w:t>
      </w:r>
      <w:r>
        <w:rPr>
          <w:rFonts w:ascii="Arial" w:cs="Arial" w:eastAsia="Arial" w:hAnsi="Arial"/>
          <w:sz w:val="16"/>
          <w:szCs w:val="16"/>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370" w:lineRule="exact"/>
        <w:rPr>
          <w:rFonts w:ascii="Arial" w:cs="Arial" w:eastAsia="Arial" w:hAnsi="Arial"/>
          <w:sz w:val="16"/>
          <w:szCs w:val="16"/>
          <w:color w:val="auto"/>
        </w:rPr>
      </w:pPr>
    </w:p>
    <w:p>
      <w:pPr>
        <w:ind w:left="4400" w:hanging="130"/>
        <w:spacing w:after="0"/>
        <w:tabs>
          <w:tab w:leader="none" w:pos="44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 w:name="page23"/>
    <w:bookmarkEnd w:id="22"/>
    <w:p>
      <w:pPr>
        <w:ind w:left="460" w:hanging="276"/>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1120" w:right="120" w:firstLine="1952"/>
        <w:spacing w:after="0" w:line="261" w:lineRule="auto"/>
        <w:tabs>
          <w:tab w:leader="none" w:pos="1069"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9" w:lineRule="exact"/>
        <w:rPr>
          <w:rFonts w:ascii="Arial" w:cs="Arial" w:eastAsia="Arial" w:hAnsi="Arial"/>
          <w:sz w:val="18"/>
          <w:szCs w:val="18"/>
          <w:color w:val="auto"/>
        </w:rPr>
      </w:pPr>
    </w:p>
    <w:p>
      <w:pPr>
        <w:ind w:left="-1120" w:right="20" w:firstLine="1952"/>
        <w:spacing w:after="0" w:line="255" w:lineRule="auto"/>
        <w:tabs>
          <w:tab w:leader="none" w:pos="1079"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Attribution Parties</w:t>
      </w:r>
      <w:r>
        <w:rPr>
          <w:rFonts w:ascii="Arial" w:cs="Arial" w:eastAsia="Arial" w:hAnsi="Arial"/>
          <w:sz w:val="18"/>
          <w:szCs w:val="18"/>
          <w:color w:val="auto"/>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8" w:lineRule="exact"/>
        <w:rPr>
          <w:rFonts w:ascii="Arial" w:cs="Arial" w:eastAsia="Arial" w:hAnsi="Arial"/>
          <w:sz w:val="18"/>
          <w:szCs w:val="18"/>
          <w:color w:val="auto"/>
        </w:rPr>
      </w:pPr>
    </w:p>
    <w:p>
      <w:pPr>
        <w:ind w:left="-1120" w:right="20" w:firstLine="1952"/>
        <w:spacing w:after="0" w:line="269" w:lineRule="auto"/>
        <w:tabs>
          <w:tab w:leader="none" w:pos="1069" w:val="left"/>
        </w:tabs>
        <w:numPr>
          <w:ilvl w:val="1"/>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xml:space="preserve">”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w:t>
      </w:r>
      <w:r>
        <w:rPr>
          <w:rFonts w:ascii="Arial" w:cs="Arial" w:eastAsia="Arial" w:hAnsi="Arial"/>
          <w:sz w:val="17"/>
          <w:szCs w:val="17"/>
          <w:u w:val="single" w:color="auto"/>
          <w:color w:val="auto"/>
        </w:rPr>
        <w:t>Section 11</w:t>
      </w:r>
      <w:r>
        <w:rPr>
          <w:rFonts w:ascii="Arial" w:cs="Arial" w:eastAsia="Arial" w:hAnsi="Arial"/>
          <w:sz w:val="17"/>
          <w:szCs w:val="17"/>
          <w:color w:val="auto"/>
        </w:rPr>
        <w:t>. All such determinations shall be appropriately adjusted for any stock dividend, stock split, stock combination or other similar transaction during such period.</w:t>
      </w:r>
    </w:p>
    <w:p>
      <w:pPr>
        <w:spacing w:after="0" w:line="181" w:lineRule="exact"/>
        <w:rPr>
          <w:rFonts w:ascii="Arial" w:cs="Arial" w:eastAsia="Arial" w:hAnsi="Arial"/>
          <w:sz w:val="17"/>
          <w:szCs w:val="17"/>
          <w:color w:val="auto"/>
        </w:rPr>
      </w:pPr>
    </w:p>
    <w:p>
      <w:pPr>
        <w:ind w:left="-1120" w:firstLine="1952"/>
        <w:spacing w:after="0" w:line="289" w:lineRule="auto"/>
        <w:tabs>
          <w:tab w:leader="none" w:pos="1079"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determined as of the day immediately following the first public announcement of the applicable Change of Control, or, if the Change of Control is not publicly announced, the date the Change of Control is consummated, for pricing purposes and reflecting (i) a risk-free interest rate corresponding to the U.S. Treasury rate for a period equal to the remaining term of this Warrant as of such date of request, (ii) an expected volatility equal to 75%, (iii) the underlying price per share used in such calculation shall be the greater of (a) the sum of the price per share being offered in cash, if any, plus the value of any non-cash consideration, if any, being offered in such Change of Control and (b) the greater of (1) the last Weighted Average Price immediately prior to the announcement of such Change of Control, (2) the Weighted Average Price immediately after the announcement of such Change of Control and (3) the last Weighted Average Price immediately prior to the consummation of such Change of Control, (iv) a remaining option time equal to the time between the date of the public announcement of the applicable Change of Control and the Expiration Date and (v) a zero cost of borrow.</w:t>
      </w:r>
    </w:p>
    <w:p>
      <w:pPr>
        <w:spacing w:after="0" w:line="166" w:lineRule="exact"/>
        <w:rPr>
          <w:rFonts w:ascii="Arial" w:cs="Arial" w:eastAsia="Arial" w:hAnsi="Arial"/>
          <w:sz w:val="16"/>
          <w:szCs w:val="16"/>
          <w:color w:val="auto"/>
        </w:rPr>
      </w:pPr>
    </w:p>
    <w:p>
      <w:pPr>
        <w:ind w:left="1080" w:hanging="248"/>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left="-1120" w:right="260" w:firstLine="1952"/>
        <w:spacing w:after="0" w:line="282" w:lineRule="auto"/>
        <w:tabs>
          <w:tab w:leader="none" w:pos="10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374" w:lineRule="exact"/>
        <w:rPr>
          <w:rFonts w:ascii="Arial" w:cs="Arial" w:eastAsia="Arial" w:hAnsi="Arial"/>
          <w:sz w:val="18"/>
          <w:szCs w:val="18"/>
          <w:color w:val="auto"/>
        </w:rPr>
      </w:pPr>
    </w:p>
    <w:p>
      <w:pPr>
        <w:ind w:left="4400" w:hanging="130"/>
        <w:spacing w:after="0"/>
        <w:tabs>
          <w:tab w:leader="none" w:pos="4400" w:val="left"/>
        </w:tabs>
        <w:numPr>
          <w:ilvl w:val="2"/>
          <w:numId w:val="21"/>
        </w:numPr>
        <w:rPr>
          <w:rFonts w:ascii="Arial" w:cs="Arial" w:eastAsia="Arial" w:hAnsi="Arial"/>
          <w:sz w:val="22"/>
          <w:szCs w:val="22"/>
          <w:color w:val="auto"/>
        </w:rPr>
      </w:pPr>
      <w:r>
        <w:rPr>
          <w:rFonts w:ascii="Arial" w:cs="Arial" w:eastAsia="Arial" w:hAnsi="Arial"/>
          <w:sz w:val="22"/>
          <w:szCs w:val="22"/>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3" w:name="page24"/>
    <w:bookmarkEnd w:id="23"/>
    <w:p>
      <w:pPr>
        <w:ind w:left="-1120" w:firstLine="1952"/>
        <w:spacing w:after="0" w:line="269" w:lineRule="auto"/>
        <w:tabs>
          <w:tab w:leader="none" w:pos="1079"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equal to or greater than 50% of the Company’s market capitalization as calculated on the date of the announcement of such merger and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78" w:lineRule="exact"/>
        <w:rPr>
          <w:rFonts w:ascii="Arial" w:cs="Arial" w:eastAsia="Arial" w:hAnsi="Arial"/>
          <w:sz w:val="17"/>
          <w:szCs w:val="17"/>
          <w:color w:val="auto"/>
        </w:rPr>
      </w:pPr>
    </w:p>
    <w:p>
      <w:pPr>
        <w:ind w:left="-1120" w:firstLine="1952"/>
        <w:spacing w:after="0" w:line="269" w:lineRule="auto"/>
        <w:tabs>
          <w:tab w:leader="none" w:pos="1079"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trade price, respectively,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OTC Link or on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All such determinations to be appropriately adjusted for any stock dividend, stock split, stock combination, reclassification or other similar transaction during the applicable calculation period.</w:t>
      </w:r>
    </w:p>
    <w:p>
      <w:pPr>
        <w:spacing w:after="0" w:line="178" w:lineRule="exact"/>
        <w:rPr>
          <w:rFonts w:ascii="Arial" w:cs="Arial" w:eastAsia="Arial" w:hAnsi="Arial"/>
          <w:sz w:val="17"/>
          <w:szCs w:val="17"/>
          <w:color w:val="auto"/>
        </w:rPr>
      </w:pPr>
    </w:p>
    <w:p>
      <w:pPr>
        <w:ind w:left="-1120" w:right="20" w:firstLine="1952"/>
        <w:spacing w:after="0" w:line="282" w:lineRule="auto"/>
        <w:tabs>
          <w:tab w:leader="none" w:pos="10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161" w:lineRule="exact"/>
        <w:rPr>
          <w:rFonts w:ascii="Arial" w:cs="Arial" w:eastAsia="Arial" w:hAnsi="Arial"/>
          <w:sz w:val="18"/>
          <w:szCs w:val="18"/>
          <w:color w:val="auto"/>
        </w:rPr>
      </w:pPr>
    </w:p>
    <w:p>
      <w:pPr>
        <w:ind w:left="-1120" w:right="20" w:firstLine="1952"/>
        <w:spacing w:after="0" w:line="261" w:lineRule="auto"/>
        <w:tabs>
          <w:tab w:leader="none" w:pos="10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capital stock or other security of the Company or any of its subsidiaries (other than Options) that is at any time and under any circumstances directly or indirectly convertible into, exercisable or exchangeable for, or which otherwise entitles the holder thereof to acquire, any capital stock or other security of the Company (including, without limitation, shares of Common Stock) or any of its subsidiaries.</w:t>
      </w:r>
    </w:p>
    <w:p>
      <w:pPr>
        <w:spacing w:after="0" w:line="179" w:lineRule="exact"/>
        <w:rPr>
          <w:rFonts w:ascii="Arial" w:cs="Arial" w:eastAsia="Arial" w:hAnsi="Arial"/>
          <w:sz w:val="18"/>
          <w:szCs w:val="18"/>
          <w:color w:val="auto"/>
        </w:rPr>
      </w:pPr>
    </w:p>
    <w:p>
      <w:pPr>
        <w:ind w:left="-1120" w:right="20" w:firstLine="1952"/>
        <w:spacing w:after="0" w:line="294" w:lineRule="auto"/>
        <w:tabs>
          <w:tab w:leader="none" w:pos="1079"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any VWAP Trading Day, the per share volume-weighted average price of the Common Stock as displayed under the heading “Bloomberg VWAP” on Bloomberg page “MWK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372" w:lineRule="exact"/>
        <w:rPr>
          <w:rFonts w:ascii="Arial" w:cs="Arial" w:eastAsia="Arial" w:hAnsi="Arial"/>
          <w:sz w:val="16"/>
          <w:szCs w:val="16"/>
          <w:color w:val="auto"/>
        </w:rPr>
      </w:pPr>
    </w:p>
    <w:p>
      <w:pPr>
        <w:ind w:left="4400" w:hanging="130"/>
        <w:spacing w:after="0"/>
        <w:tabs>
          <w:tab w:leader="none" w:pos="44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24" w:name="page25"/>
    <w:bookmarkEnd w:id="24"/>
    <w:p>
      <w:pPr>
        <w:ind w:left="-1120" w:right="260" w:firstLine="1952"/>
        <w:spacing w:after="0" w:line="282" w:lineRule="auto"/>
        <w:tabs>
          <w:tab w:leader="none" w:pos="10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NYSE American LLC, The Nasdaq Global Select Market, The Nasdaq Global Market or The New York Stock Exchange, Inc.</w:t>
      </w:r>
    </w:p>
    <w:p>
      <w:pPr>
        <w:spacing w:after="0" w:line="161" w:lineRule="exact"/>
        <w:rPr>
          <w:rFonts w:ascii="Arial" w:cs="Arial" w:eastAsia="Arial" w:hAnsi="Arial"/>
          <w:sz w:val="18"/>
          <w:szCs w:val="18"/>
          <w:color w:val="auto"/>
        </w:rPr>
      </w:pPr>
    </w:p>
    <w:p>
      <w:pPr>
        <w:ind w:left="-1120" w:right="80" w:firstLine="1952"/>
        <w:spacing w:after="0" w:line="312" w:lineRule="auto"/>
        <w:tabs>
          <w:tab w:leader="none" w:pos="11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five (5) years and six (6) months after the Issuance Date or, if such date falls on a day other than a Business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day that is not a Holiday.</w:t>
      </w:r>
    </w:p>
    <w:p>
      <w:pPr>
        <w:spacing w:after="0" w:line="139" w:lineRule="exact"/>
        <w:rPr>
          <w:rFonts w:ascii="Arial" w:cs="Arial" w:eastAsia="Arial" w:hAnsi="Arial"/>
          <w:sz w:val="17"/>
          <w:szCs w:val="17"/>
          <w:color w:val="auto"/>
        </w:rPr>
      </w:pPr>
    </w:p>
    <w:p>
      <w:pPr>
        <w:ind w:left="-1120" w:firstLine="1952"/>
        <w:spacing w:after="0" w:line="284" w:lineRule="auto"/>
        <w:tabs>
          <w:tab w:leader="none" w:pos="10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(ii) sell, assign, transfer, convey or otherwise dispose of all or substantially all of the properties or assets of the Company or any of its “significant subsidiaries” (as defined in Rule 1-02 of Regulation S-X) to one or more Subject Entities,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77" w:lineRule="exact"/>
        <w:rPr>
          <w:rFonts w:ascii="Arial" w:cs="Arial" w:eastAsia="Arial" w:hAnsi="Arial"/>
          <w:sz w:val="16"/>
          <w:szCs w:val="16"/>
          <w:color w:val="auto"/>
        </w:rPr>
      </w:pPr>
    </w:p>
    <w:p>
      <w:pPr>
        <w:ind w:left="4400" w:hanging="130"/>
        <w:spacing w:after="0"/>
        <w:tabs>
          <w:tab w:leader="none" w:pos="44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25" w:name="page26"/>
    <w:bookmarkEnd w:id="25"/>
    <w:p>
      <w:pPr>
        <w:ind w:left="2200" w:hanging="248"/>
        <w:spacing w:after="0"/>
        <w:tabs>
          <w:tab w:leader="none" w:pos="2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1934 Act and as defined in Rule 13d-5 thereunder.</w:t>
      </w:r>
    </w:p>
    <w:p>
      <w:pPr>
        <w:spacing w:after="0" w:line="236" w:lineRule="exact"/>
        <w:rPr>
          <w:rFonts w:ascii="Arial" w:cs="Arial" w:eastAsia="Arial" w:hAnsi="Arial"/>
          <w:sz w:val="17"/>
          <w:szCs w:val="17"/>
          <w:color w:val="auto"/>
        </w:rPr>
      </w:pPr>
    </w:p>
    <w:p>
      <w:pPr>
        <w:ind w:left="2200" w:hanging="248"/>
        <w:spacing w:after="0"/>
        <w:tabs>
          <w:tab w:leader="none" w:pos="2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ind w:right="80" w:firstLine="1952"/>
        <w:spacing w:after="0" w:line="258" w:lineRule="auto"/>
        <w:tabs>
          <w:tab w:leader="none" w:pos="21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 or Change of Control.</w:t>
      </w:r>
    </w:p>
    <w:p>
      <w:pPr>
        <w:spacing w:after="0" w:line="183" w:lineRule="exact"/>
        <w:rPr>
          <w:rFonts w:ascii="Arial" w:cs="Arial" w:eastAsia="Arial" w:hAnsi="Arial"/>
          <w:sz w:val="18"/>
          <w:szCs w:val="18"/>
          <w:color w:val="auto"/>
        </w:rPr>
      </w:pPr>
    </w:p>
    <w:p>
      <w:pPr>
        <w:ind w:right="860" w:firstLine="1952"/>
        <w:spacing w:after="0" w:line="282" w:lineRule="auto"/>
        <w:tabs>
          <w:tab w:leader="none" w:pos="21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right="160" w:firstLine="1952"/>
        <w:spacing w:after="0" w:line="266" w:lineRule="auto"/>
        <w:tabs>
          <w:tab w:leader="none" w:pos="2159"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“Standard Settlement Period” </w:t>
      </w:r>
      <w:r>
        <w:rPr>
          <w:rFonts w:ascii="Arial" w:cs="Arial" w:eastAsia="Arial" w:hAnsi="Arial"/>
          <w:sz w:val="18"/>
          <w:szCs w:val="18"/>
          <w:color w:val="auto"/>
        </w:rPr>
        <w:t>means the standard settlement period, expressed in a number of Trading Days,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primary trading market or quotation system with respect to the Common Stock that is in effect on the date of receipt of an applicable Exercise Notice.</w:t>
      </w:r>
    </w:p>
    <w:p>
      <w:pPr>
        <w:spacing w:after="0" w:line="175" w:lineRule="exact"/>
        <w:rPr>
          <w:rFonts w:ascii="Arial" w:cs="Arial" w:eastAsia="Arial" w:hAnsi="Arial"/>
          <w:sz w:val="18"/>
          <w:szCs w:val="18"/>
          <w:color w:val="auto"/>
        </w:rPr>
      </w:pPr>
    </w:p>
    <w:p>
      <w:pPr>
        <w:ind w:left="2200" w:hanging="248"/>
        <w:spacing w:after="0"/>
        <w:tabs>
          <w:tab w:leader="none" w:pos="2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ind w:right="320" w:firstLine="1952"/>
        <w:spacing w:after="0" w:line="314" w:lineRule="auto"/>
        <w:tabs>
          <w:tab w:leader="none" w:pos="2199"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one or more Person or Persons (or, if so elected by the Holder, the Company or Parent Entity) formed by, resulting from or surviving any Fundamental Transaction or Change of Control or one or more Person or Persons (or, if so elected by the Holder, the Company or the Parent Entity) with which such Fundamental Transaction or Change of Control shall have been entered into.</w:t>
      </w:r>
    </w:p>
    <w:p>
      <w:pPr>
        <w:spacing w:after="0" w:line="141" w:lineRule="exact"/>
        <w:rPr>
          <w:rFonts w:ascii="Arial" w:cs="Arial" w:eastAsia="Arial" w:hAnsi="Arial"/>
          <w:sz w:val="16"/>
          <w:szCs w:val="16"/>
          <w:color w:val="auto"/>
        </w:rPr>
      </w:pPr>
    </w:p>
    <w:p>
      <w:pPr>
        <w:jc w:val="both"/>
        <w:ind w:right="80" w:firstLine="1952"/>
        <w:spacing w:after="0" w:line="266" w:lineRule="auto"/>
        <w:tabs>
          <w:tab w:leader="none" w:pos="22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175" w:lineRule="exact"/>
        <w:rPr>
          <w:rFonts w:ascii="Arial" w:cs="Arial" w:eastAsia="Arial" w:hAnsi="Arial"/>
          <w:sz w:val="18"/>
          <w:szCs w:val="18"/>
          <w:color w:val="auto"/>
        </w:rPr>
      </w:pPr>
    </w:p>
    <w:p>
      <w:pPr>
        <w:ind w:firstLine="1952"/>
        <w:spacing w:after="0" w:line="282" w:lineRule="auto"/>
        <w:tabs>
          <w:tab w:leader="none" w:pos="21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any agreement entered into by and between the Company and the Holder, as applicable, in connection with or pursuant to this Warrant.</w:t>
      </w:r>
    </w:p>
    <w:p>
      <w:pPr>
        <w:spacing w:after="0" w:line="161" w:lineRule="exact"/>
        <w:rPr>
          <w:rFonts w:ascii="Arial" w:cs="Arial" w:eastAsia="Arial" w:hAnsi="Arial"/>
          <w:sz w:val="18"/>
          <w:szCs w:val="18"/>
          <w:color w:val="auto"/>
        </w:rPr>
      </w:pPr>
    </w:p>
    <w:p>
      <w:pPr>
        <w:ind w:firstLine="1952"/>
        <w:spacing w:after="0" w:line="294" w:lineRule="auto"/>
        <w:tabs>
          <w:tab w:leader="none" w:pos="2199"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 Market Disruption Event</w:t>
      </w:r>
      <w:r>
        <w:rPr>
          <w:rFonts w:ascii="Arial" w:cs="Arial" w:eastAsia="Arial" w:hAnsi="Arial"/>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372" w:lineRule="exact"/>
        <w:rPr>
          <w:rFonts w:ascii="Arial" w:cs="Arial" w:eastAsia="Arial" w:hAnsi="Arial"/>
          <w:sz w:val="16"/>
          <w:szCs w:val="16"/>
          <w:color w:val="auto"/>
        </w:rPr>
      </w:pPr>
    </w:p>
    <w:p>
      <w:pPr>
        <w:ind w:left="5520" w:hanging="130"/>
        <w:spacing w:after="0"/>
        <w:tabs>
          <w:tab w:leader="none" w:pos="5520" w:val="left"/>
        </w:tabs>
        <w:numPr>
          <w:ilvl w:val="1"/>
          <w:numId w:val="25"/>
        </w:numPr>
        <w:rPr>
          <w:rFonts w:ascii="Arial" w:cs="Arial" w:eastAsia="Arial" w:hAnsi="Arial"/>
          <w:sz w:val="22"/>
          <w:szCs w:val="22"/>
          <w:color w:val="auto"/>
        </w:rPr>
      </w:pPr>
      <w:r>
        <w:rPr>
          <w:rFonts w:ascii="Arial" w:cs="Arial" w:eastAsia="Arial" w:hAnsi="Arial"/>
          <w:sz w:val="22"/>
          <w:szCs w:val="22"/>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20" w:right="20" w:firstLine="1952"/>
        <w:spacing w:after="0" w:line="258" w:lineRule="auto"/>
        <w:tabs>
          <w:tab w:leader="none" w:pos="21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Trading Day</w:t>
      </w:r>
      <w:r>
        <w:rPr>
          <w:rFonts w:ascii="Arial" w:cs="Arial" w:eastAsia="Arial" w:hAnsi="Arial"/>
          <w:sz w:val="18"/>
          <w:szCs w:val="18"/>
          <w:color w:val="auto"/>
        </w:rPr>
        <w:t>” means a day on which (A) there is no VWAP Market Disruption Event; provided that the Holder, by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83" w:lineRule="exact"/>
        <w:rPr>
          <w:sz w:val="20"/>
          <w:szCs w:val="20"/>
          <w:color w:val="auto"/>
        </w:rPr>
      </w:pPr>
    </w:p>
    <w:p>
      <w:pPr>
        <w:ind w:left="-20" w:firstLine="1952"/>
        <w:spacing w:after="0" w:line="268" w:lineRule="auto"/>
        <w:tabs>
          <w:tab w:leader="none" w:pos="2249"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7" w:name="page28"/>
    <w:bookmarkEnd w:id="2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Company and the Holder has caused this Warrant to Purchase Common Stock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Date set out above.</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8" w:name="page29"/>
    <w:bookmarkEnd w:id="28"/>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Company and the Holder has caused this Warrant to Purchase Common Stock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Date set out above.</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HIGH TRAIL SPECIAL SITUATIONS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Helenek</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Agrify</w:t>
      </w:r>
    </w:p>
    <w:p>
      <w:pPr>
        <w:spacing w:after="0" w:line="39"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Corporation, a corporation organized under the laws of Delaware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 defined shall have the respective meanings set forth in the Warrant.</w:t>
      </w:r>
    </w:p>
    <w:p>
      <w:pPr>
        <w:spacing w:after="0" w:line="161" w:lineRule="exact"/>
        <w:rPr>
          <w:sz w:val="20"/>
          <w:szCs w:val="20"/>
          <w:color w:val="auto"/>
        </w:rPr>
      </w:pPr>
    </w:p>
    <w:p>
      <w:pPr>
        <w:ind w:left="840" w:hanging="18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of Exercise Price. The Holder intends that payment of the Exercise Price shall be made as: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 Exercise”</w:t>
      </w:r>
      <w:r>
        <w:rPr>
          <w:rFonts w:ascii="Arial" w:cs="Arial" w:eastAsia="Arial" w:hAnsi="Arial"/>
          <w:sz w:val="18"/>
          <w:szCs w:val="18"/>
          <w:color w:val="auto"/>
        </w:rPr>
        <w:t xml:space="preserve"> with respect to _________________ Warrant Shares; and/or</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with respect to _______________ Warrant Shares.</w:t>
      </w:r>
    </w:p>
    <w:p>
      <w:pPr>
        <w:spacing w:after="0" w:line="225" w:lineRule="exact"/>
        <w:rPr>
          <w:rFonts w:ascii="Arial" w:cs="Arial" w:eastAsia="Arial" w:hAnsi="Arial"/>
          <w:sz w:val="18"/>
          <w:szCs w:val="18"/>
          <w:color w:val="auto"/>
        </w:rPr>
      </w:pPr>
    </w:p>
    <w:p>
      <w:pPr>
        <w:ind w:right="280" w:firstLine="656"/>
        <w:spacing w:after="0" w:line="263" w:lineRule="auto"/>
        <w:tabs>
          <w:tab w:leader="none" w:pos="8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rFonts w:ascii="Arial" w:cs="Arial" w:eastAsia="Arial" w:hAnsi="Arial"/>
          <w:sz w:val="16"/>
          <w:szCs w:val="16"/>
          <w:color w:val="auto"/>
        </w:rPr>
      </w:pPr>
    </w:p>
    <w:p>
      <w:pPr>
        <w:ind w:right="360" w:firstLine="656"/>
        <w:spacing w:after="0" w:line="257" w:lineRule="auto"/>
        <w:tabs>
          <w:tab w:leader="none" w:pos="8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Maximum Percentage Representation. Notwithstanding anything to the contrary contained herein, this Exercise Notice shall constitute a representation by the Holder of the Warrant submitting this Exercise Notice that, after giving effect to the exercise provided for in this Exercise Notice, such Holder (together with the other Attribution Parties) will not have beneficial ownership of a number of shares of Common Stock in excess of the Maximum Percentage of the total outstanding shares of Common Stock of the Company as determined pursuant to the provisions of </w:t>
      </w:r>
      <w:r>
        <w:rPr>
          <w:rFonts w:ascii="Arial" w:cs="Arial" w:eastAsia="Arial" w:hAnsi="Arial"/>
          <w:sz w:val="18"/>
          <w:szCs w:val="18"/>
          <w:u w:val="single" w:color="auto"/>
          <w:color w:val="auto"/>
        </w:rPr>
        <w:t>Section 1(f)</w:t>
      </w:r>
      <w:r>
        <w:rPr>
          <w:rFonts w:ascii="Arial" w:cs="Arial" w:eastAsia="Arial" w:hAnsi="Arial"/>
          <w:sz w:val="18"/>
          <w:szCs w:val="18"/>
          <w:color w:val="auto"/>
        </w:rPr>
        <w:t xml:space="preserve"> of the Warrant.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ind w:right="-59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Broadridge Corporate Issuer Solutions, Inc. to issue the above indicated number of shares of Common Stock on or prior to the applicable Share Delivery Date.</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904" w:right="9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GRIFY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Secured Note due 2026</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ISSUANCE AND SALE OF NEITHER THE SECURITIES REPRESENTED BY THIS CERTIFICATE NOR THE SECURITIES THAT MAY BE ISSUABLE PURSUANT TO THIS NOTE HAVE BEEN REGISTERED UNDER THE SECURITIES ACT OF 1933, AS AMENDED (THE “SECURITIES ACT”), OR APPLICABLE STATE SECURITIES LAWS. UNTIL THE DATE THAT IS ONE (1) YEAR AFTER THE ISSUE DATE (AS DEFINED ON THE REVERSE OF THIS NOTE),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GRIFY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Senior Secured Note due 2026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A-1</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Agrify Corporation,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for value received, promises to pay to High Trail Special Situations LLC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Holder</w:t>
      </w:r>
      <w:r>
        <w:rPr>
          <w:rFonts w:ascii="Arial" w:cs="Arial" w:eastAsia="Arial" w:hAnsi="Arial"/>
          <w:sz w:val="16"/>
          <w:szCs w:val="16"/>
          <w:color w:val="auto"/>
        </w:rPr>
        <w:t>”), or its registered assigns, the principal sum of sixty five million dollars ($65,000,000) (such principal sum, the “</w:t>
      </w:r>
      <w:r>
        <w:rPr>
          <w:rFonts w:ascii="Arial" w:cs="Arial" w:eastAsia="Arial" w:hAnsi="Arial"/>
          <w:sz w:val="16"/>
          <w:szCs w:val="16"/>
          <w:b w:val="1"/>
          <w:bCs w:val="1"/>
          <w:color w:val="auto"/>
        </w:rPr>
        <w:t>Principal Amount</w:t>
      </w:r>
      <w:r>
        <w:rPr>
          <w:rFonts w:ascii="Arial" w:cs="Arial" w:eastAsia="Arial" w:hAnsi="Arial"/>
          <w:sz w:val="16"/>
          <w:szCs w:val="16"/>
          <w:color w:val="auto"/>
        </w:rPr>
        <w: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1, 2026, and to pay any outstanding interest thereon, as provided in this Note, in each case as provided in and subject to the other provisions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including the earlier redemption or repurchase of this Note.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33" w:name="page34"/>
    <w:bookmarkEnd w:id="33"/>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Agrify Corporation has caused this instrument to be duly executed as of the date set forth below.</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GRIFY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_________</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(Signature Page to Senior Secured Note due 2026, Certificate No.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4" w:name="page35"/>
    <w:bookmarkEnd w:id="34"/>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GRIFY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Senior Secured Note due 2026</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This Note (this “</w:t>
      </w:r>
      <w:r>
        <w:rPr>
          <w:rFonts w:ascii="Arial" w:cs="Arial" w:eastAsia="Arial" w:hAnsi="Arial"/>
          <w:sz w:val="18"/>
          <w:szCs w:val="18"/>
          <w:b w:val="1"/>
          <w:bCs w:val="1"/>
          <w:color w:val="auto"/>
        </w:rPr>
        <w:t>Note</w:t>
      </w:r>
      <w:r>
        <w:rPr>
          <w:rFonts w:ascii="Arial" w:cs="Arial" w:eastAsia="Arial" w:hAnsi="Arial"/>
          <w:sz w:val="18"/>
          <w:szCs w:val="18"/>
          <w:color w:val="auto"/>
        </w:rPr>
        <w:t>” and, collectively with any Note issued in exchange therefor or in substitution thereof, the “</w:t>
      </w:r>
      <w:r>
        <w:rPr>
          <w:rFonts w:ascii="Arial" w:cs="Arial" w:eastAsia="Arial" w:hAnsi="Arial"/>
          <w:sz w:val="18"/>
          <w:szCs w:val="18"/>
          <w:b w:val="1"/>
          <w:bCs w:val="1"/>
          <w:color w:val="auto"/>
        </w:rPr>
        <w:t>Notes</w:t>
      </w:r>
      <w:r>
        <w:rPr>
          <w:rFonts w:ascii="Arial" w:cs="Arial" w:eastAsia="Arial" w:hAnsi="Arial"/>
          <w:sz w:val="18"/>
          <w:szCs w:val="18"/>
          <w:color w:val="auto"/>
        </w:rPr>
        <w:t>”) is issued by Agrify Corporation,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designated as its “Senior Secured Notes due 2026.”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EBITDA</w:t>
      </w:r>
      <w:r>
        <w:rPr>
          <w:rFonts w:ascii="Arial" w:cs="Arial" w:eastAsia="Arial" w:hAnsi="Arial"/>
          <w:sz w:val="17"/>
          <w:szCs w:val="17"/>
          <w:color w:val="auto"/>
        </w:rPr>
        <w:t>” means, for any fiscal quarter, the Adjusted EBITDA of the Company, calculated as: (i) total net income (loss); (ii) plus (minus) interest expense (income) (iii) plus (minus) income taxes (recovery); (iv) plus depreciation; (v) plus amortization; (vi) plus changes in contingent earnout consideration; (vii) plus extraordinary costs, charges, and expenses, including out-of-pocket transaction expenses incurred in connection with the consummation of acquisitions, dispositions, debt and equity financings and related transactions, and (viii) plus impairments of goodwill or intangible assets, in each case determined consistently with the Company's historical accounting practices and as publicly disclosed in the Company’s historical financial statements included in its most recent Annual Report on Form 10-K and/or Quarterly Report on Form 10-Q.</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144 under the Securities Act.</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xml:space="preserve">” means, with respect to a Note, (A) the first calendar day of each month beginning on February 1, 2023; and (B) if not otherwise included in </w:t>
      </w:r>
      <w:r>
        <w:rPr>
          <w:rFonts w:ascii="Arial" w:cs="Arial" w:eastAsia="Arial" w:hAnsi="Arial"/>
          <w:sz w:val="18"/>
          <w:szCs w:val="18"/>
          <w:b w:val="1"/>
          <w:bCs w:val="1"/>
          <w:color w:val="auto"/>
        </w:rPr>
        <w:t>clause (A)</w:t>
      </w:r>
      <w:r>
        <w:rPr>
          <w:rFonts w:ascii="Arial" w:cs="Arial" w:eastAsia="Arial" w:hAnsi="Arial"/>
          <w:sz w:val="18"/>
          <w:szCs w:val="18"/>
          <w:color w:val="auto"/>
        </w:rPr>
        <w:t>, the Maturity Date.</w:t>
      </w:r>
    </w:p>
    <w:p>
      <w:pPr>
        <w:spacing w:after="0" w:line="162"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Payment</w:t>
      </w:r>
      <w:r>
        <w:rPr>
          <w:rFonts w:ascii="Arial" w:cs="Arial" w:eastAsia="Arial" w:hAnsi="Arial"/>
          <w:sz w:val="18"/>
          <w:szCs w:val="18"/>
          <w:color w:val="auto"/>
        </w:rPr>
        <w:t>” means, with respect to any Amortization Date, an amount equal to two million six hundred thousand dollars ($2,600,000) on each such Amortization Date.</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Denomination</w:t>
      </w:r>
      <w:r>
        <w:rPr>
          <w:rFonts w:ascii="Arial" w:cs="Arial" w:eastAsia="Arial" w:hAnsi="Arial"/>
          <w:sz w:val="18"/>
          <w:szCs w:val="18"/>
          <w:color w:val="auto"/>
        </w:rPr>
        <w:t>” means, with respect to the Notes, a Principal Amount thereof equal to $1,000 or any integral multiple of $1,000 in excess thereof, or, if such Principal Amount then-outstanding is less than $1,000, then such outstanding Principal Amount.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duly authorized to act on behalf of such board.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Event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means any day other than a Saturday, a Sunday or any day on which commercial banks in The City of New York are authorized or required by law or executive order to close or be closed;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35" w:name="page36"/>
    <w:bookmarkEnd w:id="35"/>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means, with respect to any Person, any leasing or similar arrangement conveying the right to use any property, whether real or personal property, or a combination thereof, by that Person as lessee that, in conformity with GAAP, is required to be accounted for as a capital lease on the balance sheet of such Person.</w:t>
      </w:r>
    </w:p>
    <w:p>
      <w:pPr>
        <w:spacing w:after="0" w:line="176"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 Obligation</w:t>
      </w:r>
      <w:r>
        <w:rPr>
          <w:rFonts w:ascii="Arial" w:cs="Arial" w:eastAsia="Arial" w:hAnsi="Arial"/>
          <w:sz w:val="18"/>
          <w:szCs w:val="18"/>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0"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all cash and liquid funds.</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 (B) marketable direct obligations issued by any state of the United States of America or any political subdivision of any such state or any public instrumentality thereof, in each case maturing within one (1) year after such date and having, at the time of the acquisition thereof, a rating of at least A-1 from Standard &amp; Poor’s Corporation or at least P-1 from Moody’s Investors Service; (C) commercial paper maturing no more than one (1) year from the date of creation thereof and having, at the time of the acquisition thereof, a rating of at least A-1 from Standard &amp; Poor’s Corporation or at least P-1 from Moody’s Investors Service; (D) certificates of deposit or bankers’ acceptances maturing within one (1) year after such date and issued or accepted by any commercial bank organized under the laws of the United States of America or any State, or the District of Columbia that (i) is at least “adequately capitalized” (as defined in the regulations of its primary federal banking regulator), and (ii) has Tier 1 capital (as defined in such regulations) of not less than $5,000,000,000; and (E) shares of any money market mutual fund that (i) has substantially all of its assets invested continuously in the types of investments referred to in clauses</w:t>
      </w:r>
    </w:p>
    <w:p>
      <w:pPr>
        <w:spacing w:after="0" w:line="8" w:lineRule="exact"/>
        <w:rPr>
          <w:sz w:val="20"/>
          <w:szCs w:val="20"/>
          <w:color w:val="auto"/>
        </w:rPr>
      </w:pPr>
    </w:p>
    <w:p>
      <w:pPr>
        <w:ind w:right="80" w:firstLine="8"/>
        <w:spacing w:after="0" w:line="260" w:lineRule="auto"/>
        <w:tabs>
          <w:tab w:leader="none" w:pos="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(B) above, (ii) has net assets of not less than $5,000,000,000, and (iii) has the highest rating obtainable from either Standard &amp; Poor’s Corporation or Moody’s Investors Service.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has the meaning set forth in the Security Agreements.</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means High Trail Special Situations LLC in its capacity as collateral agent for the Holder and each Other Holder, together with any successor thereto in such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Redemption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Redemption Notice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8(A)</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Redemption Price</w:t>
      </w:r>
      <w:r>
        <w:rPr>
          <w:rFonts w:ascii="Arial" w:cs="Arial" w:eastAsia="Arial" w:hAnsi="Arial"/>
          <w:sz w:val="18"/>
          <w:szCs w:val="18"/>
          <w:color w:val="auto"/>
        </w:rPr>
        <w:t>” means a cash amount equal to one hundred and six point seven five percent (106.75%) of the Principal Amount then outstanding, plus accrued and unpaid interest.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as applied to any Person, any direct or indirect liability, contingent or otherwise, of that Person with respect to</w:t>
      </w:r>
    </w:p>
    <w:p>
      <w:pPr>
        <w:spacing w:after="0" w:line="50" w:lineRule="exact"/>
        <w:rPr>
          <w:sz w:val="20"/>
          <w:szCs w:val="20"/>
          <w:color w:val="auto"/>
        </w:rPr>
      </w:pPr>
    </w:p>
    <w:p>
      <w:pPr>
        <w:ind w:firstLine="8"/>
        <w:spacing w:after="0" w:line="251" w:lineRule="auto"/>
        <w:tabs>
          <w:tab w:leader="none" w:pos="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Indebtedness or other obligations of another Person, including any such obligation directly or indirectly guaranteed, endorsed, co-made or discounted or sold with recourse by that Person, or in respect of which that Person is otherwise directly or indirectly liable; (B) any obligations with respect to undrawn letters of credit, corporate credit cards or merchant services issued for the account of that Person; and (C)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93"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License</w:t>
      </w:r>
      <w:r>
        <w:rPr>
          <w:rFonts w:ascii="Arial" w:cs="Arial" w:eastAsia="Arial" w:hAnsi="Arial"/>
          <w:sz w:val="18"/>
          <w:szCs w:val="18"/>
          <w:color w:val="auto"/>
        </w:rPr>
        <w:t>” means any written agreement granting any right to use any Copyright or Copyright registration, now owned or hereafter acquired by the Company or in which the Company now holds or hereafter acquires any interest.</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all copyrights, whether registered or unregistered, held pursuant to the laws of the United States, any State thereof, or of any other country.</w:t>
      </w:r>
    </w:p>
    <w:p>
      <w:pPr>
        <w:spacing w:after="0" w:line="162"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VWAP</w:t>
      </w:r>
      <w:r>
        <w:rPr>
          <w:rFonts w:ascii="Arial" w:cs="Arial" w:eastAsia="Arial" w:hAnsi="Arial"/>
          <w:sz w:val="17"/>
          <w:szCs w:val="17"/>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4(B)(ii)</w:t>
      </w:r>
      <w:r>
        <w:rPr>
          <w:rFonts w:ascii="Arial" w:cs="Arial" w:eastAsia="Arial" w:hAnsi="Arial"/>
          <w:sz w:val="18"/>
          <w:szCs w:val="18"/>
          <w:color w:val="auto"/>
        </w:rPr>
        <w:t>.</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means, with respect to any Person, any Capital Stock that by its terms (or by the terms of any security into which it is convertible or for which it is exchangeable at the option of the holder) or upon the happening of any event:</w:t>
      </w:r>
    </w:p>
    <w:p>
      <w:pPr>
        <w:spacing w:after="0" w:line="166" w:lineRule="exact"/>
        <w:rPr>
          <w:sz w:val="20"/>
          <w:szCs w:val="20"/>
          <w:color w:val="auto"/>
        </w:rPr>
      </w:pPr>
    </w:p>
    <w:p>
      <w:pPr>
        <w:ind w:left="1600" w:hanging="296"/>
        <w:spacing w:after="0"/>
        <w:tabs>
          <w:tab w:leader="none" w:pos="1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w:t>
      </w:r>
    </w:p>
    <w:p>
      <w:pPr>
        <w:spacing w:after="0" w:line="225" w:lineRule="exact"/>
        <w:rPr>
          <w:rFonts w:ascii="Arial" w:cs="Arial" w:eastAsia="Arial" w:hAnsi="Arial"/>
          <w:sz w:val="18"/>
          <w:szCs w:val="18"/>
          <w:color w:val="auto"/>
        </w:rPr>
      </w:pPr>
    </w:p>
    <w:p>
      <w:pPr>
        <w:jc w:val="both"/>
        <w:ind w:right="60" w:firstLine="1304"/>
        <w:spacing w:after="0" w:line="263" w:lineRule="auto"/>
        <w:tabs>
          <w:tab w:leader="none" w:pos="15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convertible or exchangeable for Indebtedness or Disqualified Stock (excluding Capital Stock convertible or exchangeable solely at the option of the Company or a Subsidiary of the Company; provided that any such conversion or exchange will be deemed an incurrence of Indebtedness or Disqualified Stock, as applicable); or</w:t>
      </w:r>
    </w:p>
    <w:p>
      <w:pPr>
        <w:spacing w:after="0" w:line="183" w:lineRule="exact"/>
        <w:rPr>
          <w:rFonts w:ascii="Arial" w:cs="Arial" w:eastAsia="Arial" w:hAnsi="Arial"/>
          <w:sz w:val="18"/>
          <w:szCs w:val="18"/>
          <w:color w:val="auto"/>
        </w:rPr>
      </w:pPr>
    </w:p>
    <w:p>
      <w:pPr>
        <w:ind w:left="1580" w:hanging="276"/>
        <w:spacing w:after="0"/>
        <w:tabs>
          <w:tab w:leader="none" w:pos="1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redeemable at the option of the holder thereof, in whole or in part,</w:t>
      </w:r>
    </w:p>
    <w:p>
      <w:pPr>
        <w:spacing w:after="0" w:line="225" w:lineRule="exact"/>
        <w:rPr>
          <w:rFonts w:ascii="Arial" w:cs="Arial" w:eastAsia="Arial" w:hAnsi="Arial"/>
          <w:sz w:val="18"/>
          <w:szCs w:val="18"/>
          <w:color w:val="auto"/>
        </w:rPr>
      </w:pPr>
    </w:p>
    <w:p>
      <w:pPr>
        <w:ind w:left="660" w:right="140" w:firstLine="644"/>
        <w:spacing w:after="0" w:line="527" w:lineRule="auto"/>
        <w:tabs>
          <w:tab w:leader="none" w:pos="16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each of clauses (A), (B) and (C), at any point prior to the one hundred eighty-first (181st) day after the Maturity Date. “</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Exchange</w:t>
      </w:r>
      <w:r>
        <w:rPr>
          <w:rFonts w:ascii="Arial" w:cs="Arial" w:eastAsia="Arial" w:hAnsi="Arial"/>
          <w:sz w:val="18"/>
          <w:szCs w:val="18"/>
          <w:color w:val="auto"/>
        </w:rPr>
        <w:t>” means any of The New York Stock Exchange, The NYSE American LLC, The Nasdaq Capital Market, The Nasdaq Global Market or The Nasdaq Global Select Market (or any of their respective successors).</w:t>
      </w:r>
    </w:p>
    <w:p>
      <w:pPr>
        <w:spacing w:after="0" w:line="162" w:lineRule="exact"/>
        <w:rPr>
          <w:sz w:val="20"/>
          <w:szCs w:val="20"/>
          <w:color w:val="auto"/>
        </w:rPr>
      </w:pPr>
    </w:p>
    <w:p>
      <w:pPr>
        <w:ind w:right="30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means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UCC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shall mean, with respect to any Person, any and all shares, interests, participations or other equivalents, including preferred stock or membership interests (however designated, whether voting or non-voting), of equity of such Person, including, if such Person is a partnership, partnership interests (whether general or limited) and including, without limitation, any “equity security” (as that term is defined under Rule 405 promulgated under the Securities Act), and any other interest or participation that confers on a Person the right to receive a share of the profits and losses of, or distributions of assets of, such partnership.</w:t>
      </w:r>
    </w:p>
    <w:p>
      <w:pPr>
        <w:spacing w:after="0" w:line="183"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Rights</w:t>
      </w:r>
      <w:r>
        <w:rPr>
          <w:rFonts w:ascii="Arial" w:cs="Arial" w:eastAsia="Arial" w:hAnsi="Arial"/>
          <w:sz w:val="18"/>
          <w:szCs w:val="18"/>
          <w:color w:val="auto"/>
        </w:rPr>
        <w:t>” shall mean, with respect to any Person, any then-outstanding subscriptions, options, warrants, commitments, preemptive rights, convertible debt, or other equity-linked securities or agreements of any kind for the issuance or sale, of any additional Equity Interests of any class, or partnership or other ownership interests of any type in, such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11(A)</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 Acceleration Amount</w:t>
      </w:r>
      <w:r>
        <w:rPr>
          <w:rFonts w:ascii="Arial" w:cs="Arial" w:eastAsia="Arial" w:hAnsi="Arial"/>
          <w:sz w:val="16"/>
          <w:szCs w:val="16"/>
          <w:color w:val="auto"/>
        </w:rPr>
        <w:t xml:space="preserve">” means, with respect to the delivery of a notice pursuant to </w:t>
      </w:r>
      <w:r>
        <w:rPr>
          <w:rFonts w:ascii="Arial" w:cs="Arial" w:eastAsia="Arial" w:hAnsi="Arial"/>
          <w:sz w:val="16"/>
          <w:szCs w:val="16"/>
          <w:b w:val="1"/>
          <w:bCs w:val="1"/>
          <w:color w:val="auto"/>
        </w:rPr>
        <w:t>Section 11(B)(ii)</w:t>
      </w:r>
      <w:r>
        <w:rPr>
          <w:rFonts w:ascii="Arial" w:cs="Arial" w:eastAsia="Arial" w:hAnsi="Arial"/>
          <w:sz w:val="16"/>
          <w:szCs w:val="16"/>
          <w:color w:val="auto"/>
        </w:rPr>
        <w:t xml:space="preserve"> declaring this Note to be due and payable immediately on account of an Event of Default, a cash amount equal to one hundred and fifteen percent (115%) of the then outstanding Principal Amount of this Note (or such lesser principal amount accelerated pursuant to such notice) plus accrued and unpaid interest on this Note.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means any of the following events:</w:t>
      </w:r>
    </w:p>
    <w:p>
      <w:pPr>
        <w:spacing w:after="0" w:line="229" w:lineRule="exact"/>
        <w:rPr>
          <w:sz w:val="20"/>
          <w:szCs w:val="20"/>
          <w:color w:val="auto"/>
        </w:rPr>
      </w:pPr>
    </w:p>
    <w:p>
      <w:pPr>
        <w:jc w:val="both"/>
        <w:ind w:firstLine="1304"/>
        <w:spacing w:after="0" w:line="259" w:lineRule="auto"/>
        <w:tabs>
          <w:tab w:leader="none" w:pos="15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13(d)(3) of the Exchange Act), other than the Company or its Wholly Owned Subsidiaries, or the employee benefit plans of the Company or its Wholly Owned Subsidiaries, files any report with the Commission indicating that such person or group has become the direct or indirect “beneficial owner” (as defined below) of shares of the Company’s common equity representing more than fifty percent (50%) of the voting power of all of the Company’s then-outstanding common equity; or</w:t>
      </w:r>
    </w:p>
    <w:p>
      <w:pPr>
        <w:spacing w:after="0" w:line="186" w:lineRule="exact"/>
        <w:rPr>
          <w:rFonts w:ascii="Arial" w:cs="Arial" w:eastAsia="Arial" w:hAnsi="Arial"/>
          <w:sz w:val="18"/>
          <w:szCs w:val="18"/>
          <w:color w:val="auto"/>
        </w:rPr>
      </w:pPr>
    </w:p>
    <w:p>
      <w:pPr>
        <w:ind w:right="20" w:firstLine="1304"/>
        <w:spacing w:after="0" w:line="288" w:lineRule="auto"/>
        <w:tabs>
          <w:tab w:leader="none" w:pos="1581"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(other than a subdivision or combination, or solely a change in par value, of the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Arial" w:cs="Arial" w:eastAsia="Arial" w:hAnsi="Arial"/>
          <w:sz w:val="16"/>
          <w:szCs w:val="16"/>
          <w:b w:val="1"/>
          <w:bCs w:val="1"/>
          <w:color w:val="auto"/>
        </w:rPr>
        <w:t>clause (B)</w:t>
      </w:r>
      <w:r>
        <w:rPr>
          <w:rFonts w:ascii="Arial" w:cs="Arial" w:eastAsia="Arial" w:hAnsi="Arial"/>
          <w:sz w:val="16"/>
          <w:szCs w:val="16"/>
          <w:color w:val="auto"/>
        </w:rPr>
        <w: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ind w:right="120" w:firstLine="648"/>
        <w:spacing w:after="0" w:line="314" w:lineRule="auto"/>
        <w:rPr>
          <w:sz w:val="20"/>
          <w:szCs w:val="20"/>
          <w:color w:val="auto"/>
        </w:rPr>
      </w:pPr>
      <w:r>
        <w:rPr>
          <w:rFonts w:ascii="Arial" w:cs="Arial" w:eastAsia="Arial" w:hAnsi="Arial"/>
          <w:sz w:val="16"/>
          <w:szCs w:val="16"/>
          <w:color w:val="auto"/>
        </w:rPr>
        <w:t xml:space="preserve">For the purposes of this definition, (x) any transaction or event described in both </w:t>
      </w:r>
      <w:r>
        <w:rPr>
          <w:rFonts w:ascii="Arial" w:cs="Arial" w:eastAsia="Arial" w:hAnsi="Arial"/>
          <w:sz w:val="16"/>
          <w:szCs w:val="16"/>
          <w:b w:val="1"/>
          <w:bCs w:val="1"/>
          <w:color w:val="auto"/>
        </w:rPr>
        <w:t>clause (A)</w:t>
      </w:r>
      <w:r>
        <w:rPr>
          <w:rFonts w:ascii="Arial" w:cs="Arial" w:eastAsia="Arial" w:hAnsi="Arial"/>
          <w:sz w:val="16"/>
          <w:szCs w:val="16"/>
          <w:color w:val="auto"/>
        </w:rPr>
        <w:t xml:space="preserve"> and in </w:t>
      </w:r>
      <w:r>
        <w:rPr>
          <w:rFonts w:ascii="Arial" w:cs="Arial" w:eastAsia="Arial" w:hAnsi="Arial"/>
          <w:sz w:val="16"/>
          <w:szCs w:val="16"/>
          <w:b w:val="1"/>
          <w:bCs w:val="1"/>
          <w:color w:val="auto"/>
        </w:rPr>
        <w:t>clause (B)(i)</w:t>
      </w:r>
      <w:r>
        <w:rPr>
          <w:rFonts w:ascii="Arial" w:cs="Arial" w:eastAsia="Arial" w:hAnsi="Arial"/>
          <w:sz w:val="16"/>
          <w:szCs w:val="16"/>
          <w:color w:val="auto"/>
        </w:rPr>
        <w:t xml:space="preserve"> or </w:t>
      </w:r>
      <w:r>
        <w:rPr>
          <w:rFonts w:ascii="Arial" w:cs="Arial" w:eastAsia="Arial" w:hAnsi="Arial"/>
          <w:sz w:val="16"/>
          <w:szCs w:val="16"/>
          <w:b w:val="1"/>
          <w:bCs w:val="1"/>
          <w:color w:val="auto"/>
        </w:rPr>
        <w:t>(ii)</w:t>
      </w:r>
      <w:r>
        <w:rPr>
          <w:rFonts w:ascii="Arial" w:cs="Arial" w:eastAsia="Arial" w:hAnsi="Arial"/>
          <w:sz w:val="16"/>
          <w:szCs w:val="16"/>
          <w:color w:val="auto"/>
        </w:rPr>
        <w:t xml:space="preserve"> above (without regard to the proviso in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will be deemed to occur solely pursuant to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above (subject to such proviso); and (y) whether a Person is a “</w:t>
      </w:r>
      <w:r>
        <w:rPr>
          <w:rFonts w:ascii="Arial" w:cs="Arial" w:eastAsia="Arial" w:hAnsi="Arial"/>
          <w:sz w:val="16"/>
          <w:szCs w:val="16"/>
          <w:b w:val="1"/>
          <w:bCs w:val="1"/>
          <w:color w:val="auto"/>
        </w:rPr>
        <w:t>beneficial</w:t>
      </w:r>
      <w:r>
        <w:rPr>
          <w:rFonts w:ascii="Arial" w:cs="Arial" w:eastAsia="Arial" w:hAnsi="Arial"/>
          <w:sz w:val="16"/>
          <w:szCs w:val="16"/>
          <w:color w:val="auto"/>
        </w:rPr>
        <w:t xml:space="preserve"> </w:t>
      </w:r>
      <w:r>
        <w:rPr>
          <w:rFonts w:ascii="Arial" w:cs="Arial" w:eastAsia="Arial" w:hAnsi="Arial"/>
          <w:sz w:val="16"/>
          <w:szCs w:val="16"/>
          <w:b w:val="1"/>
          <w:bCs w:val="1"/>
          <w:color w:val="auto"/>
        </w:rPr>
        <w:t>owner</w:t>
      </w:r>
      <w:r>
        <w:rPr>
          <w:rFonts w:ascii="Arial" w:cs="Arial" w:eastAsia="Arial" w:hAnsi="Arial"/>
          <w:sz w:val="16"/>
          <w:szCs w:val="16"/>
          <w:color w:val="auto"/>
        </w:rPr>
        <w:t>” and whether shares are “</w:t>
      </w:r>
      <w:r>
        <w:rPr>
          <w:rFonts w:ascii="Arial" w:cs="Arial" w:eastAsia="Arial" w:hAnsi="Arial"/>
          <w:sz w:val="16"/>
          <w:szCs w:val="16"/>
          <w:b w:val="1"/>
          <w:bCs w:val="1"/>
          <w:color w:val="auto"/>
        </w:rPr>
        <w:t>beneficially owned</w:t>
      </w:r>
      <w:r>
        <w:rPr>
          <w:rFonts w:ascii="Arial" w:cs="Arial" w:eastAsia="Arial" w:hAnsi="Arial"/>
          <w:sz w:val="16"/>
          <w:szCs w:val="16"/>
          <w:color w:val="auto"/>
        </w:rPr>
        <w:t>” will be determined in accordance with Rule 13d-3 under the Exchange Act.</w:t>
      </w:r>
    </w:p>
    <w:p>
      <w:pPr>
        <w:spacing w:after="0" w:line="14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Base Repurchase Price</w:t>
      </w:r>
      <w:r>
        <w:rPr>
          <w:rFonts w:ascii="Arial" w:cs="Arial" w:eastAsia="Arial" w:hAnsi="Arial"/>
          <w:sz w:val="18"/>
          <w:szCs w:val="18"/>
          <w:color w:val="auto"/>
        </w:rPr>
        <w:t>” means, with respect to this Note (or any portion of this Note to be repurchased) upon a Repurchase Upon Fundamental Change, a cash amount equal to one hundred seven percent (107%) of the then-outstanding Principal Amount of such Note (or portion thereof) to be so repurchased.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Notice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6(C)</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xml:space="preserve">” means the date as of which this Note must be repurchased for cash in connection with a Fundamental Change, as provided in </w:t>
      </w:r>
      <w:r>
        <w:rPr>
          <w:rFonts w:ascii="Arial" w:cs="Arial" w:eastAsia="Arial" w:hAnsi="Arial"/>
          <w:sz w:val="18"/>
          <w:szCs w:val="18"/>
          <w:b w:val="1"/>
          <w:bCs w:val="1"/>
          <w:color w:val="auto"/>
        </w:rPr>
        <w:t>Section 6(B)</w:t>
      </w:r>
      <w:r>
        <w:rPr>
          <w:rFonts w:ascii="Arial" w:cs="Arial" w:eastAsia="Arial" w:hAnsi="Arial"/>
          <w:sz w:val="18"/>
          <w:szCs w:val="18"/>
          <w:color w:val="auto"/>
        </w:rPr>
        <w:t>.</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xml:space="preserve">” means the cash price payable by the Company to repurchase this Note (or any portion of this Note) upon its Repurchase Upon Fundamental Change, calculated pursuant to </w:t>
      </w:r>
      <w:r>
        <w:rPr>
          <w:rFonts w:ascii="Arial" w:cs="Arial" w:eastAsia="Arial" w:hAnsi="Arial"/>
          <w:sz w:val="18"/>
          <w:szCs w:val="18"/>
          <w:b w:val="1"/>
          <w:bCs w:val="1"/>
          <w:color w:val="auto"/>
        </w:rPr>
        <w:t>Section 6(D)</w:t>
      </w:r>
      <w:r>
        <w:rPr>
          <w:rFonts w:ascii="Arial" w:cs="Arial" w:eastAsia="Arial" w:hAnsi="Arial"/>
          <w:sz w:val="18"/>
          <w:szCs w:val="18"/>
          <w:color w:val="auto"/>
        </w:rPr>
        <w:t>.</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 provided the definitions set forth in this Note and any financial calculations required by thereby shall be computed to exclude any change to lease accounting rules from those in effect pursuant to Financial Accounting Standards Board Accounting Standards Codification 840 (Leases) and other related lease accounting guidance as in effect on the date 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person in whose name this Note is registered on the books of the Company, which initially is the Initial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unless the context provides otherwise.</w:t>
      </w:r>
    </w:p>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indebtedness of any kind, including, without duplication (A) all indebtedness for borrowed money or the deferred purchase price of property or services, including reimbursement and other obligations with respect to surety bonds and letters of credit, (B) all obligations evidenced by notes, bonds, debentures or similar instruments, (C) all Capital Lease Obligations, (D) all Contingent Obligations, and (E) Disqualified Stock.</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Investigator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9(S)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Holder</w:t>
      </w:r>
      <w:r>
        <w:rPr>
          <w:rFonts w:ascii="Arial" w:cs="Arial" w:eastAsia="Arial" w:hAnsi="Arial"/>
          <w:sz w:val="18"/>
          <w:szCs w:val="18"/>
          <w:color w:val="auto"/>
        </w:rPr>
        <w:t>” has the meaning set forth in the cover page of this Note.</w:t>
      </w:r>
    </w:p>
    <w:p>
      <w:pPr>
        <w:spacing w:after="0" w:line="225"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of the Company’s Copyrights; Trademarks; Patents; Licenses; trade secrets and inventions; mask works; the Company’s applications therefor and reissues, extensions, or renewals thereof; and the Company’s goodwill associated with any of the foregoing, together with the Company’s rights to sue for past, present and future infringement of Intellectual Property and the goodwill associated therewith.</w:t>
      </w:r>
    </w:p>
    <w:p>
      <w:pPr>
        <w:spacing w:after="0" w:line="14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(A) each March 1, June 1, September 1 and December 1 of each calendar year, beginning on June 1, 2022; and (B) if not otherwise included in clause (A), the Maturity Date.</w:t>
      </w:r>
    </w:p>
    <w:p>
      <w:pPr>
        <w:spacing w:after="0" w:line="162"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 to solely the extent of the amount in excess of the fair market value.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March __,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w:t>
      </w:r>
      <w:r>
        <w:rPr>
          <w:rFonts w:ascii="Arial" w:cs="Arial" w:eastAsia="Arial" w:hAnsi="Arial"/>
          <w:sz w:val="18"/>
          <w:szCs w:val="18"/>
          <w:color w:val="auto"/>
        </w:rPr>
        <w:t>” means any Copyright License, Patent License, Trademark License or other license of rights or interests.</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research and development agreements that do not create or purport to create a security interest, encumbrance, levy, lien or charge of any kind shall not be deemed to be Liens for purposes of this Note.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right="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March 1, 2026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or</w:t>
      </w:r>
      <w:r>
        <w:rPr>
          <w:rFonts w:ascii="Arial" w:cs="Arial" w:eastAsia="Arial" w:hAnsi="Arial"/>
          <w:sz w:val="18"/>
          <w:szCs w:val="18"/>
          <w:color w:val="auto"/>
        </w:rPr>
        <w:t>” is not exclusive, unless the context expressly provides otherwise.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Holder</w:t>
      </w:r>
      <w:r>
        <w:rPr>
          <w:rFonts w:ascii="Arial" w:cs="Arial" w:eastAsia="Arial" w:hAnsi="Arial"/>
          <w:sz w:val="18"/>
          <w:szCs w:val="18"/>
          <w:color w:val="auto"/>
        </w:rPr>
        <w:t>” means any person in whose name any Other Note is registered on the books of the Company.</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Notes</w:t>
      </w:r>
      <w:r>
        <w:rPr>
          <w:rFonts w:ascii="Arial" w:cs="Arial" w:eastAsia="Arial" w:hAnsi="Arial"/>
          <w:sz w:val="18"/>
          <w:szCs w:val="18"/>
          <w:color w:val="auto"/>
        </w:rPr>
        <w:t>” means any Notes that are of the same class of this Note and that are represented by one or more certificates other than the certificate representing this Note.</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w:t>
      </w:r>
      <w:r>
        <w:rPr>
          <w:rFonts w:ascii="Arial" w:cs="Arial" w:eastAsia="Arial" w:hAnsi="Arial"/>
          <w:sz w:val="18"/>
          <w:szCs w:val="18"/>
          <w:color w:val="auto"/>
        </w:rPr>
        <w:t>” means any written agreement granting any right with respect to any invention covered by a Patent that is in existence or a Patent application that is pending, in which agreement the Company now holds or hereafter acquires any interest.</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letters patent of, or rights corresponding thereto, in the United States or in any other country, all registrations and recordings thereof, and all applications for letters patent of, or rights corresponding thereto, in the United States or any other country.</w:t>
      </w:r>
    </w:p>
    <w:p>
      <w:pPr>
        <w:spacing w:after="0" w:line="162" w:lineRule="exact"/>
        <w:rPr>
          <w:sz w:val="20"/>
          <w:szCs w:val="20"/>
          <w:color w:val="auto"/>
        </w:rPr>
      </w:pPr>
    </w:p>
    <w:p>
      <w:pPr>
        <w:ind w:right="18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means any transaction or series of related transactions consummated by the Company or one of its Subsidiaries for the purpose of or resulting, directly or indirectly, in (a) the acquisition of all or substantially all of the assets of a Person, or of any business or division of a Person, (b) the acquisition of in excess of fifty percent (50%) of the capital stock or equity interests of any Person or otherwise causing any Person to become a Subsidiary of the Company, or (c) a merger or consolidation or any other combination with another Person; provided, so long as no Default or Event of Default shall then exist or would exist after giving effect to any of the foregoing; provided further, that the purchase price or consideration in respect of all of the foregoing in the aggregate (for all such aforementioned purchases, acquisitions, mergers, consolidations or Investments) at any time shall not exceed an amount equal to the aggregate purchase price of the Purchased Securities outstanding at such time.</w:t>
      </w:r>
    </w:p>
    <w:p>
      <w:pPr>
        <w:spacing w:after="0" w:line="16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(A) Indebtedness evidenced by the Notes (as defined in the Securities Purchase Agreement); (B) Indebtedness actually disclosed pursuant to the Securities Purchase Agreement as of the date of the Securities Purchase Agreement; (C) nonrecourse Indebtedness outstanding at any time secured by a Lien described in clause (G) of the defined term “Permitted Liens,” provided such Indebtedness does not exceed the cost of the Equipment or real property interests and related expenses financed with such Indebtedness or in the form of purchase money Indebtedness (whether in the form of a loan or a lease) used solely to acquire Equipment or real property interests used in the ordinary course of business and secured only by such Equipment and real property interests and sale and insurance proceeds in respect thereof, and provided further that the total amount of Permitted Indebtedness permitted pursuant to this clause (C) may not exceed five million dollars ($5,000,000) in the aggregate; (D) nonrecourse Indebtedness outstanding at any time secured by a Lien described in clause (H) of the defined term “Permitted Liens,” provided such Indebtedness does not exceed the cost of the software or other intellectual property and related expenses financed with such Indebtedness or in the form of purchase money Indebtedness (whether in the form of a loan or a lease) used solely to acquire software or other intellectual property used in the ordinary course of business and secured only by such software or other intellectual property and sale and insurance proceeds in respect thereof, provided further that the total amount of Permitted Indebtedness permitted pursuant to this clause (D) may not exceed five hundred thousand dollars ($500,000) in the aggregate; (E) Indebtedness to trade creditors incurred in the ordinary course of business; (F) Subordinated Indebtedness of the Company; (G) reimbursement obligations in connection with letters of credit or similar instruments that are secured by Cash or Cash Equivalents and issued on behalf of the Company or a Subsidiary thereof in an aggregate amount not to exceed five hundred thousand dollars ($500,000) at any time outstanding; (H) unsecured Indebtedness of the Company, (I) Contingent Obligations that are guarantees of Indebtedness described in clauses (A) through (H) and (J); and (J) earn-outs incurred in connection with any Permitted Acquisition that are subordinated in full to the Notes to the satisfaction of the Holder and do not exceed (a) ten million dollars ($10,000,000) in the aggregate due in any twelve-month period and (b) twenty million dollars ($20,000,000); provided that in no event shall Permitted Indebtedness under</w:t>
      </w:r>
    </w:p>
    <w:p>
      <w:pPr>
        <w:spacing w:after="0" w:line="1" w:lineRule="exact"/>
        <w:rPr>
          <w:sz w:val="20"/>
          <w:szCs w:val="20"/>
          <w:color w:val="auto"/>
        </w:rPr>
      </w:pPr>
    </w:p>
    <w:p>
      <w:pPr>
        <w:ind w:right="60" w:firstLine="8"/>
        <w:spacing w:after="0" w:line="253"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clauses (B)-(J) of this definition exceed in the aggregate an amount equal to the aggregate purchase price of the Purchased Securities outstanding at any time or (y) clauses (F) or (H) (1) have a final maturity date, amortization payment, sinking fund, put right, mandatory redemption or other repurchase obligation at the option of the lender or holder of such indebtedness, or be prepayable at the option of the Company, in any case earlier than one hundred eighty-one (181) days following the Maturity Date or (2) have any covenants that are more restrictive on the Company in any material respect than the covenants set forth in this Note.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right="1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Intellectual Property Licenses</w:t>
      </w:r>
      <w:r>
        <w:rPr>
          <w:rFonts w:ascii="Arial" w:cs="Arial" w:eastAsia="Arial" w:hAnsi="Arial"/>
          <w:sz w:val="16"/>
          <w:szCs w:val="16"/>
          <w:color w:val="auto"/>
        </w:rPr>
        <w:t>” means Intellectual Property (A) licenses in existence at the Issue Date, including those listed on the Schedules to the Security Agreements, and (B) non-perpetual licenses granted in the ordinary course of business on arm’s length terms consisting of the licensing of technology, the development of technology or the providing of technical support which may include licenses with unlimited renewal options solely to the extent such options require mutual consent for renewal or are subject to financial or other conditions as to the ability of licensee to perform under the license; provided such license was not entered into during an Event of Default or continuance of a Default.</w:t>
      </w:r>
    </w:p>
    <w:p>
      <w:pPr>
        <w:spacing w:after="0" w:line="15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w:t>
      </w:r>
      <w:r>
        <w:rPr>
          <w:rFonts w:ascii="Arial" w:cs="Arial" w:eastAsia="Arial" w:hAnsi="Arial"/>
          <w:sz w:val="17"/>
          <w:szCs w:val="17"/>
          <w:color w:val="auto"/>
        </w:rPr>
        <w:t>” means: (A) Investments actually disclosed pursuant to the Securities Purchase Agreement, as in effect as of the Issue Date; (B) (i) marketable direct obligations issued or unconditionally guaranteed by the United States of America or any agency or any State thereof maturing within one year from the date of acquisition thereof, (ii) commercial paper maturing no more than one year from the date of creation thereof and currently having a rating of at least A-2 or P-2 from either Standard &amp; Poor’s Corporation or Moody’s Investors Service, (iii) certificates of deposit issued by any bank headquartered in the United States with assets of at least $5,000,000,000 maturing no more than one year from the date of investment therein, and (iv) money market accounts; (C) Investments accepted in connection with Permitted Transfers; (D) Investments (including debt obligations) received in connection with the bankruptcy or reorganization of customers or suppliers and in settlement of delinquent obligations of, and other disputes with, customers or suppliers arising in the ordinary course of the Company’s business; (E) Investments consisting of notes receivable of, or prepaid royalties and other credit extensions, to customers and suppliers in the ordinary course of business and consistent with past practice, provided that this clause (E) shall not apply to Investments of the Company in any Subsidiary thereof; (F) Investments consisting of (i) loans not involving the net transfer on a substantially contemporaneous basis of cash proceeds to employees, officers or directors relating to the purchase of capital stock of the Company pursuant to employee stock purchase plans or other similar agreements approved by the Company’s Board of Directors and (ii) travel advances and employee relocation loans and other employee loans and advances in the ordinary course of business, provided that the aggregate of all such loans outstanding may not exceed one hundred thousand ($100,000) at any time; (G) Investments in Wholly Owned Subsidiaries; (H) Permitted Intellectual Property Licenses; (I) Permitted Acquisitions; (J) loans, advances or other capital contributions to Company customers pursuant to a TTK Contract with such customer; (K) Investments in a TTK SPV;and (L) Investments in real property.</w:t>
      </w:r>
    </w:p>
    <w:p>
      <w:pPr>
        <w:spacing w:after="0" w:line="18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any and all of the following: (A) Liens in favor of Holder or the Collateral Agent; (B) Liens deemed to be disclosed pursuant to the Securities Purchase Agreement, as in effect as of the Issue Date; (C) Liens for taxes, fees, assessments or other governmental charges or levies, either not delinquent or being contested in good faith by appropriate proceedings; provided, that the Company maintains adequate reserves therefor in accordance with GAAP; (D) Liens securing claims or demands of materialmen, artisans, mechanics, carriers, warehousemen, landlords and other like Persons arising in the ordinary course of business; provided, that the payment thereof is not yet required; (E) Liens arising from judgments, decrees or attachments in circumstances which do not constitute a Default or an Event of Default hereunder; (F)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(G) Liens on Equipment (but, for the avoidance of doubt, not software or other intellectual property) or real property interests constituting purchase money Liens or Liens securing construction financing for real property interests and Liens in connection with Capital Leases securing Indebtedness permitted in clause (C) of “Permitted Indebtedness”; (H) Liens on software or other intellectual property (but, for the avoidance of doubt, not Equipment or real property interests related thereto) constituting purchase money Liens and Liens in connection with Capital Leases securing Indebtedness permitted in clause (D) of “Permitted Indebtedness”;</w:t>
      </w:r>
    </w:p>
    <w:p>
      <w:pPr>
        <w:spacing w:after="0" w:line="5" w:lineRule="exact"/>
        <w:rPr>
          <w:sz w:val="20"/>
          <w:szCs w:val="20"/>
          <w:color w:val="auto"/>
        </w:rPr>
      </w:pPr>
    </w:p>
    <w:p>
      <w:pPr>
        <w:ind w:right="20" w:firstLine="8"/>
        <w:spacing w:after="0" w:line="267" w:lineRule="auto"/>
        <w:tabs>
          <w:tab w:leader="none" w:pos="225"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leasehold interests in leases or subleases and licenses granted in the ordinary course of the Company’s business and not interfering in any material respect with the business of the licensor; (J) Liens in favor of customs and revenue authorities arising as a matter of law to secure payment of custom duties that are promptly paid on or before the date they become due; (K) Liens on insurance proceeds securing the payment of financed insurance premiums that are promptly paid on or before the date they become due (provided that such Liens extend only to such insurance proceeds and not to any other property or assets); (L) statutory and common law rights of set-off and other similar rights as to deposits of cash and securities in favor of banks, other depository institutions and brokerage firms; (M) easements, zoning restrictions, rights-of-way and similar encumbrances on real property imposed by law or arising in the ordinary course of business so long as they do not materially impair the value or marketability of the related property; (N) Liens on Cash or Cash Equivalents securing obligations permitted under clause (E) and (G) of the definition of Permitted Indebtedness; (O) Liens securing Subordinated Indebtedness, and (P) Liens incurred in connection with the extension, renewal or refinancing of the Indebtedness secured by Liens of the type described in clauses (C) through (O) above (other than any Indebtedness repaid with the proceeds of this Note);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Transfers</w:t>
      </w:r>
      <w:r>
        <w:rPr>
          <w:rFonts w:ascii="Arial" w:cs="Arial" w:eastAsia="Arial" w:hAnsi="Arial"/>
          <w:sz w:val="16"/>
          <w:szCs w:val="16"/>
          <w:color w:val="auto"/>
        </w:rPr>
        <w:t>” means (A) dispositions of inventory sold, and Permitted Intellectual Property Licenses entered into, in each case, in the ordinary course of business, (B) dispositions of worn-out, obsolete or surplus property at fair market value in the ordinary course of business; (C) dispositions of accounts or payment intangibles (each as defined in the UCC) resulting from the compromise or settlement thereof in the ordinary course of business for less than the full amount thereof; (D) transfers consisting of Permitted Investments in Wholly Owned Subsidiaries under clause (G) of Permitted Investments; (E) transfers between Grantors (as defined in the Security Agreement); and (F) other transfers of assets to any Person other than to a joint venture and which have a fair market value of not more than fifty thousand dollars ($50,000) in the aggregate in any twelve (12) month period.</w:t>
      </w:r>
    </w:p>
    <w:p>
      <w:pPr>
        <w:spacing w:after="0" w:line="160" w:lineRule="exact"/>
        <w:rPr>
          <w:sz w:val="20"/>
          <w:szCs w:val="20"/>
          <w:color w:val="auto"/>
        </w:rPr>
      </w:pPr>
    </w:p>
    <w:p>
      <w:pPr>
        <w:ind w:right="5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has the meaning set forth in the cover page of this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Principal Amount of this Note will be subject to reduction pursuant to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8</w:t>
      </w:r>
      <w:r>
        <w:rPr>
          <w:rFonts w:ascii="Arial" w:cs="Arial" w:eastAsia="Arial" w:hAnsi="Arial"/>
          <w:sz w:val="18"/>
          <w:szCs w:val="18"/>
          <w:color w:val="auto"/>
        </w:rPr>
        <w:t xml:space="preserve"> and by an amount equal to the sum of all Amortization Payments made prior to date of determination of the Principal Amount of the Note then outstanding.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Upon Fundamental Change</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means that certain Securities Purchase Agreement, dated as of March 14, 2022, between the Company and High Trail Special Situations LLC providing for the issuance of this Note.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Agreements</w:t>
      </w:r>
      <w:r>
        <w:rPr>
          <w:rFonts w:ascii="Arial" w:cs="Arial" w:eastAsia="Arial" w:hAnsi="Arial"/>
          <w:sz w:val="17"/>
          <w:szCs w:val="17"/>
          <w:color w:val="auto"/>
        </w:rPr>
        <w:t>” means those certain Security Agreements, dated March __, 2022, between the Company and the Collateral Agent.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w:t>
      </w:r>
      <w:r>
        <w:rPr>
          <w:rFonts w:ascii="Arial" w:cs="Arial" w:eastAsia="Arial" w:hAnsi="Arial"/>
          <w:sz w:val="18"/>
          <w:szCs w:val="18"/>
          <w:color w:val="auto"/>
        </w:rPr>
        <w:t>” has the meaning set forth in the Security Agreements.</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with respect to any Person, any Subsidiary of such Person that constitutes a “significant subsidiary” (as defined in Rule 1-02(w) of Regulation S-X under the Exchange Act) of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Interest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Interest Rate</w:t>
      </w:r>
      <w:r>
        <w:rPr>
          <w:rFonts w:ascii="Arial" w:cs="Arial" w:eastAsia="Arial" w:hAnsi="Arial"/>
          <w:sz w:val="18"/>
          <w:szCs w:val="18"/>
          <w:color w:val="auto"/>
        </w:rPr>
        <w:t>” means, as of any date, a rate per annum equal to 6.75%.</w:t>
      </w:r>
    </w:p>
    <w:p>
      <w:pPr>
        <w:spacing w:after="0" w:line="22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Indebtedness subordinated to the Notes that is (a) in amounts and on terms and conditions satisfactory to the Holder in its sole discretion or (b) nonrecourse Indebtedness incurred in connection with the consummation of a TTK Contract that is secured only by assets of the respective TTK SPV, provided that, for the avoidance of doubt, no Indebtedness permitted under this clause (b) shall be guaranteed by the Company or qualify as a liability of the Company.</w:t>
      </w:r>
    </w:p>
    <w:p>
      <w:pPr>
        <w:spacing w:after="0" w:line="18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Corporation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Adjusted EBITDA</w:t>
      </w:r>
      <w:r>
        <w:rPr>
          <w:rFonts w:ascii="Arial" w:cs="Arial" w:eastAsia="Arial" w:hAnsi="Arial"/>
          <w:sz w:val="18"/>
          <w:szCs w:val="18"/>
          <w:color w:val="auto"/>
        </w:rPr>
        <w:t>” means, (i) with respect to the fiscal quarter ending March 31, 2022, negative six million one hundred thousand dollars (-$6,100,000), (ii) with respect to the fiscal quarter ending June 30, 2022, negative five million five hundred thousand dollars (-$5,500,000), (iii) with respect to the fiscal quarter ending September 30, 2022, negative five million dollars (-$5,000,000), (iv) with respect to the fiscal quarter ending December 31, 2022, negative five million dollars (-$5,000,000), (v) with respect to the fiscal quarter ending March 31, 2023, negative four million dollars (-$4,000,000), (vi) with respect to the fiscal quarter ending June 30, 2023, negative three million dollars (-$3,000,000), (vii) with respect to the fiscal quarter ending September 30, 2023, negative two million dollars (-$2,000,000), (viii) with respect to the fiscal quarter ending December 31, 2023, zero dollars ($0), (ix) with respect to the fiscal quarter ending March 31, 2024, zero dollars ($0), (x) with respect to the fiscal quarter ending June 30, 2024, zero dollars ($0), (xi) with respect to the fiscal quarter ending September 30, 2024, zero dollars ($0), and (xii) with respect to the fiscal quarter ending December 31, 2024, zero dollars ($0).</w:t>
      </w:r>
    </w:p>
    <w:p>
      <w:pPr>
        <w:spacing w:after="0" w:line="18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Target Revenue</w:t>
      </w:r>
      <w:r>
        <w:rPr>
          <w:rFonts w:ascii="Arial" w:cs="Arial" w:eastAsia="Arial" w:hAnsi="Arial"/>
          <w:sz w:val="16"/>
          <w:szCs w:val="16"/>
          <w:color w:val="auto"/>
        </w:rPr>
        <w:t>” means, (i) with respect to the fiscal quarter ending March 31, 2022, twenty five million dollars ($25,000,000), (ii) with respect to the fiscal quarter ending June 30, 2022, twenty five million dollars ($25,000,000), (iii) with respect to the fiscal quarter ending September 30, 2022, twenty five million dollars ($25,000,000), (iv) with respect to the fiscal quarter ending December 31, 2022, twenty five million dollars ($25,000,000), (v) with respect to the fiscal quarter ending March 31, 2023, thirty five million dollars ($35,000,000), (vi) with respect to the fiscal quarter ending June 30, 2023, thirty five million dollars ($35,000,000), (vii) with respect to the fiscal quarter ending September 30, 2023, thirty five million dollars ($35,000,000),</w:t>
      </w:r>
    </w:p>
    <w:p>
      <w:pPr>
        <w:spacing w:after="0" w:line="2" w:lineRule="exact"/>
        <w:rPr>
          <w:sz w:val="20"/>
          <w:szCs w:val="20"/>
          <w:color w:val="auto"/>
        </w:rPr>
      </w:pPr>
    </w:p>
    <w:p>
      <w:pPr>
        <w:ind w:firstLine="8"/>
        <w:spacing w:after="0" w:line="253" w:lineRule="auto"/>
        <w:tabs>
          <w:tab w:leader="none" w:pos="4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the fiscal quarter ending December 31, 2023, thirty five million dollars ($35,000,000), (ix) with respect to the fiscal quarter ending March 31, 2024, thirty five million dollars ($35,000,000), (x) with respect to the fiscal quarter ending June 30, 2024, thirty five million dollars ($35,000,000), (xi) with respect to the fiscal quarter ending September 30, 2024, thirty five million dollars ($35,000,000), and (xii) with respect to the fiscal quarter ending December 31, 2024, thirty five million dollars ($35,000,000).</w:t>
      </w:r>
    </w:p>
    <w:p>
      <w:pPr>
        <w:spacing w:after="0" w:line="189"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License</w:t>
      </w:r>
      <w:r>
        <w:rPr>
          <w:rFonts w:ascii="Arial" w:cs="Arial" w:eastAsia="Arial" w:hAnsi="Arial"/>
          <w:sz w:val="18"/>
          <w:szCs w:val="18"/>
          <w:color w:val="auto"/>
        </w:rPr>
        <w:t>” means any written agreement granting any right to use any Trademark or Trademark registration, now owned or hereafter acquired by the Company or in which the Company now holds or hereafter acquires any interest.</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all trademarks (registered, common law or otherwise) and any applications in connection therewith, including registrations, recordings and applications in the United States Patent and Trademark Office or in any similar office or agency of the United States, any State thereof or any other country or any political subdivision thereof.</w:t>
      </w:r>
    </w:p>
    <w:p>
      <w:pPr>
        <w:spacing w:after="0" w:line="176" w:lineRule="exact"/>
        <w:rPr>
          <w:sz w:val="20"/>
          <w:szCs w:val="20"/>
          <w:color w:val="auto"/>
        </w:rPr>
      </w:pPr>
    </w:p>
    <w:p>
      <w:pPr>
        <w:jc w:val="both"/>
        <w:ind w:right="2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has the meaning set forth in the Securities Purchase Agreement.</w:t>
      </w:r>
    </w:p>
    <w:p>
      <w:pPr>
        <w:spacing w:after="0" w:line="22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TTK Contracts</w:t>
      </w:r>
      <w:r>
        <w:rPr>
          <w:rFonts w:ascii="Arial" w:cs="Arial" w:eastAsia="Arial" w:hAnsi="Arial"/>
          <w:sz w:val="18"/>
          <w:szCs w:val="18"/>
          <w:color w:val="auto"/>
        </w:rPr>
        <w:t>”means Total Turn-Key Solution contracts entered into between the Company and customers thereof to implement a TTK Transaction, which include, without limitation, financing, construction, vertical farming unit leasing, extraction or processing equipment leasing, software, brand and/or marketing consulting and production-based fee contracts.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TTK SPV</w:t>
      </w:r>
      <w:r>
        <w:rPr>
          <w:rFonts w:ascii="Arial" w:cs="Arial" w:eastAsia="Arial" w:hAnsi="Arial"/>
          <w:sz w:val="18"/>
          <w:szCs w:val="18"/>
          <w:color w:val="auto"/>
        </w:rPr>
        <w:t>” means a special purpose vehicle established to implement a TTK Transaction with a customer of the Company .</w:t>
      </w:r>
    </w:p>
    <w:p>
      <w:pPr>
        <w:spacing w:after="0" w:line="225"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TTK Transaction</w:t>
      </w:r>
      <w:r>
        <w:rPr>
          <w:rFonts w:ascii="Arial" w:cs="Arial" w:eastAsia="Arial" w:hAnsi="Arial"/>
          <w:sz w:val="16"/>
          <w:szCs w:val="16"/>
          <w:color w:val="auto"/>
        </w:rPr>
        <w:t>” means a long-term partnership between the Company and a customer of the Company designed to provide such customer with access to vertical farming units, extraction or processing equipment, construction and/or equipment funding, facility design and construction services, cultivation equipment and software, standard operating procedures, training, data and insights, and ongoing maintenance, support, and equipment upgrades.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the same is, from time to time, in effect in the State of New York.</w:t>
      </w:r>
    </w:p>
    <w:p>
      <w:pPr>
        <w:spacing w:after="0" w:line="225"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VWAP Market Disruption Event</w:t>
      </w:r>
      <w:r>
        <w:rPr>
          <w:rFonts w:ascii="Arial" w:cs="Arial" w:eastAsia="Arial" w:hAnsi="Arial"/>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60" w:lineRule="exact"/>
        <w:rPr>
          <w:sz w:val="20"/>
          <w:szCs w:val="20"/>
          <w:color w:val="auto"/>
        </w:rPr>
      </w:pPr>
    </w:p>
    <w:p>
      <w:pPr>
        <w:jc w:val="both"/>
        <w:ind w:right="1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Trading Day</w:t>
      </w:r>
      <w:r>
        <w:rPr>
          <w:rFonts w:ascii="Arial" w:cs="Arial" w:eastAsia="Arial" w:hAnsi="Arial"/>
          <w:sz w:val="18"/>
          <w:szCs w:val="18"/>
          <w:color w:val="auto"/>
        </w:rPr>
        <w:t>” means a day on which (A) there is no VWAP Market Disruption Event; provided that the Holder, by written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83" w:lineRule="exact"/>
        <w:rPr>
          <w:sz w:val="20"/>
          <w:szCs w:val="20"/>
          <w:color w:val="auto"/>
        </w:rPr>
      </w:pPr>
    </w:p>
    <w:p>
      <w:pPr>
        <w:ind w:right="18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P</w:t>
      </w:r>
      <w:r>
        <w:rPr>
          <w:rFonts w:ascii="Arial" w:cs="Arial" w:eastAsia="Arial" w:hAnsi="Arial"/>
          <w:sz w:val="12"/>
          <w:szCs w:val="12"/>
          <w:b w:val="1"/>
          <w:bCs w:val="1"/>
          <w:color w:val="auto"/>
        </w:rPr>
        <w:t>ERSONS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EEMED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WNERS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of this Note will be treated as the owner of this Note for all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w:t>
      </w:r>
      <w:r>
        <w:rPr>
          <w:rFonts w:ascii="Arial" w:cs="Arial" w:eastAsia="Arial" w:hAnsi="Arial"/>
          <w:sz w:val="12"/>
          <w:szCs w:val="12"/>
          <w:b w:val="1"/>
          <w:bCs w:val="1"/>
          <w:color w:val="auto"/>
        </w:rPr>
        <w:t>EGISTERED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and any Note issued in exchange therefor or in substitution thereof, will be in registered form, without coupons.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w:t>
      </w:r>
      <w:r>
        <w:rPr>
          <w:rFonts w:ascii="Arial" w:cs="Arial" w:eastAsia="Arial" w:hAnsi="Arial"/>
          <w:sz w:val="12"/>
          <w:szCs w:val="12"/>
          <w:b w:val="1"/>
          <w:bCs w:val="1"/>
          <w:color w:val="auto"/>
        </w:rPr>
        <w:t>MORTIZATION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AYMENTS</w:t>
      </w:r>
      <w:r>
        <w:rPr>
          <w:rFonts w:ascii="Arial" w:cs="Arial" w:eastAsia="Arial" w:hAnsi="Arial"/>
          <w:sz w:val="18"/>
          <w:szCs w:val="18"/>
          <w:b w:val="1"/>
          <w:bCs w:val="1"/>
          <w:color w:val="auto"/>
        </w:rPr>
        <w:t>;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 M</w:t>
      </w:r>
      <w:r>
        <w:rPr>
          <w:rFonts w:ascii="Arial" w:cs="Arial" w:eastAsia="Arial" w:hAnsi="Arial"/>
          <w:sz w:val="12"/>
          <w:szCs w:val="12"/>
          <w:b w:val="1"/>
          <w:bCs w:val="1"/>
          <w:color w:val="auto"/>
        </w:rPr>
        <w:t>ATURITY</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P</w:t>
      </w:r>
      <w:r>
        <w:rPr>
          <w:rFonts w:ascii="Arial" w:cs="Arial" w:eastAsia="Arial" w:hAnsi="Arial"/>
          <w:sz w:val="12"/>
          <w:szCs w:val="12"/>
          <w:b w:val="1"/>
          <w:bCs w:val="1"/>
          <w:color w:val="auto"/>
        </w:rPr>
        <w:t>REPAYMENT</w:t>
      </w:r>
      <w:r>
        <w:rPr>
          <w:rFonts w:ascii="Arial" w:cs="Arial" w:eastAsia="Arial" w:hAnsi="Arial"/>
          <w:sz w:val="18"/>
          <w:szCs w:val="18"/>
          <w:b w:val="1"/>
          <w:bCs w:val="1"/>
          <w:color w:val="auto"/>
        </w:rPr>
        <w:t>.</w:t>
      </w:r>
    </w:p>
    <w:p>
      <w:pPr>
        <w:spacing w:after="0" w:line="229" w:lineRule="exact"/>
        <w:rPr>
          <w:sz w:val="20"/>
          <w:szCs w:val="20"/>
          <w:color w:val="auto"/>
        </w:rPr>
      </w:pPr>
    </w:p>
    <w:p>
      <w:pPr>
        <w:ind w:right="360" w:firstLine="656"/>
        <w:spacing w:after="0" w:line="277" w:lineRule="auto"/>
        <w:tabs>
          <w:tab w:leader="none" w:pos="943"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Amortization Payments</w:t>
      </w:r>
      <w:r>
        <w:rPr>
          <w:rFonts w:ascii="Arial" w:cs="Arial" w:eastAsia="Arial" w:hAnsi="Arial"/>
          <w:sz w:val="18"/>
          <w:szCs w:val="18"/>
          <w:color w:val="auto"/>
        </w:rPr>
        <w:t>. The Company shall make an amortization payment with respect to this Note equal to the applicable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(or portion thereof, if applicable) on each Amortization Date.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20" w:firstLine="1304"/>
        <w:spacing w:after="0" w:line="270" w:lineRule="auto"/>
        <w:tabs>
          <w:tab w:leader="none" w:pos="1508"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This Note will accrue interest (the “</w:t>
      </w:r>
      <w:r>
        <w:rPr>
          <w:rFonts w:ascii="Arial" w:cs="Arial" w:eastAsia="Arial" w:hAnsi="Arial"/>
          <w:sz w:val="17"/>
          <w:szCs w:val="17"/>
          <w:b w:val="1"/>
          <w:bCs w:val="1"/>
          <w:color w:val="auto"/>
        </w:rPr>
        <w:t>Stated Interest</w:t>
      </w:r>
      <w:r>
        <w:rPr>
          <w:rFonts w:ascii="Arial" w:cs="Arial" w:eastAsia="Arial" w:hAnsi="Arial"/>
          <w:sz w:val="17"/>
          <w:szCs w:val="17"/>
          <w:color w:val="auto"/>
        </w:rPr>
        <w:t xml:space="preserve">”) at a rate per annum equal to the Stated Interest Rate. Stated Interest on this Note will (i) accrue on the Principal Amount of this Note; (ii) accrue from, and including, the most recent date to which Stated Interest has been paid or duly provided for (or, if no Stated Interest has theretofore been paid or duly provided for, the Issue Date) to, but excluding, the date of payment of such Stated Interest; (iii) be paid to Holder in cash on each Interest Payment Date in accordance with </w:t>
      </w:r>
      <w:r>
        <w:rPr>
          <w:rFonts w:ascii="Arial" w:cs="Arial" w:eastAsia="Arial" w:hAnsi="Arial"/>
          <w:sz w:val="17"/>
          <w:szCs w:val="17"/>
          <w:b w:val="1"/>
          <w:bCs w:val="1"/>
          <w:color w:val="auto"/>
        </w:rPr>
        <w:t>Section 5(A)</w:t>
      </w:r>
      <w:r>
        <w:rPr>
          <w:rFonts w:ascii="Arial" w:cs="Arial" w:eastAsia="Arial" w:hAnsi="Arial"/>
          <w:sz w:val="17"/>
          <w:szCs w:val="17"/>
          <w:color w:val="auto"/>
        </w:rPr>
        <w:t xml:space="preserve">; and (iv) be computed on the basis of a 360-day year comprised of twelve 30-day months. Notwithstanding the foregoing, after the one-year anniversary of the Issue Date, the Company may, by giving irrevocable written notice to the Holder at least five (5) Trading Days prior to an Interest Payment Date, elect to pay the Stated Interest for such Interest Payment Date in kind, in which case on such Interest Payment Date the amount of such Stated Interest (calculated at an interest rate of 8.75% rather than the Stated Interest Rate) shall be added to the Principal Amount then outstanding, and after such Interest Payment Date, Stated Interest will accrue on the Principal Amount as so increased. For the avoidance of doubt, the Company may not elect to pay Default Interest (defined below) in kind pursuant to this </w:t>
      </w:r>
      <w:r>
        <w:rPr>
          <w:rFonts w:ascii="Arial" w:cs="Arial" w:eastAsia="Arial" w:hAnsi="Arial"/>
          <w:sz w:val="17"/>
          <w:szCs w:val="17"/>
          <w:b w:val="1"/>
          <w:bCs w:val="1"/>
          <w:color w:val="auto"/>
        </w:rPr>
        <w:t>Section 4(B)(i)</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firstLine="1304"/>
        <w:spacing w:after="0" w:line="298" w:lineRule="auto"/>
        <w:tabs>
          <w:tab w:leader="none" w:pos="1561"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a Default or an Event of Default occurs, then in each case, to the extent lawful, interest (“</w:t>
      </w:r>
      <w:r>
        <w:rPr>
          <w:rFonts w:ascii="Arial" w:cs="Arial" w:eastAsia="Arial" w:hAnsi="Arial"/>
          <w:sz w:val="16"/>
          <w:szCs w:val="16"/>
          <w:b w:val="1"/>
          <w:bCs w:val="1"/>
          <w:color w:val="auto"/>
        </w:rPr>
        <w:t>Default Interest</w:t>
      </w:r>
      <w:r>
        <w:rPr>
          <w:rFonts w:ascii="Arial" w:cs="Arial" w:eastAsia="Arial" w:hAnsi="Arial"/>
          <w:sz w:val="16"/>
          <w:szCs w:val="16"/>
          <w:color w:val="auto"/>
        </w:rPr>
        <w:t>”) will accrue (rather than at the Stated Interest Rate, if applicable) on the Principal Amount outstanding as of the date of such Default or Event of Default at a rate per annum equal to fifteen percent (15.0%), from, and including, the date of such Default or Event of Default, as applicable, to, but excluding, the date such Default is cured and all outstanding Default Interest under this Note has been paid. Default Interest hereunder will be payable in arrears on the earlier of (i) the first day of each calendar month and (ii) the date such Default is cured, and will be computed on the basis of a 360-day year comprised of twelve 30-day months.</w:t>
      </w:r>
    </w:p>
    <w:p>
      <w:pPr>
        <w:spacing w:after="0" w:line="157" w:lineRule="exact"/>
        <w:rPr>
          <w:rFonts w:ascii="Arial" w:cs="Arial" w:eastAsia="Arial" w:hAnsi="Arial"/>
          <w:sz w:val="16"/>
          <w:szCs w:val="16"/>
          <w:color w:val="auto"/>
        </w:rPr>
      </w:pPr>
    </w:p>
    <w:p>
      <w:pPr>
        <w:ind w:right="300" w:firstLine="656"/>
        <w:spacing w:after="0" w:line="277" w:lineRule="auto"/>
        <w:tabs>
          <w:tab w:leader="none" w:pos="933"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Maturity Date Payment</w:t>
      </w:r>
      <w:r>
        <w:rPr>
          <w:rFonts w:ascii="Arial" w:cs="Arial" w:eastAsia="Arial" w:hAnsi="Arial"/>
          <w:sz w:val="18"/>
          <w:szCs w:val="18"/>
          <w:color w:val="auto"/>
        </w:rPr>
        <w:t>. On the Maturity Date, the Company will pay the Holder an amount in cash equal to the then-outstanding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this Note plus any accrued and unpaid interest on this Note.</w:t>
      </w:r>
    </w:p>
    <w:p>
      <w:pPr>
        <w:spacing w:after="0" w:line="166" w:lineRule="exact"/>
        <w:rPr>
          <w:rFonts w:ascii="Arial" w:cs="Arial" w:eastAsia="Arial" w:hAnsi="Arial"/>
          <w:sz w:val="18"/>
          <w:szCs w:val="18"/>
          <w:color w:val="auto"/>
        </w:rPr>
      </w:pPr>
    </w:p>
    <w:p>
      <w:pPr>
        <w:ind w:left="960" w:hanging="304"/>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Prepayment</w:t>
      </w:r>
      <w:r>
        <w:rPr>
          <w:rFonts w:ascii="Arial" w:cs="Arial" w:eastAsia="Arial" w:hAnsi="Arial"/>
          <w:sz w:val="17"/>
          <w:szCs w:val="17"/>
          <w:color w:val="auto"/>
        </w:rPr>
        <w:t>. The Company may not prepay the Note without the written consent of the Holder other than pursuant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8(A)</w:t>
      </w:r>
      <w:r>
        <w:rPr>
          <w:rFonts w:ascii="Arial" w:cs="Arial" w:eastAsia="Arial" w:hAnsi="Arial"/>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Section 5. M</w:t>
      </w:r>
      <w:r>
        <w:rPr>
          <w:rFonts w:ascii="Arial" w:cs="Arial" w:eastAsia="Arial" w:hAnsi="Arial"/>
          <w:sz w:val="12"/>
          <w:szCs w:val="12"/>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W</w:t>
      </w:r>
      <w:r>
        <w:rPr>
          <w:rFonts w:ascii="Arial" w:cs="Arial" w:eastAsia="Arial" w:hAnsi="Arial"/>
          <w:sz w:val="12"/>
          <w:szCs w:val="12"/>
          <w:b w:val="1"/>
          <w:bCs w:val="1"/>
          <w:color w:val="auto"/>
        </w:rPr>
        <w:t>HEN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 A</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AY</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656"/>
        <w:spacing w:after="0" w:line="301" w:lineRule="auto"/>
        <w:tabs>
          <w:tab w:leader="none" w:pos="943"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all cash amounts due under this Note by wire transfer of immediately available funds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of the Holder set forth in the Flow of Funds Letter (as defined in the Securities Purchase Agreement) (or, if such Holder provides the Company, at least three (3) Business Days before the date such amount is due, with written notice of an account or address of such Holder within the United States, as applicable, by wire transfer of immediately available funds or check to such account or address set forth in such written notice, as applicable).</w:t>
      </w:r>
    </w:p>
    <w:p>
      <w:pPr>
        <w:spacing w:after="0" w:line="157" w:lineRule="exact"/>
        <w:rPr>
          <w:rFonts w:ascii="Arial" w:cs="Arial" w:eastAsia="Arial" w:hAnsi="Arial"/>
          <w:sz w:val="16"/>
          <w:szCs w:val="16"/>
          <w:color w:val="auto"/>
        </w:rPr>
      </w:pPr>
    </w:p>
    <w:p>
      <w:pPr>
        <w:ind w:right="120" w:firstLine="656"/>
        <w:spacing w:after="0" w:line="263" w:lineRule="auto"/>
        <w:tabs>
          <w:tab w:leader="none" w:pos="93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Delay of Payment when Payment Date is Not a Business Day</w:t>
      </w:r>
      <w:r>
        <w:rPr>
          <w:rFonts w:ascii="Arial" w:cs="Arial" w:eastAsia="Arial" w:hAnsi="Arial"/>
          <w:sz w:val="18"/>
          <w:szCs w:val="18"/>
          <w:color w:val="auto"/>
        </w:rPr>
        <w:t>. If the due date for a payment on this Note as provided in this Note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 then, notwithstanding anything to the contrary in this Note, such payment may be made on the immediately following Business Day and no interest will accrue on such payment as a result of the related delay.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EPURCHASE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 UPON A</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UNDAMENTAL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60" w:firstLine="656"/>
        <w:spacing w:after="0" w:line="314" w:lineRule="auto"/>
        <w:tabs>
          <w:tab w:leader="none" w:pos="943"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Repurchase Upon Fundamental Change</w:t>
      </w:r>
      <w:r>
        <w:rPr>
          <w:rFonts w:ascii="Arial" w:cs="Arial" w:eastAsia="Arial" w:hAnsi="Arial"/>
          <w:sz w:val="16"/>
          <w:szCs w:val="16"/>
          <w:color w:val="auto"/>
        </w:rPr>
        <w:t>. Subject to the other terms of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6</w:t>
      </w:r>
      <w:r>
        <w:rPr>
          <w:rFonts w:ascii="Arial" w:cs="Arial" w:eastAsia="Arial" w:hAnsi="Arial"/>
          <w:sz w:val="16"/>
          <w:szCs w:val="16"/>
          <w:color w:val="auto"/>
        </w:rPr>
        <w:t>, if a Fundamental Change occurs, then the Holder will</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right to require the Company to repurchase this Note (or any portion of this Note in an Authorized Denomination) on the Fundamental Change Repurchase Date for such Fundamental Change for a cash purchase price equal to the Fundamental Change Repurchase Price.</w:t>
      </w:r>
    </w:p>
    <w:p>
      <w:pPr>
        <w:spacing w:after="0" w:line="145" w:lineRule="exact"/>
        <w:rPr>
          <w:rFonts w:ascii="Arial" w:cs="Arial" w:eastAsia="Arial" w:hAnsi="Arial"/>
          <w:sz w:val="16"/>
          <w:szCs w:val="16"/>
          <w:color w:val="auto"/>
        </w:rPr>
      </w:pPr>
    </w:p>
    <w:p>
      <w:pPr>
        <w:ind w:right="200" w:firstLine="656"/>
        <w:spacing w:after="0" w:line="263" w:lineRule="auto"/>
        <w:tabs>
          <w:tab w:leader="none" w:pos="93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Fundamental Change Repurchase Date</w:t>
      </w:r>
      <w:r>
        <w:rPr>
          <w:rFonts w:ascii="Arial" w:cs="Arial" w:eastAsia="Arial" w:hAnsi="Arial"/>
          <w:sz w:val="18"/>
          <w:szCs w:val="18"/>
          <w:color w:val="auto"/>
        </w:rPr>
        <w:t>. The Fundamental Change Repurchase Date for any Fundamental Change will be a Business Day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Holder’s choosing that is no more than twenty (20) Business Days after the later of (x) the date the Company delivers to the Holder the related Fundamental Change Notice pursuant to </w:t>
      </w:r>
      <w:r>
        <w:rPr>
          <w:rFonts w:ascii="Arial" w:cs="Arial" w:eastAsia="Arial" w:hAnsi="Arial"/>
          <w:sz w:val="18"/>
          <w:szCs w:val="18"/>
          <w:b w:val="1"/>
          <w:bCs w:val="1"/>
          <w:color w:val="auto"/>
        </w:rPr>
        <w:t>Section 6(C)</w:t>
      </w:r>
      <w:r>
        <w:rPr>
          <w:rFonts w:ascii="Arial" w:cs="Arial" w:eastAsia="Arial" w:hAnsi="Arial"/>
          <w:sz w:val="18"/>
          <w:szCs w:val="18"/>
          <w:color w:val="auto"/>
        </w:rPr>
        <w:t>; and (y) the effective date of such Fundamental Change.</w:t>
      </w:r>
    </w:p>
    <w:p>
      <w:pPr>
        <w:spacing w:after="0" w:line="183" w:lineRule="exact"/>
        <w:rPr>
          <w:rFonts w:ascii="Arial" w:cs="Arial" w:eastAsia="Arial" w:hAnsi="Arial"/>
          <w:sz w:val="18"/>
          <w:szCs w:val="18"/>
          <w:color w:val="auto"/>
        </w:rPr>
      </w:pPr>
    </w:p>
    <w:p>
      <w:pPr>
        <w:ind w:right="60" w:firstLine="656"/>
        <w:spacing w:after="0" w:line="291" w:lineRule="auto"/>
        <w:tabs>
          <w:tab w:leader="none" w:pos="933"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Fundamental Change Notice</w:t>
      </w:r>
      <w:r>
        <w:rPr>
          <w:rFonts w:ascii="Arial" w:cs="Arial" w:eastAsia="Arial" w:hAnsi="Arial"/>
          <w:sz w:val="16"/>
          <w:szCs w:val="16"/>
          <w:color w:val="auto"/>
        </w:rPr>
        <w:t>. No later than the eighth (8th) Business Day before the occurrence of any Fundamental Change,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will send to the Holder a written notice (the “</w:t>
      </w:r>
      <w:r>
        <w:rPr>
          <w:rFonts w:ascii="Arial" w:cs="Arial" w:eastAsia="Arial" w:hAnsi="Arial"/>
          <w:sz w:val="16"/>
          <w:szCs w:val="16"/>
          <w:b w:val="1"/>
          <w:bCs w:val="1"/>
          <w:color w:val="auto"/>
        </w:rPr>
        <w:t>Fundamental Change Notice</w:t>
      </w:r>
      <w:r>
        <w:rPr>
          <w:rFonts w:ascii="Arial" w:cs="Arial" w:eastAsia="Arial" w:hAnsi="Arial"/>
          <w:sz w:val="16"/>
          <w:szCs w:val="16"/>
          <w:color w:val="auto"/>
        </w:rPr>
        <w:t>”) thereof (provided, however, in no event shall such notice be required prior to</w:t>
      </w:r>
    </w:p>
    <w:p>
      <w:pPr>
        <w:ind w:right="60"/>
        <w:spacing w:after="0" w:line="221" w:lineRule="auto"/>
        <w:rPr>
          <w:sz w:val="20"/>
          <w:szCs w:val="20"/>
          <w:color w:val="auto"/>
        </w:rPr>
      </w:pPr>
      <w:r>
        <w:rPr>
          <w:rFonts w:ascii="Arial" w:cs="Arial" w:eastAsia="Arial" w:hAnsi="Arial"/>
          <w:sz w:val="18"/>
          <w:szCs w:val="18"/>
          <w:color w:val="auto"/>
        </w:rPr>
        <w:t>the actual public notice of such Fundamental Change), stating the expected date such Fundamental Change will occur. No later than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after the date of delivery of the Fundamental Change Notice, the Holder shall notify the Company in writing whether it will require the Company to repurchase this Note and specify the Fundamental Change Repurchase Date.</w:t>
      </w:r>
    </w:p>
    <w:p>
      <w:pPr>
        <w:spacing w:after="0" w:line="202" w:lineRule="exact"/>
        <w:rPr>
          <w:sz w:val="20"/>
          <w:szCs w:val="20"/>
          <w:color w:val="auto"/>
        </w:rPr>
      </w:pPr>
    </w:p>
    <w:p>
      <w:pPr>
        <w:ind w:right="40" w:firstLine="656"/>
        <w:spacing w:after="0" w:line="259" w:lineRule="auto"/>
        <w:tabs>
          <w:tab w:leader="none" w:pos="943"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Fundamental Change Repurchase Price</w:t>
      </w:r>
      <w:r>
        <w:rPr>
          <w:rFonts w:ascii="Arial" w:cs="Arial" w:eastAsia="Arial" w:hAnsi="Arial"/>
          <w:sz w:val="18"/>
          <w:szCs w:val="18"/>
          <w:color w:val="auto"/>
        </w:rPr>
        <w:t>. The Fundamental Change Repurchase Price for this Note (or any portion of this Note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repurchased) upon a Repurchase Upon Fundamental Change following a Fundamental Change is an amount in cash equal to the Fundamental Change Base Repurchase Price for such Fundamental Change plus any accrued and unpaid interest on this Note (or such portion of this Note) to, but excluding, the Fundamental Change Repurchase Date for such Fundamental Change.</w:t>
      </w:r>
    </w:p>
    <w:p>
      <w:pPr>
        <w:spacing w:after="0" w:line="186" w:lineRule="exact"/>
        <w:rPr>
          <w:rFonts w:ascii="Arial" w:cs="Arial" w:eastAsia="Arial" w:hAnsi="Arial"/>
          <w:sz w:val="18"/>
          <w:szCs w:val="18"/>
          <w:color w:val="auto"/>
        </w:rPr>
      </w:pPr>
    </w:p>
    <w:p>
      <w:pPr>
        <w:ind w:right="80" w:firstLine="656"/>
        <w:spacing w:after="0" w:line="342" w:lineRule="auto"/>
        <w:tabs>
          <w:tab w:leader="none" w:pos="92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Effect of Repurchase</w:t>
      </w:r>
      <w:r>
        <w:rPr>
          <w:rFonts w:ascii="Arial" w:cs="Arial" w:eastAsia="Arial" w:hAnsi="Arial"/>
          <w:sz w:val="16"/>
          <w:szCs w:val="16"/>
          <w:color w:val="auto"/>
        </w:rPr>
        <w:t>. If this Note (or any portion of this Note) is to be repurchased upon a Repurchase Upon Fundamental Change, then, from</w:t>
      </w:r>
      <w:r>
        <w:rPr>
          <w:rFonts w:ascii="Arial" w:cs="Arial" w:eastAsia="Arial" w:hAnsi="Arial"/>
          <w:sz w:val="16"/>
          <w:szCs w:val="16"/>
          <w:i w:val="1"/>
          <w:iCs w:val="1"/>
          <w:color w:val="auto"/>
        </w:rPr>
        <w:t xml:space="preserve"> </w:t>
      </w:r>
      <w:r>
        <w:rPr>
          <w:rFonts w:ascii="Arial" w:cs="Arial" w:eastAsia="Arial" w:hAnsi="Arial"/>
          <w:sz w:val="16"/>
          <w:szCs w:val="16"/>
          <w:color w:val="auto"/>
        </w:rPr>
        <w:t>and after the date the related Fundamental Change Repurchase Price is paid in full, this Note (or such portion) will cease to be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R</w:t>
      </w:r>
      <w:r>
        <w:rPr>
          <w:rFonts w:ascii="Arial" w:cs="Arial" w:eastAsia="Arial" w:hAnsi="Arial"/>
          <w:sz w:val="12"/>
          <w:szCs w:val="12"/>
          <w:b w:val="1"/>
          <w:bCs w:val="1"/>
          <w:color w:val="auto"/>
        </w:rPr>
        <w:t>EDEMPTION OF THIS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69" w:lineRule="auto"/>
        <w:tabs>
          <w:tab w:leader="none" w:pos="943"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Company Redemption Election</w:t>
      </w:r>
      <w:r>
        <w:rPr>
          <w:rFonts w:ascii="Arial" w:cs="Arial" w:eastAsia="Arial" w:hAnsi="Arial"/>
          <w:sz w:val="17"/>
          <w:szCs w:val="17"/>
          <w:color w:val="auto"/>
        </w:rPr>
        <w:t>. The Company may redeem all (but not less than all) of the then outstanding Principal Amount on any date on</w:t>
      </w:r>
      <w:r>
        <w:rPr>
          <w:rFonts w:ascii="Arial" w:cs="Arial" w:eastAsia="Arial" w:hAnsi="Arial"/>
          <w:sz w:val="17"/>
          <w:szCs w:val="17"/>
          <w:i w:val="1"/>
          <w:iCs w:val="1"/>
          <w:color w:val="auto"/>
        </w:rPr>
        <w:t xml:space="preserve"> </w:t>
      </w:r>
      <w:r>
        <w:rPr>
          <w:rFonts w:ascii="Arial" w:cs="Arial" w:eastAsia="Arial" w:hAnsi="Arial"/>
          <w:sz w:val="17"/>
          <w:szCs w:val="17"/>
          <w:color w:val="auto"/>
        </w:rPr>
        <w:t>or after the one-year anniversary of the Issue Date by paying on the Company Redemption Date (as defined below) a cash redemption price equal to the Company Redemption Price; provided, that the Company must provide irrevocable written notice thereof (a “</w:t>
      </w:r>
      <w:r>
        <w:rPr>
          <w:rFonts w:ascii="Arial" w:cs="Arial" w:eastAsia="Arial" w:hAnsi="Arial"/>
          <w:sz w:val="17"/>
          <w:szCs w:val="17"/>
          <w:b w:val="1"/>
          <w:bCs w:val="1"/>
          <w:color w:val="auto"/>
        </w:rPr>
        <w:t>Company Redemption Notice</w:t>
      </w:r>
      <w:r>
        <w:rPr>
          <w:rFonts w:ascii="Arial" w:cs="Arial" w:eastAsia="Arial" w:hAnsi="Arial"/>
          <w:sz w:val="17"/>
          <w:szCs w:val="17"/>
          <w:color w:val="auto"/>
        </w:rPr>
        <w:t>”) certifying that no Default has occurred or is continuing as of the date of such notice and that no Event of Default has occurred as of the date of such notice that has not been waived and setting forth the date upon which such redemption shall occur (the “</w:t>
      </w:r>
      <w:r>
        <w:rPr>
          <w:rFonts w:ascii="Arial" w:cs="Arial" w:eastAsia="Arial" w:hAnsi="Arial"/>
          <w:sz w:val="17"/>
          <w:szCs w:val="17"/>
          <w:b w:val="1"/>
          <w:bCs w:val="1"/>
          <w:color w:val="auto"/>
        </w:rPr>
        <w:t>Company Redemption Date</w:t>
      </w:r>
      <w:r>
        <w:rPr>
          <w:rFonts w:ascii="Arial" w:cs="Arial" w:eastAsia="Arial" w:hAnsi="Arial"/>
          <w:sz w:val="17"/>
          <w:szCs w:val="17"/>
          <w:color w:val="auto"/>
        </w:rPr>
        <w:t xml:space="preserve">”) at least ten (10) days prior to the Company Redemption Date and the Company must have, on or prior to 9:00 am, New York City time, on such notice delivery date, publicly disclosed any material, non-public information regarding the Company (including the fact that the Company is redeeming the Note) on a Form 8-K or otherwise; provided, however, that this </w:t>
      </w:r>
      <w:r>
        <w:rPr>
          <w:rFonts w:ascii="Arial" w:cs="Arial" w:eastAsia="Arial" w:hAnsi="Arial"/>
          <w:sz w:val="17"/>
          <w:szCs w:val="17"/>
          <w:b w:val="1"/>
          <w:bCs w:val="1"/>
          <w:color w:val="auto"/>
        </w:rPr>
        <w:t>Section 8(A)</w:t>
      </w:r>
      <w:r>
        <w:rPr>
          <w:rFonts w:ascii="Arial" w:cs="Arial" w:eastAsia="Arial" w:hAnsi="Arial"/>
          <w:sz w:val="17"/>
          <w:szCs w:val="17"/>
          <w:color w:val="auto"/>
        </w:rPr>
        <w:t xml:space="preserve"> will cease to have any force and effect if a Default has occurred and is continuing or an Event of Default has occurred and has not been waived by the Required Holders. If this Note is to be redeemed in full pursuant to this </w:t>
      </w:r>
      <w:r>
        <w:rPr>
          <w:rFonts w:ascii="Arial" w:cs="Arial" w:eastAsia="Arial" w:hAnsi="Arial"/>
          <w:sz w:val="17"/>
          <w:szCs w:val="17"/>
          <w:b w:val="1"/>
          <w:bCs w:val="1"/>
          <w:color w:val="auto"/>
        </w:rPr>
        <w:t>Section 8(A)</w:t>
      </w:r>
      <w:r>
        <w:rPr>
          <w:rFonts w:ascii="Arial" w:cs="Arial" w:eastAsia="Arial" w:hAnsi="Arial"/>
          <w:sz w:val="17"/>
          <w:szCs w:val="17"/>
          <w:color w:val="auto"/>
        </w:rPr>
        <w:t>, then, from and after the date the related Company Redemption Price is paid in full, this Note will cease to be outstanding.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Section 9. A</w:t>
      </w:r>
      <w:r>
        <w:rPr>
          <w:rFonts w:ascii="Arial" w:cs="Arial" w:eastAsia="Arial" w:hAnsi="Arial"/>
          <w:sz w:val="12"/>
          <w:szCs w:val="12"/>
          <w:b w:val="1"/>
          <w:bCs w:val="1"/>
          <w:color w:val="auto"/>
        </w:rPr>
        <w:t>FFIRMATIVE AND</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656"/>
        <w:spacing w:after="0" w:line="257" w:lineRule="auto"/>
        <w:tabs>
          <w:tab w:leader="none" w:pos="94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Stay, Extension and Usury Laws</w:t>
      </w:r>
      <w:r>
        <w:rPr>
          <w:rFonts w:ascii="Arial" w:cs="Arial" w:eastAsia="Arial" w:hAnsi="Arial"/>
          <w:sz w:val="18"/>
          <w:szCs w:val="18"/>
          <w:color w:val="auto"/>
        </w:rPr>
        <w:t>. To the extent that it may lawfully do so, the Company (A) agrees that it will not at any time insist upon,</w:t>
      </w:r>
      <w:r>
        <w:rPr>
          <w:rFonts w:ascii="Arial" w:cs="Arial" w:eastAsia="Arial" w:hAnsi="Arial"/>
          <w:sz w:val="18"/>
          <w:szCs w:val="18"/>
          <w:i w:val="1"/>
          <w:iCs w:val="1"/>
          <w:color w:val="auto"/>
        </w:rPr>
        <w:t xml:space="preserve"> </w:t>
      </w:r>
      <w:r>
        <w:rPr>
          <w:rFonts w:ascii="Arial" w:cs="Arial" w:eastAsia="Arial" w:hAnsi="Arial"/>
          <w:sz w:val="18"/>
          <w:szCs w:val="18"/>
          <w:color w:val="auto"/>
        </w:rPr>
        <w:t>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Corporate Existence. </w:t>
      </w:r>
      <w:r>
        <w:rPr>
          <w:rFonts w:ascii="Arial" w:cs="Arial" w:eastAsia="Arial" w:hAnsi="Arial"/>
          <w:sz w:val="18"/>
          <w:szCs w:val="18"/>
          <w:color w:val="auto"/>
        </w:rPr>
        <w:t>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10</w:t>
      </w:r>
      <w:r>
        <w:rPr>
          <w:rFonts w:ascii="Arial" w:cs="Arial" w:eastAsia="Arial" w:hAnsi="Arial"/>
          <w:sz w:val="18"/>
          <w:szCs w:val="18"/>
          <w:color w:val="auto"/>
        </w:rPr>
        <w:t>, the Company will cause to preserve and keep in full force and effect:</w:t>
      </w:r>
    </w:p>
    <w:p>
      <w:pPr>
        <w:spacing w:after="0" w:line="229" w:lineRule="exact"/>
        <w:rPr>
          <w:rFonts w:ascii="Arial" w:cs="Arial" w:eastAsia="Arial" w:hAnsi="Arial"/>
          <w:sz w:val="18"/>
          <w:szCs w:val="18"/>
          <w:color w:val="auto"/>
        </w:rPr>
      </w:pPr>
    </w:p>
    <w:p>
      <w:pPr>
        <w:ind w:firstLine="1304"/>
        <w:spacing w:after="0" w:line="277" w:lineRule="auto"/>
        <w:tabs>
          <w:tab w:leader="none" w:pos="1511" w:val="left"/>
        </w:tabs>
        <w:numPr>
          <w:ilvl w:val="1"/>
          <w:numId w:val="41"/>
        </w:numPr>
        <w:rPr>
          <w:rFonts w:ascii="Arial" w:cs="Arial" w:eastAsia="Arial" w:hAnsi="Arial"/>
          <w:sz w:val="18"/>
          <w:szCs w:val="18"/>
          <w:color w:val="auto"/>
        </w:rPr>
      </w:pPr>
      <w:r>
        <w:rPr>
          <w:rFonts w:ascii="Arial" w:cs="Arial" w:eastAsia="Arial" w:hAnsi="Arial"/>
          <w:sz w:val="18"/>
          <w:szCs w:val="18"/>
          <w:color w:val="auto"/>
        </w:rPr>
        <w:t>its corporate existence and the corporate existence of its Subsidiaries in accordance with the organizational documents of the Company or its Subsidiaries, as applicable;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material rights (charter and statutory), licenses and franchises of the Company and its Subsidiaries;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need not preserve or keep in full force and effect any such rights (charter and statutory), license or franchise or</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of any of its Subsidiaries if the Board of Directors determines in good faith that (x) the preservation thereof is no longer desirable in the conduct of the business of the Company and its Subsidiaries, taken as a whole; and (y) the loss thereof is not, individually or in the aggregate, materially adverse to the Holder.</w:t>
      </w:r>
    </w:p>
    <w:p>
      <w:pPr>
        <w:spacing w:after="0" w:line="187" w:lineRule="exact"/>
        <w:rPr>
          <w:sz w:val="20"/>
          <w:szCs w:val="20"/>
          <w:color w:val="auto"/>
        </w:rPr>
      </w:pPr>
    </w:p>
    <w:p>
      <w:pPr>
        <w:ind w:right="160" w:firstLine="656"/>
        <w:spacing w:after="0" w:line="277" w:lineRule="auto"/>
        <w:tabs>
          <w:tab w:leader="none" w:pos="933"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All payments due under this Note (i) shall rank pari passu with all Other Notes and (ii) shall rank senior to all other indebtedness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(other than the indebtedness described in clauses (i)) and any Subordinated Indebtedness.</w:t>
      </w:r>
    </w:p>
    <w:p>
      <w:pPr>
        <w:spacing w:after="0" w:line="170" w:lineRule="exact"/>
        <w:rPr>
          <w:rFonts w:ascii="Arial" w:cs="Arial" w:eastAsia="Arial" w:hAnsi="Arial"/>
          <w:sz w:val="18"/>
          <w:szCs w:val="18"/>
          <w:color w:val="auto"/>
        </w:rPr>
      </w:pPr>
    </w:p>
    <w:p>
      <w:pPr>
        <w:ind w:right="160" w:firstLine="656"/>
        <w:spacing w:after="0" w:line="285" w:lineRule="auto"/>
        <w:tabs>
          <w:tab w:leader="none" w:pos="943"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Indebtedness; Amendments to Indebtedness</w:t>
      </w:r>
      <w:r>
        <w:rPr>
          <w:rFonts w:ascii="Arial" w:cs="Arial" w:eastAsia="Arial" w:hAnsi="Arial"/>
          <w:sz w:val="16"/>
          <w:szCs w:val="16"/>
          <w:color w:val="auto"/>
        </w:rPr>
        <w:t>. The Company shall not and shall not permit any Subsidiary to: (a) create, incur, assume,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or be or remain liable with respect to any Indebtedness, other than Permitted Indebtedness; (b) prepay any Indebtedness except for (i) by the conversion of Indebtedness into equity securities (other than Disqualified Stock) and the payment of cash in lieu of fractional shares in connection with such conversion, and (ii) a refinancing of the entire amount of such Indebtedness which does not impose materially more burdensome terms upon the Company or its Subsidiaries than exist in such Indebtedness prior to such refinancing, but with a maturity date which is later than one hundred eighty-one</w:t>
      </w:r>
    </w:p>
    <w:p>
      <w:pPr>
        <w:spacing w:after="0" w:line="1" w:lineRule="exact"/>
        <w:rPr>
          <w:rFonts w:ascii="Arial" w:cs="Arial" w:eastAsia="Arial" w:hAnsi="Arial"/>
          <w:sz w:val="16"/>
          <w:szCs w:val="16"/>
          <w:color w:val="auto"/>
        </w:rPr>
      </w:pPr>
    </w:p>
    <w:p>
      <w:pPr>
        <w:ind w:right="20" w:firstLine="8"/>
        <w:spacing w:after="0" w:line="252" w:lineRule="auto"/>
        <w:tabs>
          <w:tab w:leader="none" w:pos="4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days following the Maturity Date; or (c) amend or modify any documents or notes evidencing any Indebtedness in any manner which shortens the maturity date or any amortization, redemption or interest payment date thereof or otherwise imposes materially more burdensome terms upon the Company or its Subsidiaries than exist in such Indebtedness prior to such amendment or modification without the prior written consent of Holder. The Company shall not and shall not permit any Subsidiary to incur any Indebtedness that would cause a breach or Default under the Notes or prohibit or restrict the performance of any of the Company’s or its Subsidiaries’ obligations under the Notes, including without limitation, the payment of interest and principal thereon.</w:t>
      </w:r>
    </w:p>
    <w:p>
      <w:pPr>
        <w:spacing w:after="0" w:line="193" w:lineRule="exact"/>
        <w:rPr>
          <w:rFonts w:ascii="Arial" w:cs="Arial" w:eastAsia="Arial" w:hAnsi="Arial"/>
          <w:sz w:val="18"/>
          <w:szCs w:val="18"/>
          <w:color w:val="auto"/>
        </w:rPr>
      </w:pPr>
    </w:p>
    <w:p>
      <w:pPr>
        <w:ind w:right="180" w:firstLine="656"/>
        <w:spacing w:after="0" w:line="277" w:lineRule="auto"/>
        <w:tabs>
          <w:tab w:leader="none" w:pos="923"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Liens</w:t>
      </w:r>
      <w:r>
        <w:rPr>
          <w:rFonts w:ascii="Arial" w:cs="Arial" w:eastAsia="Arial" w:hAnsi="Arial"/>
          <w:sz w:val="18"/>
          <w:szCs w:val="18"/>
          <w:color w:val="auto"/>
        </w:rPr>
        <w:t>. The Company will not, and will not permit any of its Subsidiaries to, directly or indirectly, create, incur, assume or permit to exist any</w:t>
      </w:r>
      <w:r>
        <w:rPr>
          <w:rFonts w:ascii="Arial" w:cs="Arial" w:eastAsia="Arial" w:hAnsi="Arial"/>
          <w:sz w:val="18"/>
          <w:szCs w:val="18"/>
          <w:i w:val="1"/>
          <w:iCs w:val="1"/>
          <w:color w:val="auto"/>
        </w:rPr>
        <w:t xml:space="preserve"> </w:t>
      </w:r>
      <w:r>
        <w:rPr>
          <w:rFonts w:ascii="Arial" w:cs="Arial" w:eastAsia="Arial" w:hAnsi="Arial"/>
          <w:sz w:val="18"/>
          <w:szCs w:val="18"/>
          <w:color w:val="auto"/>
        </w:rPr>
        <w:t>Lien of any kind on any asset now owned or hereafter acquired, except Permitted Liens.</w:t>
      </w:r>
    </w:p>
    <w:p>
      <w:pPr>
        <w:spacing w:after="0" w:line="170" w:lineRule="exact"/>
        <w:rPr>
          <w:rFonts w:ascii="Arial" w:cs="Arial" w:eastAsia="Arial" w:hAnsi="Arial"/>
          <w:sz w:val="18"/>
          <w:szCs w:val="18"/>
          <w:color w:val="auto"/>
        </w:rPr>
      </w:pPr>
    </w:p>
    <w:p>
      <w:pPr>
        <w:ind w:right="80" w:firstLine="656"/>
        <w:spacing w:after="0" w:line="296" w:lineRule="auto"/>
        <w:tabs>
          <w:tab w:leader="none" w:pos="958"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The Company shall not directly or indirectly acquire or own, or make any Investment in or to any Person, or permit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Subsidiaries so to do, other than Permitted Investments;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not make any Investment (including a Permitted Investment) or permit any of its Subsidiaries to make any Investment (including a Permitted Investment) if (i) any Event of Default has occurred hereunder or (ii) any event or circumstance has occurred and is continuing which, with the giving of notice or passage of time or both, could constitute an Event of Default with respect to </w:t>
      </w:r>
      <w:r>
        <w:rPr>
          <w:rFonts w:ascii="Arial" w:cs="Arial" w:eastAsia="Arial" w:hAnsi="Arial"/>
          <w:sz w:val="16"/>
          <w:szCs w:val="16"/>
          <w:b w:val="1"/>
          <w:bCs w:val="1"/>
          <w:color w:val="auto"/>
        </w:rPr>
        <w:t>Section 11(A)(ii)</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11(A)(iii)</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11(A)(ix)</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11(A)(xi)</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11(A)(xiv)</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11(A)(xv)</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right="40" w:firstLine="656"/>
        <w:spacing w:after="0" w:line="286" w:lineRule="auto"/>
        <w:tabs>
          <w:tab w:leader="none" w:pos="943"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The Company shall not, and shall not allow any Subsidiary to, (a) repurchase or redeem any class of stock or other Equity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other than pursuant to employee, director or consultant repurchase plans or other similar agreements provided under plans approved by the Board of Directors; provided, however, in each case the repurchase or redemption price does not exceed the original consideration paid for such stock or Equity Interest, or (b) declare or pay any cash dividend or make a cash distribution on any class of stock or other Equity Interest, except that a Subsidiary of the Company may pay dividends or make distributions to the Company or a parent company that is a direct or indirect Wholly Owned Subsidiary of the Company, or (c) lend money to any employees, officers or directors (except as permitted under clause (F) of the definition of Permitted Investment), or guarantee the payment of any such loans granted by a third party in excess of fifty thousand dollars ($50,000) in the aggregate or (d) waive, release or forgive any Indebtedness owed by any employees, officers or directors in excess of fifty thousand dollars ($50,000) in the aggregate. Within one (1) Business Day following the date on which the Company files an Annual Report on Form 10-K or Quarterly Report on Form 10-Q with the Commission, the Company will provide the Holder with a written notice setting forth the aggregate amount of dividends or distributions made by the Company or any Subsidiary pursuant to this </w:t>
      </w:r>
      <w:r>
        <w:rPr>
          <w:rFonts w:ascii="Arial" w:cs="Arial" w:eastAsia="Arial" w:hAnsi="Arial"/>
          <w:sz w:val="16"/>
          <w:szCs w:val="16"/>
          <w:b w:val="1"/>
          <w:bCs w:val="1"/>
          <w:color w:val="auto"/>
        </w:rPr>
        <w:t>Section 9(G)</w:t>
      </w:r>
      <w:r>
        <w:rPr>
          <w:rFonts w:ascii="Arial" w:cs="Arial" w:eastAsia="Arial" w:hAnsi="Arial"/>
          <w:sz w:val="16"/>
          <w:szCs w:val="16"/>
          <w:color w:val="auto"/>
        </w:rPr>
        <w:t xml:space="preserve"> for the period covered by such Annual Report on Form 10-K or Quarterly Report on Form 10-Q, as applicable. Notwithstanding anything herein to the contrary, the Company shall not, and shall not allow any Subsidiary to, declare or pay any cash dividend or make a cash distribution on any class of stock or other Equity Interest if (A) any Event of Default has occurred hereunder and has not been waived by the Required Holders or (B) any event or circumstance has occurred and is continuing which, with the giving of notice or passage of time or both, could constitute an Event of Default with respect to </w:t>
      </w:r>
      <w:r>
        <w:rPr>
          <w:rFonts w:ascii="Arial" w:cs="Arial" w:eastAsia="Arial" w:hAnsi="Arial"/>
          <w:sz w:val="16"/>
          <w:szCs w:val="16"/>
          <w:b w:val="1"/>
          <w:bCs w:val="1"/>
          <w:color w:val="auto"/>
        </w:rPr>
        <w:t>Section 11(A)(ii)</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11(A)(iii)</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11(A)(ix)</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11(A)(xi)</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11(A)(xiv)</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11(A)(xv)</w:t>
      </w:r>
      <w:r>
        <w:rPr>
          <w:rFonts w:ascii="Arial" w:cs="Arial" w:eastAsia="Arial" w:hAnsi="Arial"/>
          <w:sz w:val="16"/>
          <w:szCs w:val="16"/>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40" w:right="260" w:firstLine="656"/>
        <w:spacing w:after="0" w:line="263" w:lineRule="auto"/>
        <w:tabs>
          <w:tab w:leader="none" w:pos="90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Transfers</w:t>
      </w:r>
      <w:r>
        <w:rPr>
          <w:rFonts w:ascii="Arial" w:cs="Arial" w:eastAsia="Arial" w:hAnsi="Arial"/>
          <w:sz w:val="18"/>
          <w:szCs w:val="18"/>
          <w:color w:val="auto"/>
        </w:rPr>
        <w:t>. The Company shall not, and shall not allow any Subsidiary to, voluntarily or involuntarily transfer, sell, lease, license, lend or in</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manner convey any equitable, beneficial or legal interest in any material portion of the assets of the Company and its Subsidiaries (taken as a whole), except for Permitted Transfers and Permitted Investments.</w:t>
      </w:r>
    </w:p>
    <w:p>
      <w:pPr>
        <w:spacing w:after="0" w:line="183" w:lineRule="exact"/>
        <w:rPr>
          <w:rFonts w:ascii="Arial" w:cs="Arial" w:eastAsia="Arial" w:hAnsi="Arial"/>
          <w:sz w:val="18"/>
          <w:szCs w:val="18"/>
          <w:color w:val="auto"/>
        </w:rPr>
      </w:pPr>
    </w:p>
    <w:p>
      <w:pPr>
        <w:ind w:left="-40" w:firstLine="656"/>
        <w:spacing w:after="0" w:line="296" w:lineRule="auto"/>
        <w:tabs>
          <w:tab w:leader="none" w:pos="833"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Company and its Subsidiaries shall pay when due all material taxes, fees or other similar governmental charges (together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interest or penalties) now or hereafter imposed or assessed against the Company and its Subsidiaries or their respective assets or upon their ownership, possession, use, operation or disposition thereof or upon their rents, receipts or earnings arising therefrom. The Company and its Subsidiaries shall file on or before the due date therefor all material personal property tax returns. Notwithstanding the foregoing, the Company and its Subsidiaries may contest, in good faith and by appropriate proceedings, taxes for which they maintain adequate reserves therefor in accordance with GAAP.</w:t>
      </w:r>
    </w:p>
    <w:p>
      <w:pPr>
        <w:spacing w:after="0" w:line="161" w:lineRule="exact"/>
        <w:rPr>
          <w:rFonts w:ascii="Arial" w:cs="Arial" w:eastAsia="Arial" w:hAnsi="Arial"/>
          <w:sz w:val="16"/>
          <w:szCs w:val="16"/>
          <w:color w:val="auto"/>
        </w:rPr>
      </w:pPr>
    </w:p>
    <w:p>
      <w:pPr>
        <w:ind w:left="860" w:hanging="24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Minimum Liquidity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80" w:firstLine="1304"/>
        <w:spacing w:after="0" w:line="286" w:lineRule="auto"/>
        <w:tabs>
          <w:tab w:leader="none" w:pos="1468"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Company and its Subsidiaries shall have at all times liquidity calculated as unrestricted, unencumbered Cash and Cash Equivalents in one or more deposit accounts located in the United States and subject to a Control Agreement (as defined in the Security Agreements) entered into in favor of the Collateral Agent in a minimum amount equal to thirty million dollars ($30,000,000).</w:t>
      </w:r>
    </w:p>
    <w:p>
      <w:pPr>
        <w:spacing w:after="0" w:line="168" w:lineRule="exact"/>
        <w:rPr>
          <w:rFonts w:ascii="Arial" w:cs="Arial" w:eastAsia="Arial" w:hAnsi="Arial"/>
          <w:sz w:val="17"/>
          <w:szCs w:val="17"/>
          <w:color w:val="auto"/>
        </w:rPr>
      </w:pPr>
    </w:p>
    <w:p>
      <w:pPr>
        <w:ind w:left="-40" w:right="20" w:firstLine="1304"/>
        <w:spacing w:after="0" w:line="254" w:lineRule="auto"/>
        <w:tabs>
          <w:tab w:leader="none" w:pos="1521" w:val="left"/>
        </w:tabs>
        <w:numPr>
          <w:ilvl w:val="1"/>
          <w:numId w:val="44"/>
        </w:numPr>
        <w:rPr>
          <w:rFonts w:ascii="Arial" w:cs="Arial" w:eastAsia="Arial" w:hAnsi="Arial"/>
          <w:sz w:val="17"/>
          <w:szCs w:val="17"/>
          <w:color w:val="auto"/>
        </w:rPr>
      </w:pPr>
      <w:r>
        <w:rPr>
          <w:rFonts w:ascii="Arial" w:cs="Arial" w:eastAsia="Arial" w:hAnsi="Arial"/>
          <w:sz w:val="17"/>
          <w:szCs w:val="17"/>
          <w:color w:val="auto"/>
        </w:rPr>
        <w:t>On or prior to the first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Business Day of each month, the Company shall provide to the Holder a certification, executed on behalf of the Company by the Chief Financial Officer of the Company, certifying whether or not the Company has satisfied the requirements of </w:t>
      </w:r>
      <w:r>
        <w:rPr>
          <w:rFonts w:ascii="Arial" w:cs="Arial" w:eastAsia="Arial" w:hAnsi="Arial"/>
          <w:sz w:val="17"/>
          <w:szCs w:val="17"/>
          <w:b w:val="1"/>
          <w:bCs w:val="1"/>
          <w:color w:val="auto"/>
        </w:rPr>
        <w:t>Section 9(J)(i)</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9(G)</w:t>
      </w:r>
      <w:r>
        <w:rPr>
          <w:rFonts w:ascii="Arial" w:cs="Arial" w:eastAsia="Arial" w:hAnsi="Arial"/>
          <w:sz w:val="17"/>
          <w:szCs w:val="17"/>
          <w:color w:val="auto"/>
        </w:rPr>
        <w:t xml:space="preserve"> during the immediately preceding calendar month, and on the day that the Company files its Form 10-K or Form 10-Q or otherwise publicly discloses its financial results for its most recently completed three-month period, the Company shall provide to the Holder a certification, executed on behalf of the Company by the Chief Financial Officer of the Company, certifying whether or not the Company has satisfied the requirements of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9(K) </w:t>
      </w:r>
      <w:r>
        <w:rPr>
          <w:rFonts w:ascii="Arial" w:cs="Arial" w:eastAsia="Arial" w:hAnsi="Arial"/>
          <w:sz w:val="17"/>
          <w:szCs w:val="17"/>
          <w:color w:val="auto"/>
        </w:rPr>
        <w:t>and</w:t>
      </w:r>
      <w:r>
        <w:rPr>
          <w:rFonts w:ascii="Arial" w:cs="Arial" w:eastAsia="Arial" w:hAnsi="Arial"/>
          <w:sz w:val="17"/>
          <w:szCs w:val="17"/>
          <w:b w:val="1"/>
          <w:bCs w:val="1"/>
          <w:color w:val="auto"/>
        </w:rPr>
        <w:t xml:space="preserve"> Section 9(L) </w:t>
      </w:r>
      <w:r>
        <w:rPr>
          <w:rFonts w:ascii="Arial" w:cs="Arial" w:eastAsia="Arial" w:hAnsi="Arial"/>
          <w:sz w:val="17"/>
          <w:szCs w:val="17"/>
          <w:color w:val="auto"/>
        </w:rPr>
        <w:t>during such three-month period. If the Company determines in its sole discretion that such information constitutes material non-public information, then the Company will so indicate in the certification provided pursuant to the preceding sentence and the Company will concurrently disclose such material non-public information on a Current Report on Form 8-K or otherwise.</w:t>
      </w:r>
    </w:p>
    <w:p>
      <w:pPr>
        <w:spacing w:after="0" w:line="191" w:lineRule="exact"/>
        <w:rPr>
          <w:rFonts w:ascii="Arial" w:cs="Arial" w:eastAsia="Arial" w:hAnsi="Arial"/>
          <w:sz w:val="17"/>
          <w:szCs w:val="17"/>
          <w:color w:val="auto"/>
        </w:rPr>
      </w:pPr>
    </w:p>
    <w:p>
      <w:pPr>
        <w:ind w:left="-40" w:right="380" w:firstLine="656"/>
        <w:spacing w:after="0" w:line="277" w:lineRule="auto"/>
        <w:tabs>
          <w:tab w:leader="none" w:pos="90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As of the last day of each applicable fiscal quarter, the Company and its consolidated Subsidiaries shall have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of not less than Target Adjusted EBITDA for the three (3)-month period ending on such day.</w:t>
      </w:r>
    </w:p>
    <w:p>
      <w:pPr>
        <w:spacing w:after="0" w:line="170" w:lineRule="exact"/>
        <w:rPr>
          <w:rFonts w:ascii="Arial" w:cs="Arial" w:eastAsia="Arial" w:hAnsi="Arial"/>
          <w:sz w:val="18"/>
          <w:szCs w:val="18"/>
          <w:color w:val="auto"/>
        </w:rPr>
      </w:pPr>
    </w:p>
    <w:p>
      <w:pPr>
        <w:ind w:left="-40" w:right="420" w:firstLine="656"/>
        <w:spacing w:after="0" w:line="308" w:lineRule="auto"/>
        <w:tabs>
          <w:tab w:leader="none" w:pos="883"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Minimum Revenue</w:t>
      </w:r>
      <w:r>
        <w:rPr>
          <w:rFonts w:ascii="Arial" w:cs="Arial" w:eastAsia="Arial" w:hAnsi="Arial"/>
          <w:sz w:val="17"/>
          <w:szCs w:val="17"/>
          <w:color w:val="auto"/>
        </w:rPr>
        <w:t>. As of the last day of each applicable fiscal quarter, the Company and its consolidated Subsidiaries shall have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in accordance with GAAP) of not less than Target Revenue for the three (3)-month period ending on such day.</w:t>
      </w:r>
    </w:p>
    <w:p>
      <w:pPr>
        <w:spacing w:after="0" w:line="146" w:lineRule="exact"/>
        <w:rPr>
          <w:rFonts w:ascii="Arial" w:cs="Arial" w:eastAsia="Arial" w:hAnsi="Arial"/>
          <w:sz w:val="17"/>
          <w:szCs w:val="17"/>
          <w:color w:val="auto"/>
        </w:rPr>
      </w:pPr>
    </w:p>
    <w:p>
      <w:pPr>
        <w:ind w:left="-40" w:right="120" w:firstLine="656"/>
        <w:spacing w:after="0" w:line="259" w:lineRule="auto"/>
        <w:tabs>
          <w:tab w:leader="none" w:pos="93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Change in Nature of Business</w:t>
      </w:r>
      <w:r>
        <w:rPr>
          <w:rFonts w:ascii="Arial" w:cs="Arial" w:eastAsia="Arial" w:hAnsi="Arial"/>
          <w:sz w:val="18"/>
          <w:szCs w:val="18"/>
          <w:color w:val="auto"/>
        </w:rPr>
        <w:t>. The Company shall not, and the Company shall cause each of its Subsidiaries to not,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engage in any material line of business substantially different from those lines of business conducted by or publicly contemplated to be conducted by the Company and each of its Subsidiaries on the Issue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prevent the Company and its Subsidiaries from engaging in any business that is reasonably related or incidental or ancillary to its or their business.</w:t>
      </w:r>
    </w:p>
    <w:p>
      <w:pPr>
        <w:spacing w:after="0" w:line="186" w:lineRule="exact"/>
        <w:rPr>
          <w:rFonts w:ascii="Arial" w:cs="Arial" w:eastAsia="Arial" w:hAnsi="Arial"/>
          <w:sz w:val="18"/>
          <w:szCs w:val="18"/>
          <w:color w:val="auto"/>
        </w:rPr>
      </w:pPr>
    </w:p>
    <w:p>
      <w:pPr>
        <w:ind w:left="-40" w:right="120" w:firstLine="656"/>
        <w:spacing w:after="0" w:line="275" w:lineRule="auto"/>
        <w:tabs>
          <w:tab w:leader="none" w:pos="903"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Maintenance of Properties, Etc</w:t>
      </w:r>
      <w:r>
        <w:rPr>
          <w:rFonts w:ascii="Arial" w:cs="Arial" w:eastAsia="Arial" w:hAnsi="Arial"/>
          <w:sz w:val="17"/>
          <w:szCs w:val="17"/>
          <w:color w:val="auto"/>
        </w:rPr>
        <w:t>. The Company shall maintain and preserve, and the Company shall cause each of its Subsidiaries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and preserve, all of its properties which are necessary or useful (as determined by the Company in good faith) to the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(except where the failure to do so would not, individually or in the aggregate, have a material effect on the Company or any Subsidiary).</w:t>
      </w:r>
    </w:p>
    <w:p>
      <w:pPr>
        <w:spacing w:after="0" w:line="176" w:lineRule="exact"/>
        <w:rPr>
          <w:rFonts w:ascii="Arial" w:cs="Arial" w:eastAsia="Arial" w:hAnsi="Arial"/>
          <w:sz w:val="17"/>
          <w:szCs w:val="17"/>
          <w:color w:val="auto"/>
        </w:rPr>
      </w:pPr>
    </w:p>
    <w:p>
      <w:pPr>
        <w:jc w:val="both"/>
        <w:ind w:left="-40" w:right="560" w:firstLine="656"/>
        <w:spacing w:after="0" w:line="311" w:lineRule="auto"/>
        <w:tabs>
          <w:tab w:leader="none" w:pos="903"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Maintenance of Intellectual Property</w:t>
      </w:r>
      <w:r>
        <w:rPr>
          <w:rFonts w:ascii="Arial" w:cs="Arial" w:eastAsia="Arial" w:hAnsi="Arial"/>
          <w:sz w:val="16"/>
          <w:szCs w:val="16"/>
          <w:color w:val="auto"/>
        </w:rPr>
        <w:t>. The Company will take, and the Company shall cause each of its Subsidiaries to take, all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or advisable to maintain all of the Intellectual Property Rights (as defined in the Securities Purchase Agreement) of the Company or such Subsidiary that are necessary or material (as determined by the Company in good faith) to the conduct of its business in full force and effect.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41" w:right="359" w:bottom="1440" w:gutter="0" w:footer="0" w:header="0"/>
        </w:sectPr>
      </w:pPr>
    </w:p>
    <w:bookmarkStart w:id="47" w:name="page48"/>
    <w:bookmarkEnd w:id="47"/>
    <w:p>
      <w:pPr>
        <w:ind w:left="-20" w:right="180" w:firstLine="656"/>
        <w:spacing w:after="0" w:line="257" w:lineRule="auto"/>
        <w:tabs>
          <w:tab w:leader="none" w:pos="893"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Maintenance of Insurance</w:t>
      </w:r>
      <w:r>
        <w:rPr>
          <w:rFonts w:ascii="Arial" w:cs="Arial" w:eastAsia="Arial" w:hAnsi="Arial"/>
          <w:sz w:val="18"/>
          <w:szCs w:val="18"/>
          <w:color w:val="auto"/>
        </w:rPr>
        <w:t>. The Company shall maintain, and the Company shall cause each of its Subsidiaries to maintain, insurance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7" w:lineRule="exact"/>
        <w:rPr>
          <w:rFonts w:ascii="Arial" w:cs="Arial" w:eastAsia="Arial" w:hAnsi="Arial"/>
          <w:sz w:val="18"/>
          <w:szCs w:val="18"/>
          <w:color w:val="auto"/>
        </w:rPr>
      </w:pPr>
    </w:p>
    <w:p>
      <w:pPr>
        <w:ind w:left="-20" w:right="120" w:firstLine="656"/>
        <w:spacing w:after="0" w:line="272" w:lineRule="auto"/>
        <w:tabs>
          <w:tab w:leader="none" w:pos="923"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Transactions with Affiliates</w:t>
      </w:r>
      <w:r>
        <w:rPr>
          <w:rFonts w:ascii="Arial" w:cs="Arial" w:eastAsia="Arial" w:hAnsi="Arial"/>
          <w:sz w:val="17"/>
          <w:szCs w:val="17"/>
          <w:color w:val="auto"/>
        </w:rPr>
        <w:t>. Neither the Company, nor any of its Subsidiaries, shall enter into, renew, extend or be a party to, any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or series of related transactions (including, without limitation, the purchase, sale, lease, transfer or exchange of property or assets of any kind or the rendering of services of any kind) with any affiliate (other than the Company or any of its Wholly Owned Subsidiaries), except (i) transactions for fair consideration and on terms no less favorable to it than would be obtainable in a comparable arm’s length transaction with a Person that is not an affiliate thereof, (ii) loans or advances made by the Company or one of its Subsidiaries to its directors, officers and other employees in the ordinary course of business for reasonable travel and entertainment expenses, and relocation costs up to a maximum of one hundred thousand dollars ($100,000) in the aggregate at any one time outstanding, and (iii) distributions permitted by Section 9(G).</w:t>
      </w:r>
    </w:p>
    <w:p>
      <w:pPr>
        <w:spacing w:after="0" w:line="177" w:lineRule="exact"/>
        <w:rPr>
          <w:rFonts w:ascii="Arial" w:cs="Arial" w:eastAsia="Arial" w:hAnsi="Arial"/>
          <w:sz w:val="17"/>
          <w:szCs w:val="17"/>
          <w:color w:val="auto"/>
        </w:rPr>
      </w:pPr>
    </w:p>
    <w:p>
      <w:pPr>
        <w:ind w:left="-20" w:right="20" w:firstLine="656"/>
        <w:spacing w:after="0" w:line="257" w:lineRule="auto"/>
        <w:tabs>
          <w:tab w:leader="none" w:pos="913"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Restricted Issuances. </w:t>
      </w:r>
      <w:r>
        <w:rPr>
          <w:rFonts w:ascii="Arial" w:cs="Arial" w:eastAsia="Arial" w:hAnsi="Arial"/>
          <w:sz w:val="18"/>
          <w:szCs w:val="18"/>
          <w:color w:val="auto"/>
        </w:rPr>
        <w:t>The Company shall not, and shall cause its Subsidiaries not to, directly or indirectly, without the prior written consent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a majority in aggregate principal amount of the Notes then outstanding, (i) issue any Notes (other than as contemplated by the Securities Purchase Agreement and the Notes) or (ii) issue any other securities or incur any Indebtedness, in each case, that would cause a breach or Default under the Notes or that by its terms would prohibit or restrict the performance of any of the Company’s or its Subsidiaries’ obligations under the Notes, including without limitation, the payment of interest and principal thereon.</w:t>
      </w:r>
    </w:p>
    <w:p>
      <w:pPr>
        <w:spacing w:after="0" w:line="187" w:lineRule="exact"/>
        <w:rPr>
          <w:rFonts w:ascii="Arial" w:cs="Arial" w:eastAsia="Arial" w:hAnsi="Arial"/>
          <w:sz w:val="18"/>
          <w:szCs w:val="18"/>
          <w:color w:val="auto"/>
        </w:rPr>
      </w:pPr>
    </w:p>
    <w:p>
      <w:pPr>
        <w:ind w:left="-20" w:right="20" w:firstLine="656"/>
        <w:spacing w:after="0" w:line="285" w:lineRule="auto"/>
        <w:tabs>
          <w:tab w:leader="none" w:pos="893"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Independent Investigation</w:t>
      </w:r>
      <w:r>
        <w:rPr>
          <w:rFonts w:ascii="Arial" w:cs="Arial" w:eastAsia="Arial" w:hAnsi="Arial"/>
          <w:sz w:val="16"/>
          <w:szCs w:val="16"/>
          <w:color w:val="auto"/>
        </w:rPr>
        <w:t>. At the request of the Required Holders (as defined in the Securities Purchase Agreement) at any time the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have determined in good faith that (i) an Event of Default has occurred or (ii) any event or circumstance has occurred and is continuing which, with the giving of notice or passage of time or both, could constitute an Event of Default but the Company has not timely agreed to such determination in writing, the Company shall hire an independent, reputable investment bank selected by the Company and approved by the Required Holders to investigate as to whether such Event of Default or event or circumstance has occurred (the “</w:t>
      </w:r>
      <w:r>
        <w:rPr>
          <w:rFonts w:ascii="Arial" w:cs="Arial" w:eastAsia="Arial" w:hAnsi="Arial"/>
          <w:sz w:val="16"/>
          <w:szCs w:val="16"/>
          <w:b w:val="1"/>
          <w:bCs w:val="1"/>
          <w:color w:val="auto"/>
        </w:rPr>
        <w:t>Independent Investigator</w:t>
      </w:r>
      <w:r>
        <w:rPr>
          <w:rFonts w:ascii="Arial" w:cs="Arial" w:eastAsia="Arial" w:hAnsi="Arial"/>
          <w:sz w:val="16"/>
          <w:szCs w:val="16"/>
          <w:color w:val="auto"/>
        </w:rPr>
        <w:t>”). If the Independent Investigator determines that such Event of Default or event or circumstance has occurred, the Independent Investigator shall notify the Company of such Event of Default or occurrence of such event or circumstance and the Company shall promptly deliver written notice to the Holder of such Event of Default if such Event of Default has occurred. In connection with such investigation, the Independent Investigator may, during normal business hours and upon signing a confidentiality agreement in a form reasonably acceptable to the Company, inspect all contracts, books, records, personnel, offices and other facilities and properties of the Company and its Subsidiaries and, to the extent available to the Company after the Company uses reasonable efforts to obtain them, the records of its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any of the Company’s officers, directors, key employees and independent public accountants (and by this provision the Company authorizes said accountants to discuss with such Independent Investigator the finances and affairs of the Company and any Subsidiaries); provided, that the Company’s chief executive officer and chief financial officer shall be invited to join any such discussion, all at such reasonable times, upon reasonable notice, and as often as may be reasonably requested.</w:t>
      </w:r>
    </w:p>
    <w:p>
      <w:pPr>
        <w:spacing w:after="0" w:line="168" w:lineRule="exact"/>
        <w:rPr>
          <w:rFonts w:ascii="Arial" w:cs="Arial" w:eastAsia="Arial" w:hAnsi="Arial"/>
          <w:sz w:val="16"/>
          <w:szCs w:val="16"/>
          <w:color w:val="auto"/>
        </w:rPr>
      </w:pPr>
    </w:p>
    <w:p>
      <w:pPr>
        <w:ind w:left="-20" w:firstLine="656"/>
        <w:spacing w:after="0" w:line="289" w:lineRule="auto"/>
        <w:tabs>
          <w:tab w:leader="none" w:pos="903"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Arial" w:cs="Arial" w:eastAsia="Arial" w:hAnsi="Arial"/>
          <w:sz w:val="16"/>
          <w:szCs w:val="16"/>
          <w:b w:val="1"/>
          <w:bCs w:val="1"/>
          <w:color w:val="auto"/>
        </w:rPr>
        <w:t xml:space="preserve">Section 9(T) </w:t>
      </w:r>
      <w:r>
        <w:rPr>
          <w:rFonts w:ascii="Arial" w:cs="Arial" w:eastAsia="Arial" w:hAnsi="Arial"/>
          <w:sz w:val="16"/>
          <w:szCs w:val="16"/>
          <w:color w:val="auto"/>
        </w:rPr>
        <w:t>shall limit any obligations of the Company, or any rights of the Holder, under the Securities Purchase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48" w:name="page49"/>
    <w:bookmarkEnd w:id="48"/>
    <w:p>
      <w:pPr>
        <w:ind w:right="20" w:firstLine="656"/>
        <w:spacing w:after="0" w:line="270" w:lineRule="auto"/>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acknowledges and agrees that the Holder is not a fiduciary or agent of the Company, the Holder will not have any obligations hereunder except those obligations expressly set forth herein (and in the Securities Purchase Agreement) and the Holder is acting solely in the capacity of an arm’s length contractual counterparty to the Company with respect to the Note and not as a fiduciary or agent of the Company. The Company agrees that it will not assert any claim against the Holder based on an alleged breach of fiduciary duty by the Holder in connection with the Note. The Company acknowledges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0" w:lineRule="exact"/>
        <w:rPr>
          <w:rFonts w:ascii="Arial" w:cs="Arial" w:eastAsia="Arial" w:hAnsi="Arial"/>
          <w:sz w:val="17"/>
          <w:szCs w:val="17"/>
          <w:color w:val="auto"/>
        </w:rPr>
      </w:pPr>
    </w:p>
    <w:p>
      <w:pPr>
        <w:ind w:firstLine="656"/>
        <w:spacing w:after="0" w:line="254" w:lineRule="auto"/>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cause this Note to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 on and after the date that is six (6) months following the Issue Date. If this Note is to be transferred, the Holder shall notify the Company and surrender this Note to the Company (or provide the Company an affidavit in a form reasonably acceptable to the Company that this Note was lost, stolen or destroyed), whereupon the Company will forthwith issue and deliver upon the order of the Holder a new Note, registered as the Holder may request. The Company shall not be obligated to pay any tax which may be payable with respect to any transfer (or deemed transfer) arising in connection with the registration of any certificates for Notes in the name of any Person other than the Holder or any of its Affiliates.</w:t>
      </w:r>
    </w:p>
    <w:p>
      <w:pPr>
        <w:spacing w:after="0" w:line="191" w:lineRule="exact"/>
        <w:rPr>
          <w:rFonts w:ascii="Arial" w:cs="Arial" w:eastAsia="Arial" w:hAnsi="Arial"/>
          <w:sz w:val="18"/>
          <w:szCs w:val="18"/>
          <w:color w:val="auto"/>
        </w:rPr>
      </w:pPr>
    </w:p>
    <w:p>
      <w:pPr>
        <w:ind w:right="20" w:firstLine="656"/>
        <w:spacing w:after="0" w:line="255" w:lineRule="auto"/>
        <w:tabs>
          <w:tab w:leader="none" w:pos="9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at all times have authorized and unissued no less than a number of shares of Common Stock equal to the sum of (x) 100% of the maximum number of shares of Common Stock as shall be necessary to satisfy the Company’s obligation to issue shares of Common Stock under the Warrants then outstanding, reserved for the purpose of issuance pursuant to the Warrants, plus (y) following the Company's next annual meeting of stockholders, but in no event later than June 30, 2022, an additional ten million (10,000,000) unreserved shares of Common Stock. At the Company's next annual meeting of stockholders, but in no event later than June 30, 2022, the Company shall increase its authorized shares of Common Stock to no less than eighty million (80,000,000)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w:t>
      </w:r>
      <w:r>
        <w:rPr>
          <w:rFonts w:ascii="Arial" w:cs="Arial" w:eastAsia="Arial" w:hAnsi="Arial"/>
          <w:sz w:val="12"/>
          <w:szCs w:val="12"/>
          <w:b w:val="1"/>
          <w:bCs w:val="1"/>
          <w:color w:val="auto"/>
        </w:rPr>
        <w:t>UCCESSORS</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w:t>
      </w:r>
      <w:r>
        <w:rPr>
          <w:rFonts w:ascii="Arial" w:cs="Arial" w:eastAsia="Arial" w:hAnsi="Arial"/>
          <w:sz w:val="18"/>
          <w:szCs w:val="18"/>
          <w:b w:val="1"/>
          <w:bCs w:val="1"/>
          <w:color w:val="auto"/>
        </w:rPr>
        <w:t>Business Combination Event</w:t>
      </w:r>
      <w:r>
        <w:rPr>
          <w:rFonts w:ascii="Arial" w:cs="Arial" w:eastAsia="Arial" w:hAnsi="Arial"/>
          <w:sz w:val="18"/>
          <w:szCs w:val="18"/>
          <w:color w:val="auto"/>
        </w:rPr>
        <w:t>”), unless:</w:t>
      </w:r>
    </w:p>
    <w:p>
      <w:pPr>
        <w:spacing w:after="0" w:line="180" w:lineRule="exact"/>
        <w:rPr>
          <w:sz w:val="20"/>
          <w:szCs w:val="20"/>
          <w:color w:val="auto"/>
        </w:rPr>
      </w:pPr>
    </w:p>
    <w:p>
      <w:pPr>
        <w:ind w:right="200" w:firstLine="656"/>
        <w:spacing w:after="0" w:line="261" w:lineRule="auto"/>
        <w:tabs>
          <w:tab w:leader="none" w:pos="9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resulting, surviving or transferee Person either (x) is the Company or (y) if not the Company, is a corporation (the “</w:t>
      </w:r>
      <w:r>
        <w:rPr>
          <w:rFonts w:ascii="Arial" w:cs="Arial" w:eastAsia="Arial" w:hAnsi="Arial"/>
          <w:sz w:val="18"/>
          <w:szCs w:val="18"/>
          <w:b w:val="1"/>
          <w:bCs w:val="1"/>
          <w:color w:val="auto"/>
        </w:rPr>
        <w:t>Successor</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duly organized and existing under the laws of the United States of America, any State thereof or the District of Columbia that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assumes (by executing and delivering to the Holder, at or before the effective time of such Business Combination Event, a supplement to this instrument) all of the Company’s obligations under this Note; and</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immediately after giving effect to such Business Combination Event, no Default or Event of Default will have occurred and be continuing.</w:t>
      </w:r>
    </w:p>
    <w:p>
      <w:pPr>
        <w:spacing w:after="0" w:line="23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w:t>
      </w:r>
      <w:r>
        <w:rPr>
          <w:rFonts w:ascii="Arial" w:cs="Arial" w:eastAsia="Arial" w:hAnsi="Arial"/>
          <w:sz w:val="12"/>
          <w:szCs w:val="12"/>
          <w:b w:val="1"/>
          <w:bCs w:val="1"/>
          <w:color w:val="auto"/>
        </w:rPr>
        <w:t>EFAULTS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p>
    <w:p>
      <w:pPr>
        <w:spacing w:after="0" w:line="225" w:lineRule="exact"/>
        <w:rPr>
          <w:sz w:val="20"/>
          <w:szCs w:val="20"/>
          <w:color w:val="auto"/>
        </w:rPr>
      </w:pPr>
    </w:p>
    <w:p>
      <w:pPr>
        <w:ind w:left="960" w:hanging="304"/>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means the occurrence of any of the following:</w:t>
      </w:r>
    </w:p>
    <w:p>
      <w:pPr>
        <w:spacing w:after="0" w:line="225" w:lineRule="exact"/>
        <w:rPr>
          <w:rFonts w:ascii="Arial" w:cs="Arial" w:eastAsia="Arial" w:hAnsi="Arial"/>
          <w:sz w:val="18"/>
          <w:szCs w:val="18"/>
          <w:color w:val="auto"/>
        </w:rPr>
      </w:pPr>
    </w:p>
    <w:p>
      <w:pPr>
        <w:ind w:right="620" w:firstLine="1304"/>
        <w:spacing w:after="0" w:line="282" w:lineRule="auto"/>
        <w:tabs>
          <w:tab w:leader="none" w:pos="1511"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 default in the payment when due of an Amortization Payment, the Principal Amount, any amount due under </w:t>
      </w:r>
      <w:r>
        <w:rPr>
          <w:rFonts w:ascii="Arial" w:cs="Arial" w:eastAsia="Arial" w:hAnsi="Arial"/>
          <w:sz w:val="18"/>
          <w:szCs w:val="18"/>
          <w:b w:val="1"/>
          <w:bCs w:val="1"/>
          <w:color w:val="auto"/>
        </w:rPr>
        <w:t>Section 8</w:t>
      </w:r>
      <w:r>
        <w:rPr>
          <w:rFonts w:ascii="Arial" w:cs="Arial" w:eastAsia="Arial" w:hAnsi="Arial"/>
          <w:sz w:val="18"/>
          <w:szCs w:val="18"/>
          <w:color w:val="auto"/>
        </w:rPr>
        <w:t xml:space="preserve"> or the Fundamental Change Repurchase Price under this Note;</w:t>
      </w:r>
    </w:p>
    <w:p>
      <w:pPr>
        <w:spacing w:after="0" w:line="165" w:lineRule="exact"/>
        <w:rPr>
          <w:rFonts w:ascii="Arial" w:cs="Arial" w:eastAsia="Arial" w:hAnsi="Arial"/>
          <w:sz w:val="18"/>
          <w:szCs w:val="18"/>
          <w:color w:val="auto"/>
        </w:rPr>
      </w:pPr>
    </w:p>
    <w:p>
      <w:pPr>
        <w:ind w:left="1560" w:hanging="256"/>
        <w:spacing w:after="0"/>
        <w:tabs>
          <w:tab w:leader="none" w:pos="15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default for three (3) Business Days in the payment when due of the interest on this Note;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ind w:left="-20" w:right="340" w:firstLine="1304"/>
        <w:spacing w:after="0" w:line="347" w:lineRule="auto"/>
        <w:tabs>
          <w:tab w:leader="none" w:pos="15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 default in the Company’s obligation to timely deliver a Fundamental Change Notice pursuant to </w:t>
      </w:r>
      <w:r>
        <w:rPr>
          <w:rFonts w:ascii="Arial" w:cs="Arial" w:eastAsia="Arial" w:hAnsi="Arial"/>
          <w:sz w:val="16"/>
          <w:szCs w:val="16"/>
          <w:b w:val="1"/>
          <w:bCs w:val="1"/>
          <w:color w:val="auto"/>
        </w:rPr>
        <w:t>Section 6(C)</w:t>
      </w:r>
      <w:r>
        <w:rPr>
          <w:rFonts w:ascii="Arial" w:cs="Arial" w:eastAsia="Arial" w:hAnsi="Arial"/>
          <w:sz w:val="16"/>
          <w:szCs w:val="16"/>
          <w:color w:val="auto"/>
        </w:rPr>
        <w:t>, and such default continues for three (3) Business Days, or the delivery of a materially false or inaccurate Fundamental Change Notice or Company Redemption Notice;</w:t>
      </w:r>
    </w:p>
    <w:p>
      <w:pPr>
        <w:spacing w:after="0" w:line="119" w:lineRule="exact"/>
        <w:rPr>
          <w:rFonts w:ascii="Arial" w:cs="Arial" w:eastAsia="Arial" w:hAnsi="Arial"/>
          <w:sz w:val="16"/>
          <w:szCs w:val="16"/>
          <w:color w:val="auto"/>
        </w:rPr>
      </w:pPr>
    </w:p>
    <w:p>
      <w:pPr>
        <w:ind w:left="1580" w:hanging="296"/>
        <w:spacing w:after="0"/>
        <w:tabs>
          <w:tab w:leader="none" w:pos="1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Company’s obligation to deliver when due any Event of Default Acceleration Amount;</w:t>
      </w:r>
    </w:p>
    <w:p>
      <w:pPr>
        <w:spacing w:after="0" w:line="225" w:lineRule="exact"/>
        <w:rPr>
          <w:rFonts w:ascii="Arial" w:cs="Arial" w:eastAsia="Arial" w:hAnsi="Arial"/>
          <w:sz w:val="18"/>
          <w:szCs w:val="18"/>
          <w:color w:val="auto"/>
        </w:rPr>
      </w:pPr>
    </w:p>
    <w:p>
      <w:pPr>
        <w:ind w:left="-20" w:right="340" w:firstLine="1304"/>
        <w:spacing w:after="0" w:line="308" w:lineRule="auto"/>
        <w:tabs>
          <w:tab w:leader="none" w:pos="1531"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failure to timely deliver an Event of Default Notice or a materially false or inaccurate certification as to whether any Event of Default has occurred or as to whether the Equity Conditions (as defined in the Securities Purchase Agreement) have been satisfied;</w:t>
      </w:r>
    </w:p>
    <w:p>
      <w:pPr>
        <w:spacing w:after="0" w:line="146" w:lineRule="exact"/>
        <w:rPr>
          <w:rFonts w:ascii="Arial" w:cs="Arial" w:eastAsia="Arial" w:hAnsi="Arial"/>
          <w:sz w:val="17"/>
          <w:szCs w:val="17"/>
          <w:color w:val="auto"/>
        </w:rPr>
      </w:pPr>
    </w:p>
    <w:p>
      <w:pPr>
        <w:ind w:left="-20" w:firstLine="1304"/>
        <w:spacing w:after="0" w:line="257" w:lineRule="auto"/>
        <w:tabs>
          <w:tab w:leader="none" w:pos="15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 default in any of the Company’s obligations or agreements under this Note or the Transaction Documents (in each case, other than a default set forth in clauses </w:t>
      </w:r>
      <w:r>
        <w:rPr>
          <w:rFonts w:ascii="Arial" w:cs="Arial" w:eastAsia="Arial" w:hAnsi="Arial"/>
          <w:sz w:val="18"/>
          <w:szCs w:val="18"/>
          <w:b w:val="1"/>
          <w:bCs w:val="1"/>
          <w:color w:val="auto"/>
        </w:rPr>
        <w:t>(i)</w:t>
      </w:r>
      <w:r>
        <w:rPr>
          <w:rFonts w:ascii="Arial" w:cs="Arial" w:eastAsia="Arial" w:hAnsi="Arial"/>
          <w:sz w:val="18"/>
          <w:szCs w:val="18"/>
          <w:color w:val="auto"/>
        </w:rPr>
        <w:t xml:space="preserve"> - </w:t>
      </w:r>
      <w:r>
        <w:rPr>
          <w:rFonts w:ascii="Arial" w:cs="Arial" w:eastAsia="Arial" w:hAnsi="Arial"/>
          <w:sz w:val="18"/>
          <w:szCs w:val="18"/>
          <w:b w:val="1"/>
          <w:bCs w:val="1"/>
          <w:color w:val="auto"/>
        </w:rPr>
        <w:t>(v)</w:t>
      </w:r>
      <w:r>
        <w:rPr>
          <w:rFonts w:ascii="Arial" w:cs="Arial" w:eastAsia="Arial" w:hAnsi="Arial"/>
          <w:sz w:val="18"/>
          <w:szCs w:val="18"/>
          <w:color w:val="auto"/>
        </w:rPr>
        <w:t xml:space="preserve"> or </w:t>
      </w:r>
      <w:r>
        <w:rPr>
          <w:rFonts w:ascii="Arial" w:cs="Arial" w:eastAsia="Arial" w:hAnsi="Arial"/>
          <w:sz w:val="18"/>
          <w:szCs w:val="18"/>
          <w:b w:val="1"/>
          <w:bCs w:val="1"/>
          <w:color w:val="auto"/>
        </w:rPr>
        <w:t>(vii)</w:t>
      </w:r>
      <w:r>
        <w:rPr>
          <w:rFonts w:ascii="Arial" w:cs="Arial" w:eastAsia="Arial" w:hAnsi="Arial"/>
          <w:sz w:val="18"/>
          <w:szCs w:val="18"/>
          <w:color w:val="auto"/>
        </w:rPr>
        <w:t xml:space="preserve"> – </w:t>
      </w:r>
      <w:r>
        <w:rPr>
          <w:rFonts w:ascii="Arial" w:cs="Arial" w:eastAsia="Arial" w:hAnsi="Arial"/>
          <w:sz w:val="18"/>
          <w:szCs w:val="18"/>
          <w:b w:val="1"/>
          <w:bCs w:val="1"/>
          <w:color w:val="auto"/>
        </w:rPr>
        <w:t>(xviii)</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11(A)</w:t>
      </w:r>
      <w:r>
        <w:rPr>
          <w:rFonts w:ascii="Arial" w:cs="Arial" w:eastAsia="Arial" w:hAnsi="Arial"/>
          <w:sz w:val="18"/>
          <w:szCs w:val="18"/>
          <w:color w:val="auto"/>
        </w:rPr>
        <w:t xml:space="preserve">), or a breach of any representation or warranty in any material respect (other than representations or warranties subject to material adverse effect or materiality qualifications, which may not be breached in any respect) of any Transaction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default can be cured, then such default shall not be an Event of Default unless the Company has failed to cure such default within ten (10) Business Days days after its occurrence;</w:t>
      </w:r>
    </w:p>
    <w:p>
      <w:pPr>
        <w:spacing w:after="0" w:line="187" w:lineRule="exact"/>
        <w:rPr>
          <w:rFonts w:ascii="Arial" w:cs="Arial" w:eastAsia="Arial" w:hAnsi="Arial"/>
          <w:sz w:val="18"/>
          <w:szCs w:val="18"/>
          <w:color w:val="auto"/>
        </w:rPr>
      </w:pPr>
    </w:p>
    <w:p>
      <w:pPr>
        <w:ind w:left="-20" w:firstLine="1304"/>
        <w:spacing w:after="0" w:line="259" w:lineRule="auto"/>
        <w:tabs>
          <w:tab w:leader="none" w:pos="16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provision of any Transaction Document at any time for any reason (other than pursuant to the express terms thereof) ceases to be valid and binding on or enforceable against the parties thereto, or the validity or enforceability thereof is contested, directly or indirectly, by the Company or any of its Subsidiaries, or a proceeding is commenced by the Company or any of its Subsidiaries or any governmental authority having jurisdiction over any of them, seeking to establish the invalidity or unenforceability thereof;</w:t>
      </w:r>
    </w:p>
    <w:p>
      <w:pPr>
        <w:spacing w:after="0" w:line="182" w:lineRule="exact"/>
        <w:rPr>
          <w:rFonts w:ascii="Arial" w:cs="Arial" w:eastAsia="Arial" w:hAnsi="Arial"/>
          <w:sz w:val="18"/>
          <w:szCs w:val="18"/>
          <w:color w:val="auto"/>
        </w:rPr>
      </w:pPr>
    </w:p>
    <w:p>
      <w:pPr>
        <w:ind w:left="-20" w:right="100" w:firstLine="1304"/>
        <w:spacing w:after="0" w:line="282" w:lineRule="auto"/>
        <w:tabs>
          <w:tab w:leader="none" w:pos="1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Company fails to comply with any covenant set forth in </w:t>
      </w:r>
      <w:r>
        <w:rPr>
          <w:rFonts w:ascii="Arial" w:cs="Arial" w:eastAsia="Arial" w:hAnsi="Arial"/>
          <w:sz w:val="18"/>
          <w:szCs w:val="18"/>
          <w:b w:val="1"/>
          <w:bCs w:val="1"/>
          <w:color w:val="auto"/>
        </w:rPr>
        <w:t>Section 9(D)</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9(E)</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9(F)</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9(G)</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9(H)</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9(J)</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9(K), Section 9(L),Section 9(R) </w:t>
      </w:r>
      <w:r>
        <w:rPr>
          <w:rFonts w:ascii="Arial" w:cs="Arial" w:eastAsia="Arial" w:hAnsi="Arial"/>
          <w:sz w:val="18"/>
          <w:szCs w:val="18"/>
          <w:color w:val="auto"/>
        </w:rPr>
        <w:t>or</w:t>
      </w:r>
      <w:r>
        <w:rPr>
          <w:rFonts w:ascii="Arial" w:cs="Arial" w:eastAsia="Arial" w:hAnsi="Arial"/>
          <w:sz w:val="18"/>
          <w:szCs w:val="18"/>
          <w:b w:val="1"/>
          <w:bCs w:val="1"/>
          <w:color w:val="auto"/>
        </w:rPr>
        <w:t xml:space="preserve"> Section 9(W) </w:t>
      </w:r>
      <w:r>
        <w:rPr>
          <w:rFonts w:ascii="Arial" w:cs="Arial" w:eastAsia="Arial" w:hAnsi="Arial"/>
          <w:sz w:val="18"/>
          <w:szCs w:val="18"/>
          <w:color w:val="auto"/>
        </w:rPr>
        <w:t>of this Note;</w:t>
      </w:r>
    </w:p>
    <w:p>
      <w:pPr>
        <w:spacing w:after="0" w:line="165" w:lineRule="exact"/>
        <w:rPr>
          <w:rFonts w:ascii="Arial" w:cs="Arial" w:eastAsia="Arial" w:hAnsi="Arial"/>
          <w:sz w:val="18"/>
          <w:szCs w:val="18"/>
          <w:color w:val="auto"/>
        </w:rPr>
      </w:pPr>
    </w:p>
    <w:p>
      <w:pPr>
        <w:ind w:left="-20" w:right="160" w:firstLine="1304"/>
        <w:spacing w:after="0" w:line="277" w:lineRule="auto"/>
        <w:tabs>
          <w:tab w:leader="none" w:pos="15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suspension from trading or failure of the Common Stock to be trading or listed on an Eligible Exchange for a period of three (3) consecutive Trading Days;</w:t>
      </w:r>
    </w:p>
    <w:p>
      <w:pPr>
        <w:spacing w:after="0" w:line="170" w:lineRule="exact"/>
        <w:rPr>
          <w:rFonts w:ascii="Arial" w:cs="Arial" w:eastAsia="Arial" w:hAnsi="Arial"/>
          <w:sz w:val="18"/>
          <w:szCs w:val="18"/>
          <w:color w:val="auto"/>
        </w:rPr>
      </w:pPr>
    </w:p>
    <w:p>
      <w:pPr>
        <w:ind w:left="-20" w:firstLine="1304"/>
        <w:spacing w:after="0" w:line="291" w:lineRule="auto"/>
        <w:tabs>
          <w:tab w:leader="none" w:pos="1531"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the failure of the Company or any of its Subsidiaries to pay when due or within any applicable grace period any Indebtedness having an individual principal amount in excess of at least five hundred thousand dollars ($500,000) (or its foreign currency equivalent) in the aggregate of the Company or any of its Subsidiaries, whether such Indebtedness exists as of the Issue Date or is thereafter created, and whether such default has been waived for any period of time or is subsequently cured; or (ii) the occurrence of any breach or default under any terms or provisions of any other Indebtedness of at least five hundred thousand dollars ($500,000) (or its foreign currency equivalent) in the aggregate of the Company or any of its Subsidiaries, if the effect of such failure or occurrence is to cause or to permit the holder or holders of any such indebtedness, to cause, Indebtedness having an individual principal amount in excess of five hundred thousand dollars ($500,000) to become or be declared due prior to its stated maturity;</w:t>
      </w:r>
    </w:p>
    <w:p>
      <w:pPr>
        <w:spacing w:after="0" w:line="166" w:lineRule="exact"/>
        <w:rPr>
          <w:rFonts w:ascii="Arial" w:cs="Arial" w:eastAsia="Arial" w:hAnsi="Arial"/>
          <w:sz w:val="16"/>
          <w:szCs w:val="16"/>
          <w:color w:val="auto"/>
        </w:rPr>
      </w:pPr>
    </w:p>
    <w:p>
      <w:pPr>
        <w:ind w:left="-20" w:right="160" w:firstLine="1304"/>
        <w:spacing w:after="0" w:line="273" w:lineRule="auto"/>
        <w:tabs>
          <w:tab w:leader="none" w:pos="1581" w:val="left"/>
        </w:tabs>
        <w:numPr>
          <w:ilvl w:val="0"/>
          <w:numId w:val="49"/>
        </w:numPr>
        <w:rPr>
          <w:rFonts w:ascii="Arial" w:cs="Arial" w:eastAsia="Arial" w:hAnsi="Arial"/>
          <w:sz w:val="17"/>
          <w:szCs w:val="17"/>
          <w:color w:val="auto"/>
        </w:rPr>
      </w:pPr>
      <w:r>
        <w:rPr>
          <w:rFonts w:ascii="Arial" w:cs="Arial" w:eastAsia="Arial" w:hAnsi="Arial"/>
          <w:sz w:val="17"/>
          <w:szCs w:val="17"/>
          <w:color w:val="auto"/>
        </w:rPr>
        <w:t>one or more final judgments, orders or awards (or any settlement of any litigation or other proceeding that, if breached, could result in a judgment, order or award) for the payment of at least five hundred thousand dollars ($500,000) (or its foreign currency equivalent) in the aggregate (excluding any amounts covered by insurance pursuant to which the insurer has been notified and has not denied coverage), is rendered against the Company or any of its Subsidiaries and remains unsatisfied and (i) enforcement proceedings shall have been commenced by any creditor upon any such judgment, order, award or settlement or (ii) there shall be a period of ten (10) consecutive Trading Days after entry thereof during which (A) a stay of enforcement thereof is not in effect or (B) the same is not vacated, discharged, stayed or bonded pending appeal;</w:t>
      </w:r>
    </w:p>
    <w:p>
      <w:pPr>
        <w:spacing w:after="0" w:line="177" w:lineRule="exact"/>
        <w:rPr>
          <w:rFonts w:ascii="Arial" w:cs="Arial" w:eastAsia="Arial" w:hAnsi="Arial"/>
          <w:sz w:val="17"/>
          <w:szCs w:val="17"/>
          <w:color w:val="auto"/>
        </w:rPr>
      </w:pPr>
    </w:p>
    <w:p>
      <w:pPr>
        <w:ind w:left="-20" w:right="140" w:firstLine="1304"/>
        <w:spacing w:after="0" w:line="257" w:lineRule="auto"/>
        <w:tabs>
          <w:tab w:leader="none" w:pos="16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the Company fails to timely file its quarterly reports on Form 10-Q or its annual reports on Form 10-K with the Commission in the manner and within the time periods required by the Exchange Act in a manner that results in the Company failing for any reason to satisfy the requirements of Rule 144(c)(1) under the Securities Act, including, without limitation, the failure to satisfy the current public information requirement under Rule 144(c), or (B) the Company withdraws or restates in any material respect any such quarterly report or annual report previously filed with the Commission;</w:t>
      </w:r>
    </w:p>
    <w:p>
      <w:pPr>
        <w:spacing w:after="0" w:line="187" w:lineRule="exact"/>
        <w:rPr>
          <w:rFonts w:ascii="Arial" w:cs="Arial" w:eastAsia="Arial" w:hAnsi="Arial"/>
          <w:sz w:val="18"/>
          <w:szCs w:val="18"/>
          <w:color w:val="auto"/>
        </w:rPr>
      </w:pPr>
    </w:p>
    <w:p>
      <w:pPr>
        <w:ind w:left="-20" w:right="20" w:firstLine="1304"/>
        <w:spacing w:after="0" w:line="257" w:lineRule="auto"/>
        <w:tabs>
          <w:tab w:leader="none" w:pos="1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Security Document shall for any reason fail or cease to create a separate valid and perfected first priority Lien on the Collateral, in each case, in favor of the Collateral Agent in accordance with the terms thereof,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50" w:name="page51"/>
    <w:bookmarkEnd w:id="50"/>
    <w:p>
      <w:pPr>
        <w:ind w:right="120" w:firstLine="1304"/>
        <w:spacing w:after="0" w:line="273" w:lineRule="auto"/>
        <w:tabs>
          <w:tab w:leader="none" w:pos="169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any material damage to, or loss, theft or destruction of, any Collateral (provided that any damage, loss, theft or destruction of the Collateral that reduces the value of such Collateral by one million dollars ($1,000,000) or more shall be deemed to be material), that is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reasonably be expected to have a Material Adverse Effect (as defined in the Securities Purchase Agreement). For clarity, an Event of Default under this </w:t>
      </w:r>
      <w:r>
        <w:rPr>
          <w:rFonts w:ascii="Arial" w:cs="Arial" w:eastAsia="Arial" w:hAnsi="Arial"/>
          <w:sz w:val="17"/>
          <w:szCs w:val="17"/>
          <w:b w:val="1"/>
          <w:bCs w:val="1"/>
          <w:color w:val="auto"/>
        </w:rPr>
        <w:t>Section 11(A)(xiv)</w:t>
      </w:r>
      <w:r>
        <w:rPr>
          <w:rFonts w:ascii="Arial" w:cs="Arial" w:eastAsia="Arial" w:hAnsi="Arial"/>
          <w:sz w:val="17"/>
          <w:szCs w:val="17"/>
          <w:color w:val="auto"/>
        </w:rPr>
        <w:t xml:space="preserve"> will not require any curtailment of revenue;</w:t>
      </w:r>
    </w:p>
    <w:p>
      <w:pPr>
        <w:spacing w:after="0" w:line="177" w:lineRule="exact"/>
        <w:rPr>
          <w:rFonts w:ascii="Arial" w:cs="Arial" w:eastAsia="Arial" w:hAnsi="Arial"/>
          <w:sz w:val="17"/>
          <w:szCs w:val="17"/>
          <w:color w:val="auto"/>
        </w:rPr>
      </w:pPr>
    </w:p>
    <w:p>
      <w:pPr>
        <w:jc w:val="both"/>
        <w:ind w:right="60" w:firstLine="1304"/>
        <w:spacing w:after="0" w:line="259" w:lineRule="auto"/>
        <w:tabs>
          <w:tab w:leader="none" w:pos="164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fails to remove any restrictive legend on any certificate or any shares of Common Stock issued to the Holder pursuant to any Securities (as defined in the Securities Purchase Agreement) acquired by the Holder under the Securities Purchase Agreement as and when required by such Securities or the Securities Purchase Agreement, unless otherwise then prohibited by applicable federal securities laws and such failure continues for more than five (5) Trading Days;</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or any of its Significant Subsidiaries, pursuant to or within the meaning of any Bankruptcy Law, either:</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takes any comparable action under any foreign Bankruptcy Law; or</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either:</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is for relief against Company or any of its Significant Subsidiaries in an involuntary case or proceeding;</w:t>
      </w:r>
    </w:p>
    <w:p>
      <w:pPr>
        <w:spacing w:after="0" w:line="225" w:lineRule="exact"/>
        <w:rPr>
          <w:rFonts w:ascii="Arial" w:cs="Arial" w:eastAsia="Arial" w:hAnsi="Arial"/>
          <w:sz w:val="18"/>
          <w:szCs w:val="18"/>
          <w:color w:val="auto"/>
        </w:rPr>
      </w:pPr>
    </w:p>
    <w:p>
      <w:pPr>
        <w:ind w:right="140" w:firstLine="1952"/>
        <w:spacing w:after="0" w:line="277" w:lineRule="auto"/>
        <w:tabs>
          <w:tab w:leader="none" w:pos="21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appoints a custodian of the Company or any of its Significant Subsidiaries, or for any substantial part of the property of the Company or any of its Significant Subsidiaries;</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or any of its Significant Subsidiaries; or</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grants any similar relief with respect to the Company or any of its Significant Subsidiaries under any foreign Bankruptcy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in each case under this </w:t>
      </w:r>
      <w:r>
        <w:rPr>
          <w:rFonts w:ascii="Arial" w:cs="Arial" w:eastAsia="Arial" w:hAnsi="Arial"/>
          <w:sz w:val="18"/>
          <w:szCs w:val="18"/>
          <w:b w:val="1"/>
          <w:bCs w:val="1"/>
          <w:color w:val="auto"/>
        </w:rPr>
        <w:t>Section 11(A)(xvii)</w:t>
      </w:r>
      <w:r>
        <w:rPr>
          <w:rFonts w:ascii="Arial" w:cs="Arial" w:eastAsia="Arial" w:hAnsi="Arial"/>
          <w:sz w:val="18"/>
          <w:szCs w:val="18"/>
          <w:color w:val="auto"/>
        </w:rPr>
        <w:t>, such order or decree remains unstayed and in effect for at least thirty (30) days.</w:t>
      </w:r>
    </w:p>
    <w:p>
      <w:pPr>
        <w:spacing w:after="0" w:line="229" w:lineRule="exact"/>
        <w:rPr>
          <w:sz w:val="20"/>
          <w:szCs w:val="20"/>
          <w:color w:val="auto"/>
        </w:rPr>
      </w:pPr>
    </w:p>
    <w:p>
      <w:pPr>
        <w:ind w:left="1800" w:hanging="496"/>
        <w:spacing w:after="0"/>
        <w:tabs>
          <w:tab w:leader="none" w:pos="18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Company’s stockholders approve any plan for the liquidation or dissolution of the Company: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Acceleration.</w:t>
      </w:r>
    </w:p>
    <w:p>
      <w:pPr>
        <w:spacing w:after="0" w:line="221" w:lineRule="exact"/>
        <w:rPr>
          <w:rFonts w:ascii="Arial" w:cs="Arial" w:eastAsia="Arial" w:hAnsi="Arial"/>
          <w:sz w:val="18"/>
          <w:szCs w:val="18"/>
          <w:color w:val="auto"/>
        </w:rPr>
      </w:pPr>
    </w:p>
    <w:p>
      <w:pPr>
        <w:ind w:firstLine="1304"/>
        <w:spacing w:after="0" w:line="314" w:lineRule="auto"/>
        <w:tabs>
          <w:tab w:leader="none" w:pos="1511"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Automatic Acceleration in Certain Circumstances</w:t>
      </w:r>
      <w:r>
        <w:rPr>
          <w:rFonts w:ascii="Arial" w:cs="Arial" w:eastAsia="Arial" w:hAnsi="Arial"/>
          <w:sz w:val="16"/>
          <w:szCs w:val="16"/>
          <w:color w:val="auto"/>
        </w:rPr>
        <w:t>. If an Event of Default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11(A)(xvi)</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11(A)(xvii)</w:t>
      </w:r>
      <w:r>
        <w:rPr>
          <w:rFonts w:ascii="Arial" w:cs="Arial" w:eastAsia="Arial" w:hAnsi="Arial"/>
          <w:sz w:val="16"/>
          <w:szCs w:val="16"/>
          <w:i w:val="1"/>
          <w:iCs w:val="1"/>
          <w:color w:val="auto"/>
        </w:rPr>
        <w:t xml:space="preserve"> </w:t>
      </w:r>
      <w:r>
        <w:rPr>
          <w:rFonts w:ascii="Arial" w:cs="Arial" w:eastAsia="Arial" w:hAnsi="Arial"/>
          <w:sz w:val="16"/>
          <w:szCs w:val="16"/>
          <w:color w:val="auto"/>
        </w:rPr>
        <w:t>occurs</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Company (and not solely with respect to a Significant Subsidiary of the Company), then the then outstanding portion of the Principal Amount of, and all accrued and unpaid interest on, this Note will immediately become due and payable without any further action or notice by any Person.</w:t>
      </w:r>
    </w:p>
    <w:p>
      <w:pPr>
        <w:spacing w:after="0" w:line="141" w:lineRule="exact"/>
        <w:rPr>
          <w:rFonts w:ascii="Arial" w:cs="Arial" w:eastAsia="Arial" w:hAnsi="Arial"/>
          <w:sz w:val="16"/>
          <w:szCs w:val="16"/>
          <w:color w:val="auto"/>
        </w:rPr>
      </w:pPr>
    </w:p>
    <w:p>
      <w:pPr>
        <w:jc w:val="both"/>
        <w:ind w:right="40" w:firstLine="1304"/>
        <w:spacing w:after="0" w:line="261" w:lineRule="auto"/>
        <w:tabs>
          <w:tab w:leader="none" w:pos="1561"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Optional Acceleration</w:t>
      </w:r>
      <w:r>
        <w:rPr>
          <w:rFonts w:ascii="Arial" w:cs="Arial" w:eastAsia="Arial" w:hAnsi="Arial"/>
          <w:sz w:val="18"/>
          <w:szCs w:val="18"/>
          <w:color w:val="auto"/>
        </w:rPr>
        <w:t>. If an Event of Default (other than an Event of Default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11(A)(xvi)</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11(A)(xvii)</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Company and not solely with respect to a Subsidiary of the Company) occurs and has not been waived by the Holder, then the Holder, by notice to the Company, may declare this Note (or any portion thereof) to become due and payable immediately for cash in an amount equal to the Event of Default Acceleration Amount.</w:t>
      </w:r>
    </w:p>
    <w:p>
      <w:pPr>
        <w:spacing w:after="0" w:line="183" w:lineRule="exact"/>
        <w:rPr>
          <w:rFonts w:ascii="Arial" w:cs="Arial" w:eastAsia="Arial" w:hAnsi="Arial"/>
          <w:sz w:val="18"/>
          <w:szCs w:val="18"/>
          <w:color w:val="auto"/>
        </w:rPr>
      </w:pPr>
    </w:p>
    <w:p>
      <w:pPr>
        <w:ind w:right="100" w:firstLine="656"/>
        <w:spacing w:after="0" w:line="259" w:lineRule="auto"/>
        <w:tabs>
          <w:tab w:leader="none" w:pos="933"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Notice of Events of Default</w:t>
      </w:r>
      <w:r>
        <w:rPr>
          <w:rFonts w:ascii="Arial" w:cs="Arial" w:eastAsia="Arial" w:hAnsi="Arial"/>
          <w:sz w:val="18"/>
          <w:szCs w:val="18"/>
          <w:color w:val="auto"/>
        </w:rPr>
        <w:t>. Promptly, but in no event later than two (2) Business Days after an Event of Default, the Company will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notice of such Event of Default to the Holder (an “</w:t>
      </w:r>
      <w:r>
        <w:rPr>
          <w:rFonts w:ascii="Arial" w:cs="Arial" w:eastAsia="Arial" w:hAnsi="Arial"/>
          <w:sz w:val="18"/>
          <w:szCs w:val="18"/>
          <w:b w:val="1"/>
          <w:bCs w:val="1"/>
          <w:color w:val="auto"/>
        </w:rPr>
        <w:t>Event of Default Notice</w:t>
      </w:r>
      <w:r>
        <w:rPr>
          <w:rFonts w:ascii="Arial" w:cs="Arial" w:eastAsia="Arial" w:hAnsi="Arial"/>
          <w:sz w:val="18"/>
          <w:szCs w:val="18"/>
          <w:color w:val="auto"/>
        </w:rPr>
        <w:t>”), which Event of Default Notice shall include (i) a reasonable description of the applicable Event of Default, (ii) the date on which the Event of Default occurred and (iii) the date on which the Default underlying such Event of Default initially occurred, if different than the date on which the Event of Default occurred.</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Section 12. R</w:t>
      </w:r>
      <w:r>
        <w:rPr>
          <w:rFonts w:ascii="Arial" w:cs="Arial" w:eastAsia="Arial" w:hAnsi="Arial"/>
          <w:sz w:val="12"/>
          <w:szCs w:val="12"/>
          <w:b w:val="1"/>
          <w:bCs w:val="1"/>
          <w:color w:val="auto"/>
        </w:rPr>
        <w:t>ANKING</w:t>
      </w:r>
      <w:r>
        <w:rPr>
          <w:rFonts w:ascii="Arial" w:cs="Arial" w:eastAsia="Arial" w:hAnsi="Arial"/>
          <w:sz w:val="18"/>
          <w:szCs w:val="18"/>
          <w:b w:val="1"/>
          <w:bCs w:val="1"/>
          <w:color w:val="auto"/>
        </w:rPr>
        <w:t>.</w:t>
      </w:r>
    </w:p>
    <w:p>
      <w:pPr>
        <w:spacing w:after="0" w:line="22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All payments due under this Note shall rank (i) pari passu with all Other Notes, (ii) effectively senior to all unsecured indebtedness of the Company to the extent of the value of the Collateral securing the Notes for so long as the Collateral so secures the Notes in accordance with the terms hereof and (iii) senior to any Subordinated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R</w:t>
      </w:r>
      <w:r>
        <w:rPr>
          <w:rFonts w:ascii="Arial" w:cs="Arial" w:eastAsia="Arial" w:hAnsi="Arial"/>
          <w:sz w:val="12"/>
          <w:szCs w:val="12"/>
          <w:b w:val="1"/>
          <w:bCs w:val="1"/>
          <w:color w:val="auto"/>
        </w:rPr>
        <w:t>EPLACEMENT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Holder of this Note claims that this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to provide such security or an indemnity that is reasonably satisfactory to the Company to protect the Company from any loss that it may suffer if this Note is replaced.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N</w:t>
      </w:r>
      <w:r>
        <w:rPr>
          <w:rFonts w:ascii="Arial" w:cs="Arial" w:eastAsia="Arial" w:hAnsi="Arial"/>
          <w:sz w:val="12"/>
          <w:szCs w:val="12"/>
          <w:b w:val="1"/>
          <w:bCs w:val="1"/>
          <w:color w:val="auto"/>
        </w:rPr>
        <w:t>OTICES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Any notice or communication to the Company will be deemed to have been duly given if in writing and delivered in person or by first class mail (registered or certified, return receipt requested), electronic transmission (including e-mail) or other similar means of unsecured electronic communication or overnight air courier guaranteeing next day delivery, or to the other’s address, which initially is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76 Treble Cove Rd., Building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Billerica, MA 01862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Joshua Savitz, Esq., Associate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address: josh.savitz@agrify.com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Burns &amp; Levinson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 Summer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617-345-3684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Frank A. Segall,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FSegall@burnslev.com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by notice to the Holder, may designate additional or different addresses for subsequent notices or communications.</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Any notice or communication to the Holder will be by email to its email address, which initially are as set forth in the Securities Purchase Agreement. The Holder, by notice to the Company, may designate additional or different addresses for subsequent notices or communications.</w:t>
      </w:r>
    </w:p>
    <w:p>
      <w:pPr>
        <w:spacing w:after="0" w:line="12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will be deemed to have been duly given, whether or not the addressee receives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S</w:t>
      </w:r>
      <w:r>
        <w:rPr>
          <w:rFonts w:ascii="Arial" w:cs="Arial" w:eastAsia="Arial" w:hAnsi="Arial"/>
          <w:sz w:val="12"/>
          <w:szCs w:val="12"/>
          <w:b w:val="1"/>
          <w:bCs w:val="1"/>
          <w:color w:val="auto"/>
        </w:rPr>
        <w:t>UCCESSORS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SSIGNS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agreements of the Company in this Note will bind its successors and will inure to the benefit of the Holder's successors and assigns.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S</w:t>
      </w:r>
      <w:r>
        <w:rPr>
          <w:rFonts w:ascii="Arial" w:cs="Arial" w:eastAsia="Arial" w:hAnsi="Arial"/>
          <w:sz w:val="12"/>
          <w:szCs w:val="12"/>
          <w:b w:val="1"/>
          <w:bCs w:val="1"/>
          <w:color w:val="auto"/>
        </w:rPr>
        <w:t>EVERABILITY</w:t>
      </w:r>
      <w:r>
        <w:rPr>
          <w:rFonts w:ascii="Arial" w:cs="Arial" w:eastAsia="Arial" w:hAnsi="Arial"/>
          <w:sz w:val="18"/>
          <w:szCs w:val="18"/>
          <w:b w:val="1"/>
          <w:bCs w:val="1"/>
          <w:color w:val="auto"/>
        </w:rPr>
        <w:t>.</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provision of this Note is invalid, illegal or unenforceable, then the validity, legality and enforceability of the remaining provisions of this Note will not in any way be affected or impaired thereby.</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Section 17. H</w:t>
      </w:r>
      <w:r>
        <w:rPr>
          <w:rFonts w:ascii="Arial" w:cs="Arial" w:eastAsia="Arial" w:hAnsi="Arial"/>
          <w:sz w:val="12"/>
          <w:szCs w:val="12"/>
          <w:b w:val="1"/>
          <w:bCs w:val="1"/>
          <w:color w:val="auto"/>
        </w:rPr>
        <w:t>EADINGS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headings of the Sections of this Note have been inserted for convenience of reference only, are not to be considered a part of this Note and will in no way modify or restrict any of the terms or provisions of this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A</w:t>
      </w:r>
      <w:r>
        <w:rPr>
          <w:rFonts w:ascii="Arial" w:cs="Arial" w:eastAsia="Arial" w:hAnsi="Arial"/>
          <w:sz w:val="12"/>
          <w:szCs w:val="12"/>
          <w:b w:val="1"/>
          <w:bCs w:val="1"/>
          <w:color w:val="auto"/>
        </w:rPr>
        <w:t>MENDMENTS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This Note may not be amended or modified unless in writing by the Company and the Required Holders (as defined in the Securities Purchase Agreement), and no condition herein (express or implied) may be waived unless waived in writing by each party whom the condition is meant to benefit.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RIAL</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All questions concerning the construction, validity, enforcement and interpretation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Note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UNDER ANY OTHER TRANSACTION DOCUMENT OR IN CONNECTION WITH OR ARISING OUT OF THIS NOTE OR ANY OTHER TRANSACTION DOCUMENT OR ANY TRANSACTION CONTEMPLATED HEREBY OR THEREBY.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S</w:t>
      </w:r>
      <w:r>
        <w:rPr>
          <w:rFonts w:ascii="Arial" w:cs="Arial" w:eastAsia="Arial" w:hAnsi="Arial"/>
          <w:sz w:val="12"/>
          <w:szCs w:val="12"/>
          <w:b w:val="1"/>
          <w:bCs w:val="1"/>
          <w:color w:val="auto"/>
        </w:rPr>
        <w:t>UBMISSION TO</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URISDICTION</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and each Holder (A) agree that any suit, action or proceeding against it arising out of or relating to this Note shall be instituted in the Court of Chancery of the State of Delaware; (B) waive,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 to the nonexclusive jurisdiction of such court in any such suit, action or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E</w:t>
      </w:r>
      <w:r>
        <w:rPr>
          <w:rFonts w:ascii="Arial" w:cs="Arial" w:eastAsia="Arial" w:hAnsi="Arial"/>
          <w:sz w:val="12"/>
          <w:szCs w:val="12"/>
          <w:b w:val="1"/>
          <w:bCs w:val="1"/>
          <w:color w:val="auto"/>
        </w:rPr>
        <w:t>NFORCEMENT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EES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agrees to pay all costs and expenses of the Holder incurred as a result of enforcement of this Note and the collection of any amounts owed to the Holder hereunder (whether in cash, Common Stock or otherwise), including, without limitation, reasonable attorneys’ fees and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E</w:t>
      </w:r>
      <w:r>
        <w:rPr>
          <w:rFonts w:ascii="Arial" w:cs="Arial" w:eastAsia="Arial" w:hAnsi="Arial"/>
          <w:sz w:val="12"/>
          <w:szCs w:val="12"/>
          <w:b w:val="1"/>
          <w:bCs w:val="1"/>
          <w:color w:val="auto"/>
        </w:rPr>
        <w:t>LECTRONIC</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words “execution,” “signed,” “signature,” and words of similar import in the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March 14, 2022, is by and among Agrify Corporation, a Nevada corporation with offices located at 76 Treble Cove Road, Building 3, Billerica, MA 01862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investors listed on the Schedule of Buyers attached hereto (individually, a “</w:t>
      </w:r>
      <w:r>
        <w:rPr>
          <w:rFonts w:ascii="Arial" w:cs="Arial" w:eastAsia="Arial" w:hAnsi="Arial"/>
          <w:sz w:val="18"/>
          <w:szCs w:val="18"/>
          <w:b w:val="1"/>
          <w:bCs w:val="1"/>
          <w:color w:val="auto"/>
        </w:rPr>
        <w:t>Buyer</w:t>
      </w:r>
      <w:r>
        <w:rPr>
          <w:rFonts w:ascii="Arial" w:cs="Arial" w:eastAsia="Arial" w:hAnsi="Arial"/>
          <w:sz w:val="18"/>
          <w:szCs w:val="18"/>
          <w:color w:val="auto"/>
        </w:rPr>
        <w:t>” and collectively,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 The Company and each Buyer is executing and delivering this Agreement in reliance upon the exemption from securities registration afforded by Section 4(a)(2) of the Securities Act of 1933, as amended (the “</w:t>
      </w:r>
      <w:r>
        <w:rPr>
          <w:rFonts w:ascii="Arial" w:cs="Arial" w:eastAsia="Arial" w:hAnsi="Arial"/>
          <w:sz w:val="18"/>
          <w:szCs w:val="18"/>
          <w:b w:val="1"/>
          <w:bCs w:val="1"/>
          <w:color w:val="auto"/>
        </w:rPr>
        <w:t>1933 Act</w:t>
      </w:r>
      <w:r>
        <w:rPr>
          <w:rFonts w:ascii="Arial" w:cs="Arial" w:eastAsia="Arial" w:hAnsi="Arial"/>
          <w:sz w:val="18"/>
          <w:szCs w:val="18"/>
          <w:color w:val="auto"/>
        </w:rPr>
        <w:t>”), and Rule 506(b) of Regulation D (“</w:t>
      </w:r>
      <w:r>
        <w:rPr>
          <w:rFonts w:ascii="Arial" w:cs="Arial" w:eastAsia="Arial" w:hAnsi="Arial"/>
          <w:sz w:val="18"/>
          <w:szCs w:val="18"/>
          <w:b w:val="1"/>
          <w:bCs w:val="1"/>
          <w:color w:val="auto"/>
        </w:rPr>
        <w:t>Regulation D</w:t>
      </w:r>
      <w:r>
        <w:rPr>
          <w:rFonts w:ascii="Arial" w:cs="Arial" w:eastAsia="Arial" w:hAnsi="Arial"/>
          <w:sz w:val="18"/>
          <w:szCs w:val="18"/>
          <w:color w:val="auto"/>
        </w:rPr>
        <w:t>”) as promulgated by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1933 Act.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The Company has authorized a new series of Senior Secured Notes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 The Company has also authorized the issuance of the Warrants (as defined below) to purchase the Company’s common stock, par value $0.001 per share (together with any capital stock into which such common stock shall have been changed or any share capital resulting from a reclassification of such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(such underlying shares of Common Stock issuable upon exercise of the Warrants, collectively, the “</w:t>
      </w:r>
      <w:r>
        <w:rPr>
          <w:rFonts w:ascii="Arial" w:cs="Arial" w:eastAsia="Arial" w:hAnsi="Arial"/>
          <w:sz w:val="18"/>
          <w:szCs w:val="18"/>
          <w:b w:val="1"/>
          <w:bCs w:val="1"/>
          <w:color w:val="auto"/>
        </w:rPr>
        <w:t>Warrant Shares</w:t>
      </w:r>
      <w:r>
        <w:rPr>
          <w:rFonts w:ascii="Arial" w:cs="Arial" w:eastAsia="Arial" w:hAnsi="Arial"/>
          <w:sz w:val="18"/>
          <w:szCs w:val="18"/>
          <w:color w:val="auto"/>
        </w:rPr>
        <w:t>” or the “</w:t>
      </w:r>
      <w:r>
        <w:rPr>
          <w:rFonts w:ascii="Arial" w:cs="Arial" w:eastAsia="Arial" w:hAnsi="Arial"/>
          <w:sz w:val="18"/>
          <w:szCs w:val="18"/>
          <w:b w:val="1"/>
          <w:bCs w:val="1"/>
          <w:color w:val="auto"/>
        </w:rPr>
        <w:t>Underlying Shares</w:t>
      </w:r>
      <w:r>
        <w:rPr>
          <w:rFonts w:ascii="Arial" w:cs="Arial" w:eastAsia="Arial" w:hAnsi="Arial"/>
          <w:sz w:val="18"/>
          <w:szCs w:val="18"/>
          <w:color w:val="auto"/>
        </w:rPr>
        <w:t>”).</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D. Each Buyer wishes to purchase, and the Company wishes to sell, upon the terms and conditions stated in this Agreement, the aggregate principal amount of Notes set forth opposite such Buyer’s name in columns (3) and (5) on the Schedule of Buyers.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 Each Buyer wishes to purchase, and the Company wishes to sell, the Warrants, upon the terms and conditions stated in this Agreement.</w:t>
      </w:r>
    </w:p>
    <w:p>
      <w:pPr>
        <w:spacing w:after="0" w:line="237"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 xml:space="preserve">F. At the Initial Closing (as defined below), the parties hereto shall execute and deliver the Security Agreements, in the form attached hereto as </w:t>
      </w:r>
      <w:r>
        <w:rPr>
          <w:rFonts w:ascii="Arial" w:cs="Arial" w:eastAsia="Arial" w:hAnsi="Arial"/>
          <w:sz w:val="17"/>
          <w:szCs w:val="17"/>
          <w:b w:val="1"/>
          <w:bCs w:val="1"/>
          <w:u w:val="single" w:color="auto"/>
          <w:color w:val="auto"/>
        </w:rPr>
        <w:t>Exhibit C</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Security Agreements</w:t>
      </w:r>
      <w:r>
        <w:rPr>
          <w:rFonts w:ascii="Arial" w:cs="Arial" w:eastAsia="Arial" w:hAnsi="Arial"/>
          <w:sz w:val="17"/>
          <w:szCs w:val="17"/>
          <w:color w:val="auto"/>
        </w:rPr>
        <w:t>”), pursuant to which the Company has agreed to grant a first priority security interest to the Collateral Agent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Security Agreements), as collateral agent for the holders of the Notes in all assets of the Company.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 The Notes, Warrants, and Warrant Shares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25" w:lineRule="exact"/>
        <w:rPr>
          <w:sz w:val="20"/>
          <w:szCs w:val="20"/>
          <w:color w:val="auto"/>
        </w:rPr>
      </w:pPr>
    </w:p>
    <w:p>
      <w:pPr>
        <w:jc w:val="both"/>
        <w:ind w:right="440" w:firstLine="648"/>
        <w:spacing w:after="0" w:line="266" w:lineRule="auto"/>
        <w:rPr>
          <w:sz w:val="20"/>
          <w:szCs w:val="20"/>
          <w:color w:val="auto"/>
        </w:rPr>
      </w:pPr>
      <w:r>
        <w:rPr>
          <w:rFonts w:ascii="Arial" w:cs="Arial" w:eastAsia="Arial" w:hAnsi="Arial"/>
          <w:sz w:val="18"/>
          <w:szCs w:val="18"/>
          <w:color w:val="auto"/>
        </w:rPr>
        <w:t xml:space="preserve">H. At or before the Initial Closing, each of the parties set forth on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shall execute and deliver a Stockholder Agreement, in the form attached hereto as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color w:val="auto"/>
        </w:rPr>
        <w:t>Stockholder Agreement</w:t>
      </w:r>
      <w:r>
        <w:rPr>
          <w:rFonts w:ascii="Arial" w:cs="Arial" w:eastAsia="Arial" w:hAnsi="Arial"/>
          <w:sz w:val="18"/>
          <w:szCs w:val="18"/>
          <w:color w:val="auto"/>
        </w:rPr>
        <w:t>”), pursuant to which such parties shall agree to certain restrictions on the transfer of their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NOW, THEREFORE, in consideration of the premises and the mutual covenants and agreements contained herein and for other good and valuable consideration, the receipt and sufficiency of which are hereby acknowledged, the Company and each Buyer hereby agree as follows:</w:t>
      </w:r>
    </w:p>
    <w:p>
      <w:pPr>
        <w:spacing w:after="0" w:line="142"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PURCHASED SECURITIES.</w:t>
      </w:r>
    </w:p>
    <w:p>
      <w:pPr>
        <w:spacing w:after="0" w:line="229" w:lineRule="exact"/>
        <w:rPr>
          <w:rFonts w:ascii="Arial" w:cs="Arial" w:eastAsia="Arial" w:hAnsi="Arial"/>
          <w:sz w:val="18"/>
          <w:szCs w:val="18"/>
          <w:b w:val="1"/>
          <w:bCs w:val="1"/>
          <w:color w:val="auto"/>
        </w:rPr>
      </w:pPr>
    </w:p>
    <w:p>
      <w:pPr>
        <w:ind w:left="900" w:hanging="244"/>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Purchase of Purchased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644"/>
        <w:spacing w:after="0" w:line="279" w:lineRule="auto"/>
        <w:tabs>
          <w:tab w:leader="none" w:pos="1523" w:val="left"/>
        </w:tabs>
        <w:numPr>
          <w:ilvl w:val="2"/>
          <w:numId w:val="53"/>
        </w:numPr>
        <w:rPr>
          <w:rFonts w:ascii="Arial" w:cs="Arial" w:eastAsia="Arial" w:hAnsi="Arial"/>
          <w:sz w:val="17"/>
          <w:szCs w:val="17"/>
          <w:color w:val="auto"/>
        </w:rPr>
      </w:pPr>
      <w:r>
        <w:rPr>
          <w:rFonts w:ascii="Arial" w:cs="Arial" w:eastAsia="Arial" w:hAnsi="Arial"/>
          <w:sz w:val="17"/>
          <w:szCs w:val="17"/>
          <w:u w:val="single" w:color="auto"/>
          <w:color w:val="auto"/>
        </w:rPr>
        <w:t>Purchase of Initial Purchased Securities</w:t>
      </w:r>
      <w:r>
        <w:rPr>
          <w:rFonts w:ascii="Arial" w:cs="Arial" w:eastAsia="Arial" w:hAnsi="Arial"/>
          <w:sz w:val="17"/>
          <w:szCs w:val="17"/>
          <w:color w:val="auto"/>
        </w:rPr>
        <w:t>. Subject to the satisfaction (or waiver) of the conditions set forth in Sections 6 and 7(a), as applicable, the Company shall, in reliance upon the exemptions from securities registration afforded by Section 4(a)(2) of the 1933 Act and Rule 506(b) of Regulation D, issue and sell to each Buyer, and each Buyer severally, but not jointly, agrees to purchase from the Company on the Initial Closing Date (as defined below) the following Securities (collectively, the “</w:t>
      </w:r>
      <w:r>
        <w:rPr>
          <w:rFonts w:ascii="Arial" w:cs="Arial" w:eastAsia="Arial" w:hAnsi="Arial"/>
          <w:sz w:val="17"/>
          <w:szCs w:val="17"/>
          <w:b w:val="1"/>
          <w:bCs w:val="1"/>
          <w:color w:val="auto"/>
        </w:rPr>
        <w:t>Initial Purchased Securities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660" w:right="40" w:firstLine="1292"/>
        <w:spacing w:after="0" w:line="277" w:lineRule="auto"/>
        <w:tabs>
          <w:tab w:leader="none" w:pos="2251" w:val="left"/>
        </w:tabs>
        <w:numPr>
          <w:ilvl w:val="3"/>
          <w:numId w:val="53"/>
        </w:numPr>
        <w:rPr>
          <w:rFonts w:ascii="Arial" w:cs="Arial" w:eastAsia="Arial" w:hAnsi="Arial"/>
          <w:sz w:val="18"/>
          <w:szCs w:val="18"/>
          <w:color w:val="auto"/>
        </w:rPr>
      </w:pPr>
      <w:r>
        <w:rPr>
          <w:rFonts w:ascii="Arial" w:cs="Arial" w:eastAsia="Arial" w:hAnsi="Arial"/>
          <w:sz w:val="18"/>
          <w:szCs w:val="18"/>
          <w:color w:val="auto"/>
        </w:rPr>
        <w:t>the aggregate principal amount of Notes as is set forth opposite such Buyer’s name in column (3) on the Schedule of Buyers (an “</w:t>
      </w:r>
      <w:r>
        <w:rPr>
          <w:rFonts w:ascii="Arial" w:cs="Arial" w:eastAsia="Arial" w:hAnsi="Arial"/>
          <w:sz w:val="18"/>
          <w:szCs w:val="18"/>
          <w:b w:val="1"/>
          <w:bCs w:val="1"/>
          <w:color w:val="auto"/>
        </w:rPr>
        <w:t>Initial Purchased Note</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240" w:hanging="288"/>
        <w:spacing w:after="0"/>
        <w:tabs>
          <w:tab w:leader="none" w:pos="2240" w:val="left"/>
        </w:tabs>
        <w:numPr>
          <w:ilvl w:val="3"/>
          <w:numId w:val="53"/>
        </w:numPr>
        <w:rPr>
          <w:rFonts w:ascii="Arial" w:cs="Arial" w:eastAsia="Arial" w:hAnsi="Arial"/>
          <w:sz w:val="17"/>
          <w:szCs w:val="17"/>
          <w:color w:val="auto"/>
        </w:rPr>
      </w:pPr>
      <w:r>
        <w:rPr>
          <w:rFonts w:ascii="Arial" w:cs="Arial" w:eastAsia="Arial" w:hAnsi="Arial"/>
          <w:sz w:val="17"/>
          <w:szCs w:val="17"/>
          <w:color w:val="auto"/>
        </w:rPr>
        <w:t>a Warrant exercisable for a number of Warrant Shares equal to forty two million two hundred fifty thousand dollars</w:t>
      </w:r>
    </w:p>
    <w:p>
      <w:pPr>
        <w:spacing w:after="0" w:line="35" w:lineRule="exact"/>
        <w:rPr>
          <w:sz w:val="20"/>
          <w:szCs w:val="20"/>
          <w:color w:val="auto"/>
        </w:rPr>
      </w:pPr>
    </w:p>
    <w:p>
      <w:pPr>
        <w:ind w:left="660" w:right="380"/>
        <w:spacing w:after="0" w:line="323" w:lineRule="auto"/>
        <w:rPr>
          <w:sz w:val="20"/>
          <w:szCs w:val="20"/>
          <w:color w:val="auto"/>
        </w:rPr>
      </w:pPr>
      <w:r>
        <w:rPr>
          <w:rFonts w:ascii="Arial" w:cs="Arial" w:eastAsia="Arial" w:hAnsi="Arial"/>
          <w:sz w:val="16"/>
          <w:szCs w:val="16"/>
          <w:color w:val="auto"/>
        </w:rPr>
        <w:t>($42,250,000) divided by the Closing Sale Price (as defined in the Warrants) on the Trading Day (as defined in the Warrants) completed most recently prior to the execution of this Agreement, rounded up to the nearest whole number (an “</w:t>
      </w:r>
      <w:r>
        <w:rPr>
          <w:rFonts w:ascii="Arial" w:cs="Arial" w:eastAsia="Arial" w:hAnsi="Arial"/>
          <w:sz w:val="16"/>
          <w:szCs w:val="16"/>
          <w:b w:val="1"/>
          <w:bCs w:val="1"/>
          <w:color w:val="auto"/>
        </w:rPr>
        <w:t>Initial Purchased Warrant</w:t>
      </w:r>
      <w:r>
        <w:rPr>
          <w:rFonts w:ascii="Arial" w:cs="Arial" w:eastAsia="Arial" w:hAnsi="Arial"/>
          <w:sz w:val="16"/>
          <w:szCs w:val="16"/>
          <w:color w:val="auto"/>
        </w:rPr>
        <w:t>”).</w:t>
      </w:r>
    </w:p>
    <w:p>
      <w:pPr>
        <w:spacing w:after="0" w:line="134" w:lineRule="exact"/>
        <w:rPr>
          <w:sz w:val="20"/>
          <w:szCs w:val="20"/>
          <w:color w:val="auto"/>
        </w:rPr>
      </w:pPr>
    </w:p>
    <w:p>
      <w:pPr>
        <w:ind w:left="660" w:right="20" w:firstLine="644"/>
        <w:spacing w:after="0" w:line="253" w:lineRule="auto"/>
        <w:tabs>
          <w:tab w:leader="none" w:pos="157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Initial Closing</w:t>
      </w:r>
      <w:r>
        <w:rPr>
          <w:rFonts w:ascii="Arial" w:cs="Arial" w:eastAsia="Arial" w:hAnsi="Arial"/>
          <w:sz w:val="18"/>
          <w:szCs w:val="18"/>
          <w:color w:val="auto"/>
        </w:rPr>
        <w:t>. The closing (the “</w:t>
      </w:r>
      <w:r>
        <w:rPr>
          <w:rFonts w:ascii="Arial" w:cs="Arial" w:eastAsia="Arial" w:hAnsi="Arial"/>
          <w:sz w:val="18"/>
          <w:szCs w:val="18"/>
          <w:b w:val="1"/>
          <w:bCs w:val="1"/>
          <w:color w:val="auto"/>
        </w:rPr>
        <w:t>Initial Closing</w:t>
      </w:r>
      <w:r>
        <w:rPr>
          <w:rFonts w:ascii="Arial" w:cs="Arial" w:eastAsia="Arial" w:hAnsi="Arial"/>
          <w:sz w:val="18"/>
          <w:szCs w:val="18"/>
          <w:color w:val="auto"/>
        </w:rPr>
        <w:t>”) of the purchase of the Initial Purchased Securities by the Buyers shall occur by electronic transmission or other transmission as mutually acceptable to the parties. The date and time of the Initial Closing (the “</w:t>
      </w:r>
      <w:r>
        <w:rPr>
          <w:rFonts w:ascii="Arial" w:cs="Arial" w:eastAsia="Arial" w:hAnsi="Arial"/>
          <w:sz w:val="18"/>
          <w:szCs w:val="18"/>
          <w:b w:val="1"/>
          <w:bCs w:val="1"/>
          <w:color w:val="auto"/>
        </w:rPr>
        <w:t>Initial Closing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shall be 10:00 a.m., New York time, on the first (1st) Business Day on which the conditions to the Initial Closing set forth in Sections 6</w:t>
      </w:r>
      <w:r>
        <w:rPr>
          <w:rFonts w:ascii="Arial" w:cs="Arial" w:eastAsia="Arial" w:hAnsi="Arial"/>
          <w:sz w:val="18"/>
          <w:szCs w:val="18"/>
          <w:b w:val="1"/>
          <w:bCs w:val="1"/>
          <w:color w:val="auto"/>
        </w:rPr>
        <w:t xml:space="preserve"> </w:t>
      </w:r>
      <w:r>
        <w:rPr>
          <w:rFonts w:ascii="Arial" w:cs="Arial" w:eastAsia="Arial" w:hAnsi="Arial"/>
          <w:sz w:val="18"/>
          <w:szCs w:val="18"/>
          <w:color w:val="auto"/>
        </w:rPr>
        <w:t>and 7(a) are satisfied or waived (or such other date as is mutually agreed to by the Company and each Buyer). As used herein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any day on which commercial banks in The City of New York are authorized or required by law or executive order to close or be closed; provided, however,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5" w:name="page56"/>
    <w:bookmarkEnd w:id="55"/>
    <w:p>
      <w:pPr>
        <w:ind w:right="120" w:firstLine="644"/>
        <w:spacing w:after="0" w:line="263" w:lineRule="auto"/>
        <w:tabs>
          <w:tab w:leader="none" w:pos="96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Securities Purchase Price</w:t>
      </w:r>
      <w:r>
        <w:rPr>
          <w:rFonts w:ascii="Arial" w:cs="Arial" w:eastAsia="Arial" w:hAnsi="Arial"/>
          <w:sz w:val="18"/>
          <w:szCs w:val="18"/>
          <w:color w:val="auto"/>
        </w:rPr>
        <w:t>. The aggregate purchase price for the Initial Purchased Securities to be purchased by each Buyer at the Initial Closing (the “</w:t>
      </w:r>
      <w:r>
        <w:rPr>
          <w:rFonts w:ascii="Arial" w:cs="Arial" w:eastAsia="Arial" w:hAnsi="Arial"/>
          <w:sz w:val="18"/>
          <w:szCs w:val="18"/>
          <w:b w:val="1"/>
          <w:bCs w:val="1"/>
          <w:color w:val="auto"/>
        </w:rPr>
        <w:t>Initial Securities Purchase Price</w:t>
      </w:r>
      <w:r>
        <w:rPr>
          <w:rFonts w:ascii="Arial" w:cs="Arial" w:eastAsia="Arial" w:hAnsi="Arial"/>
          <w:sz w:val="18"/>
          <w:szCs w:val="18"/>
          <w:color w:val="auto"/>
        </w:rPr>
        <w:t>”) shall be the amount set forth opposite such Buyer’s name in column (3) on the Schedule of Buyers.</w:t>
      </w:r>
    </w:p>
    <w:p>
      <w:pPr>
        <w:spacing w:after="0" w:line="183" w:lineRule="exact"/>
        <w:rPr>
          <w:rFonts w:ascii="Arial" w:cs="Arial" w:eastAsia="Arial" w:hAnsi="Arial"/>
          <w:sz w:val="18"/>
          <w:szCs w:val="18"/>
          <w:color w:val="auto"/>
        </w:rPr>
      </w:pPr>
    </w:p>
    <w:p>
      <w:pPr>
        <w:jc w:val="both"/>
        <w:ind w:right="120" w:firstLine="644"/>
        <w:spacing w:after="0" w:line="279" w:lineRule="auto"/>
        <w:tabs>
          <w:tab w:leader="none" w:pos="95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Form of Payment for Initial Purchased Securities</w:t>
      </w:r>
      <w:r>
        <w:rPr>
          <w:rFonts w:ascii="Arial" w:cs="Arial" w:eastAsia="Arial" w:hAnsi="Arial"/>
          <w:sz w:val="17"/>
          <w:szCs w:val="17"/>
          <w:color w:val="auto"/>
        </w:rPr>
        <w:t>. On the Initial Closing Date, (i) each Buyer shall pay its respective purchase price to the Company for the Initial Purchased Securities to be issued and sold to such Buyer at the Initial Closing Date set forth opposite such Buyer’s name in columns (3) on the Schedule of Buyers, by wire transfer of immediately available funds in accordance with a Flow of Funds Letter (as defined below) with respect to the Initial Purchased Securities and (ii) the Company shall:</w:t>
      </w:r>
    </w:p>
    <w:p>
      <w:pPr>
        <w:spacing w:after="0" w:line="171" w:lineRule="exact"/>
        <w:rPr>
          <w:rFonts w:ascii="Arial" w:cs="Arial" w:eastAsia="Arial" w:hAnsi="Arial"/>
          <w:sz w:val="17"/>
          <w:szCs w:val="17"/>
          <w:color w:val="auto"/>
        </w:rPr>
      </w:pPr>
    </w:p>
    <w:p>
      <w:pPr>
        <w:ind w:right="120" w:firstLine="1292"/>
        <w:spacing w:after="0" w:line="263" w:lineRule="auto"/>
        <w:tabs>
          <w:tab w:leader="none" w:pos="15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deliver to each Buyer the aggregate principal amount of Initial Purchased Notes as is set forth opposite such Buyer’s name in column (3) of the Schedule of Buyers, duly executed on behalf of the Company and registered on the books and records of the Company in the name of such Buyer or its designee; and</w:t>
      </w:r>
    </w:p>
    <w:p>
      <w:pPr>
        <w:spacing w:after="0" w:line="183" w:lineRule="exact"/>
        <w:rPr>
          <w:rFonts w:ascii="Arial" w:cs="Arial" w:eastAsia="Arial" w:hAnsi="Arial"/>
          <w:sz w:val="18"/>
          <w:szCs w:val="18"/>
          <w:color w:val="auto"/>
        </w:rPr>
      </w:pPr>
    </w:p>
    <w:p>
      <w:pPr>
        <w:ind w:right="40" w:firstLine="1292"/>
        <w:spacing w:after="0" w:line="263" w:lineRule="auto"/>
        <w:tabs>
          <w:tab w:leader="none" w:pos="158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deliver to each Buyer an Initial Purchased Warrant, exercisable for the aggregate number of Warrant Shares described in Section 1(a)(i)(B), duly executed on behalf of the Company and registered on the books and records of the Company in the name of such Buyer or its designee.</w:t>
      </w:r>
    </w:p>
    <w:p>
      <w:pPr>
        <w:spacing w:after="0" w:line="183" w:lineRule="exact"/>
        <w:rPr>
          <w:rFonts w:ascii="Arial" w:cs="Arial" w:eastAsia="Arial" w:hAnsi="Arial"/>
          <w:sz w:val="18"/>
          <w:szCs w:val="18"/>
          <w:color w:val="auto"/>
        </w:rPr>
      </w:pPr>
    </w:p>
    <w:p>
      <w:pPr>
        <w:ind w:firstLine="644"/>
        <w:spacing w:after="0" w:line="301" w:lineRule="auto"/>
        <w:tabs>
          <w:tab w:leader="none" w:pos="90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Purchase of First Subsequently Purchased Securities</w:t>
      </w:r>
      <w:r>
        <w:rPr>
          <w:rFonts w:ascii="Arial" w:cs="Arial" w:eastAsia="Arial" w:hAnsi="Arial"/>
          <w:sz w:val="16"/>
          <w:szCs w:val="16"/>
          <w:color w:val="auto"/>
        </w:rPr>
        <w:t>. Subject to the satisfaction (or waiver) of the conditions set forth in Sections 6 and 7(b), as applicable, the Company shall, in reliance upon the exemptions from securities registration afforded by Section 4(a)(2) of the 1933 Act and Rule 506(b) of Regulation D, issue and sell to each Buyer, and each Buyer severally, but not jointly, agrees to purchase from the Company on the First Subsequent Closing Date (as defined below) the following Securities (collectively, the “</w:t>
      </w:r>
      <w:r>
        <w:rPr>
          <w:rFonts w:ascii="Arial" w:cs="Arial" w:eastAsia="Arial" w:hAnsi="Arial"/>
          <w:sz w:val="16"/>
          <w:szCs w:val="16"/>
          <w:b w:val="1"/>
          <w:bCs w:val="1"/>
          <w:color w:val="auto"/>
        </w:rPr>
        <w:t>First Subsequently Purchased Securities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right="60" w:firstLine="1292"/>
        <w:spacing w:after="0" w:line="263" w:lineRule="auto"/>
        <w:tabs>
          <w:tab w:leader="none" w:pos="15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aggregate principal amount of Notes as is set forth opposite such Buyer’s name in column (5) on the Schedule of Buyers (reduced, proportionately, if applicable, to the extent that the Buyers approved the First Subsequent Closing (as defined below) in part pursuant to Section 1(a)(vi)(B) hereof) (the “</w:t>
      </w:r>
      <w:r>
        <w:rPr>
          <w:rFonts w:ascii="Arial" w:cs="Arial" w:eastAsia="Arial" w:hAnsi="Arial"/>
          <w:sz w:val="18"/>
          <w:szCs w:val="18"/>
          <w:b w:val="1"/>
          <w:bCs w:val="1"/>
          <w:color w:val="auto"/>
        </w:rPr>
        <w:t>First Subsequently Purchased Notes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1580" w:hanging="288"/>
        <w:spacing w:after="0"/>
        <w:tabs>
          <w:tab w:leader="none" w:pos="15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 Warrant exercisable for a number of Warrant Shares equal to twenty two million seven hundred fifty thousand dollars</w:t>
      </w:r>
    </w:p>
    <w:p>
      <w:pPr>
        <w:spacing w:after="0" w:line="3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($22,750,000) (reduced, proportionately, if applicable, to the extent that the Buyers approved the First Subsequent Closing in part pursuant to Section 1(a)(vi)(B) hereof) divided by the Closing Sale Price on the Trading Day completed immediately prior to the First Subsequent Closing Determination Date (as defined below), rounded up to the nearest whole number (the “</w:t>
      </w:r>
      <w:r>
        <w:rPr>
          <w:rFonts w:ascii="Arial" w:cs="Arial" w:eastAsia="Arial" w:hAnsi="Arial"/>
          <w:sz w:val="16"/>
          <w:szCs w:val="16"/>
          <w:b w:val="1"/>
          <w:bCs w:val="1"/>
          <w:color w:val="auto"/>
        </w:rPr>
        <w:t>First Subsequently Purchased Warrant</w:t>
      </w:r>
      <w:r>
        <w:rPr>
          <w:rFonts w:ascii="Arial" w:cs="Arial" w:eastAsia="Arial" w:hAnsi="Arial"/>
          <w:sz w:val="16"/>
          <w:szCs w:val="16"/>
          <w:color w:val="auto"/>
        </w:rPr>
        <w:t>”).</w:t>
      </w:r>
    </w:p>
    <w:p>
      <w:pPr>
        <w:spacing w:after="0" w:line="36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6" w:name="page57"/>
    <w:bookmarkEnd w:id="56"/>
    <w:p>
      <w:pPr>
        <w:ind w:right="420" w:firstLine="644"/>
        <w:spacing w:after="0" w:line="277" w:lineRule="auto"/>
        <w:tabs>
          <w:tab w:leader="none" w:pos="95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First Subsequent Closing</w:t>
      </w:r>
      <w:r>
        <w:rPr>
          <w:rFonts w:ascii="Arial" w:cs="Arial" w:eastAsia="Arial" w:hAnsi="Arial"/>
          <w:sz w:val="18"/>
          <w:szCs w:val="18"/>
          <w:color w:val="auto"/>
        </w:rPr>
        <w:t>. Provided that the following conditions are satisfied or otherwise waived by the Buyers (the date such satisfaction or waiver occurs referred to herein as the “</w:t>
      </w:r>
      <w:r>
        <w:rPr>
          <w:rFonts w:ascii="Arial" w:cs="Arial" w:eastAsia="Arial" w:hAnsi="Arial"/>
          <w:sz w:val="18"/>
          <w:szCs w:val="18"/>
          <w:b w:val="1"/>
          <w:bCs w:val="1"/>
          <w:color w:val="auto"/>
        </w:rPr>
        <w:t>First Subsequent Closing Determination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80" w:firstLine="1292"/>
        <w:spacing w:after="0" w:line="311" w:lineRule="auto"/>
        <w:tabs>
          <w:tab w:leader="none" w:pos="1591"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Company has entered into agreements with counterparties determined by the Company in good faith and in accordance with past practices to be creditworthy, pursuant to which the Company and such counterparties have made irrevocable commitments to deploy the net proceeds from the Initial Closing in bona fide TTK Contracts (as defined below) and the Company has made public disclosure thereof;</w:t>
      </w:r>
    </w:p>
    <w:p>
      <w:pPr>
        <w:spacing w:after="0" w:line="148" w:lineRule="exact"/>
        <w:rPr>
          <w:rFonts w:ascii="Arial" w:cs="Arial" w:eastAsia="Arial" w:hAnsi="Arial"/>
          <w:sz w:val="16"/>
          <w:szCs w:val="16"/>
          <w:color w:val="auto"/>
        </w:rPr>
      </w:pPr>
    </w:p>
    <w:p>
      <w:pPr>
        <w:ind w:left="1580" w:hanging="288"/>
        <w:spacing w:after="0"/>
        <w:tabs>
          <w:tab w:leader="none" w:pos="15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Buyers have provided written consent approving the First Subsequent Closing in whole or in part in their sole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discretion; and</w:t>
      </w:r>
    </w:p>
    <w:p>
      <w:pPr>
        <w:spacing w:after="0" w:line="210" w:lineRule="exact"/>
        <w:rPr>
          <w:rFonts w:ascii="Arial" w:cs="Arial" w:eastAsia="Arial" w:hAnsi="Arial"/>
          <w:sz w:val="17"/>
          <w:szCs w:val="17"/>
          <w:color w:val="auto"/>
        </w:rPr>
      </w:pPr>
    </w:p>
    <w:p>
      <w:pPr>
        <w:ind w:right="100" w:firstLine="1292"/>
        <w:spacing w:after="0" w:line="285" w:lineRule="auto"/>
        <w:tabs>
          <w:tab w:leader="none" w:pos="1581"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Resale Registration Statement (as defined below) for the Underlying Shares issued or issuable pursuant to the Initial Purchased Securities shall be effective, the closing (the “</w:t>
      </w:r>
      <w:r>
        <w:rPr>
          <w:rFonts w:ascii="Arial" w:cs="Arial" w:eastAsia="Arial" w:hAnsi="Arial"/>
          <w:sz w:val="16"/>
          <w:szCs w:val="16"/>
          <w:b w:val="1"/>
          <w:bCs w:val="1"/>
          <w:color w:val="auto"/>
        </w:rPr>
        <w:t>First Subsequent Closing</w:t>
      </w:r>
      <w:r>
        <w:rPr>
          <w:rFonts w:ascii="Arial" w:cs="Arial" w:eastAsia="Arial" w:hAnsi="Arial"/>
          <w:sz w:val="16"/>
          <w:szCs w:val="16"/>
          <w:color w:val="auto"/>
        </w:rPr>
        <w:t>”) of the purchase of the First Subsequently Purchased Securities by the Buyers shall occur by electronic transmission or other transmission as mutually acceptable at 10:00 a.m., New York time, on the first (1st) Business Day on which the conditions to the Closing set forth in Sections 6 and 7(b) are satisfied or waived (or such other date as is mutually agreed to by the Company and each Buyer) (the “</w:t>
      </w:r>
      <w:r>
        <w:rPr>
          <w:rFonts w:ascii="Arial" w:cs="Arial" w:eastAsia="Arial" w:hAnsi="Arial"/>
          <w:sz w:val="16"/>
          <w:szCs w:val="16"/>
          <w:b w:val="1"/>
          <w:bCs w:val="1"/>
          <w:color w:val="auto"/>
        </w:rPr>
        <w:t>First Subsequent Closing Date</w:t>
      </w:r>
      <w:r>
        <w:rPr>
          <w:rFonts w:ascii="Arial" w:cs="Arial" w:eastAsia="Arial" w:hAnsi="Arial"/>
          <w:sz w:val="16"/>
          <w:szCs w:val="16"/>
          <w:color w:val="auto"/>
        </w:rPr>
        <w:t>”), provided that, in any event, the First Subsequent</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color w:val="auto"/>
        </w:rPr>
        <w:t>Closing Date shall occur no later than the third (3</w:t>
      </w:r>
      <w:r>
        <w:rPr>
          <w:rFonts w:ascii="Arial" w:cs="Arial" w:eastAsia="Arial" w:hAnsi="Arial"/>
          <w:sz w:val="28"/>
          <w:szCs w:val="28"/>
          <w:color w:val="auto"/>
          <w:vertAlign w:val="superscript"/>
        </w:rPr>
        <w:t>rd</w:t>
      </w:r>
      <w:r>
        <w:rPr>
          <w:rFonts w:ascii="Arial" w:cs="Arial" w:eastAsia="Arial" w:hAnsi="Arial"/>
          <w:sz w:val="17"/>
          <w:szCs w:val="17"/>
          <w:color w:val="auto"/>
        </w:rPr>
        <w:t>) day following the First Subsequent Closing Determination Date. As used herein, a “</w:t>
      </w:r>
      <w:r>
        <w:rPr>
          <w:rFonts w:ascii="Arial" w:cs="Arial" w:eastAsia="Arial" w:hAnsi="Arial"/>
          <w:sz w:val="17"/>
          <w:szCs w:val="17"/>
          <w:b w:val="1"/>
          <w:bCs w:val="1"/>
          <w:color w:val="auto"/>
        </w:rPr>
        <w:t>TTK</w:t>
      </w:r>
      <w:r>
        <w:rPr>
          <w:rFonts w:ascii="Arial" w:cs="Arial" w:eastAsia="Arial" w:hAnsi="Arial"/>
          <w:sz w:val="17"/>
          <w:szCs w:val="17"/>
          <w:color w:val="auto"/>
        </w:rPr>
        <w:t xml:space="preserve"> </w:t>
      </w:r>
      <w:r>
        <w:rPr>
          <w:rFonts w:ascii="Arial" w:cs="Arial" w:eastAsia="Arial" w:hAnsi="Arial"/>
          <w:sz w:val="17"/>
          <w:szCs w:val="17"/>
          <w:b w:val="1"/>
          <w:bCs w:val="1"/>
          <w:color w:val="auto"/>
        </w:rPr>
        <w:t>Contract</w:t>
      </w:r>
      <w:r>
        <w:rPr>
          <w:rFonts w:ascii="Arial" w:cs="Arial" w:eastAsia="Arial" w:hAnsi="Arial"/>
          <w:sz w:val="17"/>
          <w:szCs w:val="17"/>
          <w:color w:val="auto"/>
        </w:rPr>
        <w:t>” shall mean a Total Turn-Key Solution contract entered into between the Company and customers thereof to implement a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between the Company and such customer designed to provide such customer with access to vertical farming units, extraction or processing equipment, construction and/or equipment funding, facility design and construction services, cultivation equipment and software, standard operating procedures, training, data and insights, and ongoing maintenance, support, and equipment upgrades, which TTK Contracts include, without limitation, financing, construction, vertical farming unit leasing, extraction or processing equipment leasing, software, brand and/or marketing consulting and production-based fee contracts.</w:t>
      </w:r>
    </w:p>
    <w:p>
      <w:pPr>
        <w:spacing w:after="0" w:line="197" w:lineRule="exact"/>
        <w:rPr>
          <w:sz w:val="20"/>
          <w:szCs w:val="20"/>
          <w:color w:val="auto"/>
        </w:rPr>
      </w:pPr>
    </w:p>
    <w:p>
      <w:pPr>
        <w:jc w:val="both"/>
        <w:ind w:right="40" w:firstLine="644"/>
        <w:spacing w:after="0" w:line="259" w:lineRule="auto"/>
        <w:tabs>
          <w:tab w:leader="none" w:pos="100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Securities Purchase Price</w:t>
      </w:r>
      <w:r>
        <w:rPr>
          <w:rFonts w:ascii="Arial" w:cs="Arial" w:eastAsia="Arial" w:hAnsi="Arial"/>
          <w:sz w:val="18"/>
          <w:szCs w:val="18"/>
          <w:color w:val="auto"/>
        </w:rPr>
        <w:t>. The aggregate purchase price for the First Subsequently Purchased Securities to be purchased by each Buyer at the First Subsequent Closing (the “</w:t>
      </w:r>
      <w:r>
        <w:rPr>
          <w:rFonts w:ascii="Arial" w:cs="Arial" w:eastAsia="Arial" w:hAnsi="Arial"/>
          <w:sz w:val="18"/>
          <w:szCs w:val="18"/>
          <w:b w:val="1"/>
          <w:bCs w:val="1"/>
          <w:color w:val="auto"/>
        </w:rPr>
        <w:t>First Subsequent Securities Purchase Price</w:t>
      </w:r>
      <w:r>
        <w:rPr>
          <w:rFonts w:ascii="Arial" w:cs="Arial" w:eastAsia="Arial" w:hAnsi="Arial"/>
          <w:sz w:val="18"/>
          <w:szCs w:val="18"/>
          <w:color w:val="auto"/>
        </w:rPr>
        <w:t>”) shall be the amount set forth opposite such Buyer’s name in column (5) on the Schedule of Buyers (reduced, proportionately, if applicable, to the extent that the Buyers approved the First Subsequent Closing in part pursuant to Section 1(a)(vi)(B) hereof).</w:t>
      </w:r>
    </w:p>
    <w:p>
      <w:pPr>
        <w:spacing w:after="0" w:line="186" w:lineRule="exact"/>
        <w:rPr>
          <w:rFonts w:ascii="Arial" w:cs="Arial" w:eastAsia="Arial" w:hAnsi="Arial"/>
          <w:sz w:val="18"/>
          <w:szCs w:val="18"/>
          <w:color w:val="auto"/>
        </w:rPr>
      </w:pPr>
    </w:p>
    <w:p>
      <w:pPr>
        <w:ind w:firstLine="644"/>
        <w:spacing w:after="0" w:line="296" w:lineRule="auto"/>
        <w:tabs>
          <w:tab w:leader="none" w:pos="1053"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Form of Payment for First Subsequently Purchased Securities</w:t>
      </w:r>
      <w:r>
        <w:rPr>
          <w:rFonts w:ascii="Arial" w:cs="Arial" w:eastAsia="Arial" w:hAnsi="Arial"/>
          <w:sz w:val="16"/>
          <w:szCs w:val="16"/>
          <w:color w:val="auto"/>
        </w:rPr>
        <w:t>. On the First Subsequent Closing Date, (i) each Buyer shall pay its respective purchase price to the Company for the First Subsequently Purchased Securities to be issued and sold to such Buyer at the First Subsequent Closing Date set forth opposite such Buyer’s name in column (5) on the Schedule of Buyers (reduced, proportionately, if applicable, to the extent that the Buyers approved the First Subsequent Closing in part pursuant to Section 1(a)(vi)(B) hereof), by wire transfer of immediately available funds in accordance with a Flow of Funds Letter with respect to the First Subsequently Purchased Securities and (ii) the Company shall:</w:t>
      </w:r>
    </w:p>
    <w:p>
      <w:pPr>
        <w:spacing w:after="0" w:line="161" w:lineRule="exact"/>
        <w:rPr>
          <w:rFonts w:ascii="Arial" w:cs="Arial" w:eastAsia="Arial" w:hAnsi="Arial"/>
          <w:sz w:val="16"/>
          <w:szCs w:val="16"/>
          <w:color w:val="auto"/>
        </w:rPr>
      </w:pPr>
    </w:p>
    <w:p>
      <w:pPr>
        <w:jc w:val="both"/>
        <w:ind w:right="300" w:firstLine="1292"/>
        <w:spacing w:after="0" w:line="259" w:lineRule="auto"/>
        <w:tabs>
          <w:tab w:leader="none" w:pos="159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deliver to each Buyer the aggregate principal amount of First Subsequently Purchased Notes as is set forth opposite such Buyer’s name in column (5) of the Schedule of Buyers (reduced, proportionately, if applicable, to the extent that the Buyers approved the First Subsequent Closing in part pursuant to Section 1(a)(vi)(B) hereof), duly executed on behalf of the Company and registered on the books and records of the Company in the name of such Buyer or its designee; and</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7" w:name="page58"/>
    <w:bookmarkEnd w:id="57"/>
    <w:p>
      <w:pPr>
        <w:ind w:right="140" w:firstLine="1292"/>
        <w:spacing w:after="0" w:line="263" w:lineRule="auto"/>
        <w:tabs>
          <w:tab w:leader="none" w:pos="158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deliver to each Buyer a First Subsequently Purchased Warrant, exercisable for the aggregate number of Warrant Shares described in Section 1(a)(v)(B), duly executed on behalf of the Company and registered on the books and records of the Company in the name of such Buyer or its designee.</w:t>
      </w:r>
    </w:p>
    <w:p>
      <w:pPr>
        <w:spacing w:after="0" w:line="183" w:lineRule="exact"/>
        <w:rPr>
          <w:rFonts w:ascii="Arial" w:cs="Arial" w:eastAsia="Arial" w:hAnsi="Arial"/>
          <w:sz w:val="18"/>
          <w:szCs w:val="18"/>
          <w:color w:val="auto"/>
        </w:rPr>
      </w:pPr>
    </w:p>
    <w:p>
      <w:pPr>
        <w:ind w:firstLine="644"/>
        <w:spacing w:after="0" w:line="296" w:lineRule="auto"/>
        <w:tabs>
          <w:tab w:leader="none" w:pos="95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Purchase of Second Subsequently Purchased Securities</w:t>
      </w:r>
      <w:r>
        <w:rPr>
          <w:rFonts w:ascii="Arial" w:cs="Arial" w:eastAsia="Arial" w:hAnsi="Arial"/>
          <w:sz w:val="16"/>
          <w:szCs w:val="16"/>
          <w:color w:val="auto"/>
        </w:rPr>
        <w:t>. Subject to the satisfaction (or waiver) of the conditions set forth in Sections 6 and 7(c), as applicable, the Company shall, in reliance upon the exemptions from securities registration afforded by Section 4(a)(2) of the 1933 Act and Rule 506(b) of Regulation D, issue and sell to each Buyer, and each Buyer severally, but not jointly, agrees to purchase from the Company on the Second Subsequent Closing Date (as defined below) the following Securities (collectively, the “</w:t>
      </w:r>
      <w:r>
        <w:rPr>
          <w:rFonts w:ascii="Arial" w:cs="Arial" w:eastAsia="Arial" w:hAnsi="Arial"/>
          <w:sz w:val="16"/>
          <w:szCs w:val="16"/>
          <w:b w:val="1"/>
          <w:bCs w:val="1"/>
          <w:color w:val="auto"/>
        </w:rPr>
        <w:t>Second Subsequently Purchased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and together with the Initial Purchased Securities and the First Subsequently Purchased Securities, the “</w:t>
      </w:r>
      <w:r>
        <w:rPr>
          <w:rFonts w:ascii="Arial" w:cs="Arial" w:eastAsia="Arial" w:hAnsi="Arial"/>
          <w:sz w:val="16"/>
          <w:szCs w:val="16"/>
          <w:b w:val="1"/>
          <w:bCs w:val="1"/>
          <w:color w:val="auto"/>
        </w:rPr>
        <w:t>Purchased Securities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right="60" w:firstLine="1292"/>
        <w:spacing w:after="0" w:line="259" w:lineRule="auto"/>
        <w:tabs>
          <w:tab w:leader="none" w:pos="1591"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aggregate principal amount of Notes as is set forth opposite such Buyer’s name in column (5) on the Schedule of Buyers (reduced, proportionately, if applicable, to the extent that the Buyers approved the Second Subsequent Closing (as defined below) in part pursuant to Section 1(a)(x)(B) hereof) (the “</w:t>
      </w:r>
      <w:r>
        <w:rPr>
          <w:rFonts w:ascii="Arial" w:cs="Arial" w:eastAsia="Arial" w:hAnsi="Arial"/>
          <w:sz w:val="18"/>
          <w:szCs w:val="18"/>
          <w:b w:val="1"/>
          <w:bCs w:val="1"/>
          <w:color w:val="auto"/>
        </w:rPr>
        <w:t>Second Subsequently Purchased Notes</w:t>
      </w:r>
      <w:r>
        <w:rPr>
          <w:rFonts w:ascii="Arial" w:cs="Arial" w:eastAsia="Arial" w:hAnsi="Arial"/>
          <w:sz w:val="18"/>
          <w:szCs w:val="18"/>
          <w:color w:val="auto"/>
        </w:rPr>
        <w:t>” and together with the Initial Purchased Notes and the First Subsequently Purchased Notes, the “</w:t>
      </w:r>
      <w:r>
        <w:rPr>
          <w:rFonts w:ascii="Arial" w:cs="Arial" w:eastAsia="Arial" w:hAnsi="Arial"/>
          <w:sz w:val="18"/>
          <w:szCs w:val="18"/>
          <w:b w:val="1"/>
          <w:bCs w:val="1"/>
          <w:color w:val="auto"/>
        </w:rPr>
        <w:t>Notes</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580" w:hanging="288"/>
        <w:spacing w:after="0"/>
        <w:tabs>
          <w:tab w:leader="none" w:pos="15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 Warrant exercisable for a number of Warrant Shares equal to twenty two million seven hundred fifty thousand dollars</w:t>
      </w:r>
    </w:p>
    <w:p>
      <w:pPr>
        <w:spacing w:after="0" w:line="35"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($22,750,000) (reduced, proportionately, if applicable, to the extent that the Buyers approved the Second Subsequent Closing in part pursuant to Section 1(a)(x)(B) hereof) divided by the Closing Sale Price on the Trading Day completed immediately prior to the Second Subsequent Closing Determination Date (as defined below), rounded up to the nearest whole number (the “</w:t>
      </w:r>
      <w:r>
        <w:rPr>
          <w:rFonts w:ascii="Arial" w:cs="Arial" w:eastAsia="Arial" w:hAnsi="Arial"/>
          <w:sz w:val="17"/>
          <w:szCs w:val="17"/>
          <w:b w:val="1"/>
          <w:bCs w:val="1"/>
          <w:color w:val="auto"/>
        </w:rPr>
        <w:t>Second Subsequently Purchased Warrant</w:t>
      </w:r>
      <w:r>
        <w:rPr>
          <w:rFonts w:ascii="Arial" w:cs="Arial" w:eastAsia="Arial" w:hAnsi="Arial"/>
          <w:sz w:val="17"/>
          <w:szCs w:val="17"/>
          <w:color w:val="auto"/>
        </w:rPr>
        <w:t>” and together with the Initial Purchased Warrant and the First Subsequently Purchased Warrant, the “</w:t>
      </w:r>
      <w:r>
        <w:rPr>
          <w:rFonts w:ascii="Arial" w:cs="Arial" w:eastAsia="Arial" w:hAnsi="Arial"/>
          <w:sz w:val="17"/>
          <w:szCs w:val="17"/>
          <w:b w:val="1"/>
          <w:bCs w:val="1"/>
          <w:color w:val="auto"/>
        </w:rPr>
        <w:t>Warrants</w:t>
      </w:r>
      <w:r>
        <w:rPr>
          <w:rFonts w:ascii="Arial" w:cs="Arial" w:eastAsia="Arial" w:hAnsi="Arial"/>
          <w:sz w:val="17"/>
          <w:szCs w:val="17"/>
          <w:color w:val="auto"/>
        </w:rPr>
        <w:t>”).</w:t>
      </w:r>
    </w:p>
    <w:p>
      <w:pPr>
        <w:spacing w:after="0" w:line="176" w:lineRule="exact"/>
        <w:rPr>
          <w:sz w:val="20"/>
          <w:szCs w:val="20"/>
          <w:color w:val="auto"/>
        </w:rPr>
      </w:pPr>
    </w:p>
    <w:p>
      <w:pPr>
        <w:ind w:right="260" w:firstLine="644"/>
        <w:spacing w:after="0" w:line="277" w:lineRule="auto"/>
        <w:tabs>
          <w:tab w:leader="none" w:pos="90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Second Subsequent Closing</w:t>
      </w:r>
      <w:r>
        <w:rPr>
          <w:rFonts w:ascii="Arial" w:cs="Arial" w:eastAsia="Arial" w:hAnsi="Arial"/>
          <w:sz w:val="18"/>
          <w:szCs w:val="18"/>
          <w:color w:val="auto"/>
        </w:rPr>
        <w:t>. Provided that the following conditions are satisfied or otherwise waived by the Buyers (the date such satisfaction or waiver occurs referred to herein as the “</w:t>
      </w:r>
      <w:r>
        <w:rPr>
          <w:rFonts w:ascii="Arial" w:cs="Arial" w:eastAsia="Arial" w:hAnsi="Arial"/>
          <w:sz w:val="18"/>
          <w:szCs w:val="18"/>
          <w:b w:val="1"/>
          <w:bCs w:val="1"/>
          <w:color w:val="auto"/>
        </w:rPr>
        <w:t>Second Subsequent Closing Determination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80" w:firstLine="1292"/>
        <w:spacing w:after="0" w:line="259" w:lineRule="auto"/>
        <w:tabs>
          <w:tab w:leader="none" w:pos="159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Company has entered into agreements with counterparties determined by the Company in good faith and in accordance with past practices to be creditworthy, pursuant to which the Company and such counterparties have made irrevocable commitments to deploy the net proceeds from the Initial Closing and the First Subsequent Closing in bona fide TTK Contracts and the Company has made public disclosure thereof;</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8" w:name="page59"/>
    <w:bookmarkEnd w:id="58"/>
    <w:p>
      <w:pPr>
        <w:ind w:left="1300"/>
        <w:spacing w:after="0"/>
        <w:rPr>
          <w:sz w:val="20"/>
          <w:szCs w:val="20"/>
          <w:color w:val="auto"/>
        </w:rPr>
      </w:pPr>
      <w:r>
        <w:rPr>
          <w:rFonts w:ascii="Arial" w:cs="Arial" w:eastAsia="Arial" w:hAnsi="Arial"/>
          <w:sz w:val="17"/>
          <w:szCs w:val="17"/>
          <w:color w:val="auto"/>
        </w:rPr>
        <w:t>(B) The Buyers have provided written consent approving the Second Subsequent Closing in whole or in part in their sole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discretion; and</w:t>
      </w:r>
    </w:p>
    <w:p>
      <w:pPr>
        <w:spacing w:after="0" w:line="211" w:lineRule="exact"/>
        <w:rPr>
          <w:sz w:val="20"/>
          <w:szCs w:val="20"/>
          <w:color w:val="auto"/>
        </w:rPr>
      </w:pPr>
    </w:p>
    <w:p>
      <w:pPr>
        <w:ind w:right="160" w:firstLine="1292"/>
        <w:spacing w:after="0" w:line="277" w:lineRule="auto"/>
        <w:tabs>
          <w:tab w:leader="none" w:pos="15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Resale Registration Statement for the Underlying Shares issued or issuable pursuant to the Initial Purchased Securities and the First Subsequently Purchased Securities shall be effective,</w:t>
      </w:r>
    </w:p>
    <w:p>
      <w:pPr>
        <w:spacing w:after="0" w:line="166"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the closing (the “</w:t>
      </w:r>
      <w:r>
        <w:rPr>
          <w:rFonts w:ascii="Arial" w:cs="Arial" w:eastAsia="Arial" w:hAnsi="Arial"/>
          <w:sz w:val="16"/>
          <w:szCs w:val="16"/>
          <w:b w:val="1"/>
          <w:bCs w:val="1"/>
          <w:color w:val="auto"/>
        </w:rPr>
        <w:t>Second Subsequent Closing</w:t>
      </w:r>
      <w:r>
        <w:rPr>
          <w:rFonts w:ascii="Arial" w:cs="Arial" w:eastAsia="Arial" w:hAnsi="Arial"/>
          <w:sz w:val="16"/>
          <w:szCs w:val="16"/>
          <w:color w:val="auto"/>
        </w:rPr>
        <w:t>” and together with the Initial Closing and the First Subsequent Closing, each a “</w:t>
      </w:r>
      <w:r>
        <w:rPr>
          <w:rFonts w:ascii="Arial" w:cs="Arial" w:eastAsia="Arial" w:hAnsi="Arial"/>
          <w:sz w:val="16"/>
          <w:szCs w:val="16"/>
          <w:b w:val="1"/>
          <w:bCs w:val="1"/>
          <w:color w:val="auto"/>
        </w:rPr>
        <w:t>Closing</w:t>
      </w:r>
      <w:r>
        <w:rPr>
          <w:rFonts w:ascii="Arial" w:cs="Arial" w:eastAsia="Arial" w:hAnsi="Arial"/>
          <w:sz w:val="16"/>
          <w:szCs w:val="16"/>
          <w:color w:val="auto"/>
        </w:rPr>
        <w:t>”) of the purchase of the Second Subsequently Purchased Securities by the Buyers shall occur by electronic transmission or other transmission as mutually acceptable at 10:00 a.m., New York time, on the first (1st) Business Day on which the conditions to the Closing set forth in Sections 6 and 7(c) are satisfied or waived (or such other date as is mutually agreed to by the Company and each Buyer) (the “</w:t>
      </w:r>
      <w:r>
        <w:rPr>
          <w:rFonts w:ascii="Arial" w:cs="Arial" w:eastAsia="Arial" w:hAnsi="Arial"/>
          <w:sz w:val="16"/>
          <w:szCs w:val="16"/>
          <w:b w:val="1"/>
          <w:bCs w:val="1"/>
          <w:color w:val="auto"/>
        </w:rPr>
        <w:t>Second Subsequent Closing Date</w:t>
      </w:r>
      <w:r>
        <w:rPr>
          <w:rFonts w:ascii="Arial" w:cs="Arial" w:eastAsia="Arial" w:hAnsi="Arial"/>
          <w:sz w:val="16"/>
          <w:szCs w:val="16"/>
          <w:color w:val="auto"/>
        </w:rPr>
        <w:t>” and, together with the Initial Closing Date and the First Subsequent Closing Date, each a “</w:t>
      </w:r>
      <w:r>
        <w:rPr>
          <w:rFonts w:ascii="Arial" w:cs="Arial" w:eastAsia="Arial" w:hAnsi="Arial"/>
          <w:sz w:val="16"/>
          <w:szCs w:val="16"/>
          <w:b w:val="1"/>
          <w:bCs w:val="1"/>
          <w:color w:val="auto"/>
        </w:rPr>
        <w:t>Closing Date</w:t>
      </w:r>
      <w:r>
        <w:rPr>
          <w:rFonts w:ascii="Arial" w:cs="Arial" w:eastAsia="Arial" w:hAnsi="Arial"/>
          <w:sz w:val="16"/>
          <w:szCs w:val="16"/>
          <w:color w:val="auto"/>
        </w:rPr>
        <w:t>”), provided that, in any event, the Second Subsequent Closing Date shall occur no later than the third (3</w:t>
      </w:r>
      <w:r>
        <w:rPr>
          <w:rFonts w:ascii="Arial" w:cs="Arial" w:eastAsia="Arial" w:hAnsi="Arial"/>
          <w:sz w:val="26"/>
          <w:szCs w:val="26"/>
          <w:color w:val="auto"/>
          <w:vertAlign w:val="superscript"/>
        </w:rPr>
        <w:t>rd</w:t>
      </w:r>
      <w:r>
        <w:rPr>
          <w:rFonts w:ascii="Arial" w:cs="Arial" w:eastAsia="Arial" w:hAnsi="Arial"/>
          <w:sz w:val="16"/>
          <w:szCs w:val="16"/>
          <w:color w:val="auto"/>
        </w:rPr>
        <w:t>) day following the Second Subsequent Closing Determination Date.</w:t>
      </w:r>
    </w:p>
    <w:p>
      <w:pPr>
        <w:spacing w:after="0" w:line="33" w:lineRule="exact"/>
        <w:rPr>
          <w:sz w:val="20"/>
          <w:szCs w:val="20"/>
          <w:color w:val="auto"/>
        </w:rPr>
      </w:pPr>
    </w:p>
    <w:p>
      <w:pPr>
        <w:ind w:right="100" w:firstLine="644"/>
        <w:spacing w:after="0" w:line="259" w:lineRule="auto"/>
        <w:tabs>
          <w:tab w:leader="none" w:pos="95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Securities Purchase Price</w:t>
      </w:r>
      <w:r>
        <w:rPr>
          <w:rFonts w:ascii="Arial" w:cs="Arial" w:eastAsia="Arial" w:hAnsi="Arial"/>
          <w:sz w:val="18"/>
          <w:szCs w:val="18"/>
          <w:color w:val="auto"/>
        </w:rPr>
        <w:t>. The aggregate purchase price for the Second Subsequently Purchased Securities to be purchased by each Buyer at the Second Subsequent Closing (the “</w:t>
      </w:r>
      <w:r>
        <w:rPr>
          <w:rFonts w:ascii="Arial" w:cs="Arial" w:eastAsia="Arial" w:hAnsi="Arial"/>
          <w:sz w:val="18"/>
          <w:szCs w:val="18"/>
          <w:b w:val="1"/>
          <w:bCs w:val="1"/>
          <w:color w:val="auto"/>
        </w:rPr>
        <w:t>Second Subsequent Securities Purchase Price</w:t>
      </w:r>
      <w:r>
        <w:rPr>
          <w:rFonts w:ascii="Arial" w:cs="Arial" w:eastAsia="Arial" w:hAnsi="Arial"/>
          <w:sz w:val="18"/>
          <w:szCs w:val="18"/>
          <w:color w:val="auto"/>
        </w:rPr>
        <w:t>”) shall be the amount set forth opposite such Buyer’s name in column (5) on the Schedule of Buyers (reduced, proportionately, if applicable, to the extent that the Buyers approved the Second Subsequent Closing in part pursuant to Section 1(a)(x)(B) hereof).</w:t>
      </w:r>
    </w:p>
    <w:p>
      <w:pPr>
        <w:spacing w:after="0" w:line="186" w:lineRule="exact"/>
        <w:rPr>
          <w:rFonts w:ascii="Arial" w:cs="Arial" w:eastAsia="Arial" w:hAnsi="Arial"/>
          <w:sz w:val="18"/>
          <w:szCs w:val="18"/>
          <w:color w:val="auto"/>
        </w:rPr>
      </w:pPr>
    </w:p>
    <w:p>
      <w:pPr>
        <w:ind w:firstLine="644"/>
        <w:spacing w:after="0" w:line="255" w:lineRule="auto"/>
        <w:tabs>
          <w:tab w:leader="none" w:pos="100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Form of Payment for Second Subsequently Purchased Securities</w:t>
      </w:r>
      <w:r>
        <w:rPr>
          <w:rFonts w:ascii="Arial" w:cs="Arial" w:eastAsia="Arial" w:hAnsi="Arial"/>
          <w:sz w:val="18"/>
          <w:szCs w:val="18"/>
          <w:color w:val="auto"/>
        </w:rPr>
        <w:t>. On the Second Subsequent Closing Date, (i) each Buyer shall pay its respective purchase price to the Company for the Second Subsequently Purchased Securities to be issued and sold to such Buyer at the Second Subsequent Closing Date set forth opposite such Buyer’s name in column (5) on the Schedule of Buyers (reduced, proportionately, if applicable, to the extent that the Buyers approved the Second Subsequent Closing in part pursuant to Section 1(a)(x)(B) hereof), by wire transfer of immediately available funds in accordance with a Flow of Funds Letter with respect to the Second Subsequently Purchased Securities and (ii) the Company shall:</w:t>
      </w:r>
    </w:p>
    <w:p>
      <w:pPr>
        <w:spacing w:after="0" w:line="192" w:lineRule="exact"/>
        <w:rPr>
          <w:rFonts w:ascii="Arial" w:cs="Arial" w:eastAsia="Arial" w:hAnsi="Arial"/>
          <w:sz w:val="18"/>
          <w:szCs w:val="18"/>
          <w:color w:val="auto"/>
        </w:rPr>
      </w:pPr>
    </w:p>
    <w:p>
      <w:pPr>
        <w:jc w:val="both"/>
        <w:ind w:right="100" w:firstLine="1292"/>
        <w:spacing w:after="0" w:line="259" w:lineRule="auto"/>
        <w:tabs>
          <w:tab w:leader="none" w:pos="159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deliver to each Buyer the aggregate principal amount of Second Subsequently Purchased Notes as is set forth opposite such Buyer’s name in column (5) of the Schedule of Buyers (reduced, proportionately, if applicable, to the extent that the Buyers approved the Second Subsequent Closing in part pursuant to Section 1(a)(x)(B) hereof), duly executed on behalf of the Company and registered on the books and records of the Company in the name of such Buyer or its designee; and</w:t>
      </w:r>
    </w:p>
    <w:p>
      <w:pPr>
        <w:spacing w:after="0" w:line="186" w:lineRule="exact"/>
        <w:rPr>
          <w:rFonts w:ascii="Arial" w:cs="Arial" w:eastAsia="Arial" w:hAnsi="Arial"/>
          <w:sz w:val="18"/>
          <w:szCs w:val="18"/>
          <w:color w:val="auto"/>
        </w:rPr>
      </w:pPr>
    </w:p>
    <w:p>
      <w:pPr>
        <w:ind w:right="80" w:firstLine="1292"/>
        <w:spacing w:after="0" w:line="263" w:lineRule="auto"/>
        <w:tabs>
          <w:tab w:leader="none" w:pos="15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deliver to each Buyer a Second Subsequently Purchased Warrant, exercisable for the aggregate number of Warrant Shares described in Section 1(a)(ix)(B), duly executed on behalf of the Company and registered on the books and records of the Company in the name of such Buyer or its designee.</w:t>
      </w:r>
    </w:p>
    <w:p>
      <w:pPr>
        <w:spacing w:after="0" w:line="39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9" w:name="page60"/>
    <w:bookmarkEnd w:id="59"/>
    <w:p>
      <w:pPr>
        <w:ind w:firstLine="656"/>
        <w:spacing w:after="0" w:line="275" w:lineRule="auto"/>
        <w:tabs>
          <w:tab w:leader="none" w:pos="903"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Purchase Price Allocation</w:t>
      </w:r>
      <w:r>
        <w:rPr>
          <w:rFonts w:ascii="Arial" w:cs="Arial" w:eastAsia="Arial" w:hAnsi="Arial"/>
          <w:sz w:val="17"/>
          <w:szCs w:val="17"/>
          <w:color w:val="auto"/>
        </w:rPr>
        <w:t>. Each Buyer and the Company agree that the Notes and the Warrants constitute an “investment unit” for purposes of Section 1273(c)(2)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Prior to each Closing, the Buyers and the Company shall mutually agree to the allocation of the issue price of such investment unit between the Notes and the Warrants purchased in such Closing, in each case in accordance with Section 1273(c)(2) of the Code and Treasury Regulation Section 1.1273-2(h), and neither the Buyers nor the Company shall take any position inconsistent with such allocation in any tax return or in any judicial or administrative proceeding in respect of taxes.</w:t>
      </w:r>
    </w:p>
    <w:p>
      <w:pPr>
        <w:spacing w:after="0" w:line="172" w:lineRule="exact"/>
        <w:rPr>
          <w:rFonts w:ascii="Arial" w:cs="Arial" w:eastAsia="Arial" w:hAnsi="Arial"/>
          <w:sz w:val="17"/>
          <w:szCs w:val="17"/>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REPRESENTATIONS AND WARRANTIES.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Each Buyer, severally and not jointly, represents and warrants to the Company with respect to only itself that, as of the date hereof and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Initial Closing Date, the First Subsequent Closing Date and the Second Subsequent Closing Date:</w:t>
      </w:r>
    </w:p>
    <w:p>
      <w:pPr>
        <w:spacing w:after="0" w:line="211" w:lineRule="exact"/>
        <w:rPr>
          <w:sz w:val="20"/>
          <w:szCs w:val="20"/>
          <w:color w:val="auto"/>
        </w:rPr>
      </w:pPr>
    </w:p>
    <w:p>
      <w:pPr>
        <w:ind w:right="80" w:firstLine="656"/>
        <w:spacing w:after="0" w:line="263" w:lineRule="auto"/>
        <w:tabs>
          <w:tab w:leader="none" w:pos="89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83" w:lineRule="exact"/>
        <w:rPr>
          <w:rFonts w:ascii="Arial" w:cs="Arial" w:eastAsia="Arial" w:hAnsi="Arial"/>
          <w:sz w:val="18"/>
          <w:szCs w:val="18"/>
          <w:color w:val="auto"/>
        </w:rPr>
      </w:pPr>
    </w:p>
    <w:p>
      <w:pPr>
        <w:ind w:firstLine="656"/>
        <w:spacing w:after="0" w:line="289" w:lineRule="auto"/>
        <w:tabs>
          <w:tab w:leader="none" w:pos="90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 Public Sale or Distribution.</w:t>
      </w:r>
      <w:r>
        <w:rPr>
          <w:rFonts w:ascii="Arial" w:cs="Arial" w:eastAsia="Arial" w:hAnsi="Arial"/>
          <w:sz w:val="16"/>
          <w:szCs w:val="16"/>
          <w:color w:val="auto"/>
        </w:rPr>
        <w:t xml:space="preserve"> Such Buyer (i) is acquiring its Purchased Securities, and (ii) upon exercise of, or otherwise in accordance with, its Purchased Securities will acquire the Underlying Shares issuable upon exercise thereof, or otherwise in accordance therewith,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Such Buyer does not presently have any agreement or understanding, directly or indirectly, with any Person to distribute any of the Securities in violation of applicable securities laws. For purposes of this Agreement, “</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and any Governmental Entity (as defined below) or any department or agency thereof.</w:t>
      </w:r>
    </w:p>
    <w:p>
      <w:pPr>
        <w:spacing w:after="0" w:line="166" w:lineRule="exact"/>
        <w:rPr>
          <w:rFonts w:ascii="Arial" w:cs="Arial" w:eastAsia="Arial" w:hAnsi="Arial"/>
          <w:sz w:val="16"/>
          <w:szCs w:val="16"/>
          <w:color w:val="auto"/>
        </w:rPr>
      </w:pPr>
    </w:p>
    <w:p>
      <w:pPr>
        <w:ind w:right="240" w:firstLine="656"/>
        <w:spacing w:after="0" w:line="277" w:lineRule="auto"/>
        <w:tabs>
          <w:tab w:leader="none" w:pos="89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At the time such Buyer was offered the Securities, it was and, as of the date hereof, such Buyer is an “accredited investor” as that term is defined in Rule 501(a) of Regulation D.</w:t>
      </w:r>
    </w:p>
    <w:p>
      <w:pPr>
        <w:spacing w:after="0" w:line="170" w:lineRule="exact"/>
        <w:rPr>
          <w:rFonts w:ascii="Arial" w:cs="Arial" w:eastAsia="Arial" w:hAnsi="Arial"/>
          <w:sz w:val="18"/>
          <w:szCs w:val="18"/>
          <w:color w:val="auto"/>
        </w:rPr>
      </w:pPr>
    </w:p>
    <w:p>
      <w:pPr>
        <w:jc w:val="both"/>
        <w:ind w:right="20" w:firstLine="656"/>
        <w:spacing w:after="0" w:line="279" w:lineRule="auto"/>
        <w:tabs>
          <w:tab w:leader="none" w:pos="90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Reliance on Exemptions</w:t>
      </w:r>
      <w:r>
        <w:rPr>
          <w:rFonts w:ascii="Arial" w:cs="Arial" w:eastAsia="Arial" w:hAnsi="Arial"/>
          <w:sz w:val="17"/>
          <w:szCs w:val="17"/>
          <w:color w:val="auto"/>
        </w:rPr>
        <w:t>.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0" w:name="page61"/>
    <w:bookmarkEnd w:id="60"/>
    <w:p>
      <w:pPr>
        <w:ind w:left="-8" w:right="20" w:firstLine="656"/>
        <w:spacing w:after="0" w:line="291" w:lineRule="auto"/>
        <w:tabs>
          <w:tab w:leader="none" w:pos="884"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Such Buyer and its advisors, if any, have been furnished with all materials relating to the business, finances and operations of the Company and materials relating to the offer and sale of the Securities that have been requested by such Buyer. Such Buyer and its advisors, if any, have had</w:t>
      </w:r>
    </w:p>
    <w:p>
      <w:pPr>
        <w:ind w:left="-8" w:firstLine="8"/>
        <w:spacing w:after="0" w:line="267" w:lineRule="auto"/>
        <w:tabs>
          <w:tab w:leader="none" w:pos="20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opportunity to review the Transaction Documents and the SEC Documents (as defined below) and has been afforded the opportunity to ask such questions of the Company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acknowledges that it can bear the economic risk and complete loss of its investment in the Securities and has such knowledge and experience in financial or business matters that it is capable of evaluating the merits and risks of the investment contemplated hereby. Such Buyer did not learn of the investment in the Securities as a result of any general solicitation or general advertising. Such Buyer has sought such accounting, legal and tax advice as it has considered necessary to make an informed investment decision with respect to its acquisition of the Securities. Such Buyer is not relying upon, and has not relied upon, any statement, representation or warranty made by any person, except for statements, representations and warranties contained in this Agreement, in making its investment or decision to invest in the Company.</w:t>
      </w:r>
    </w:p>
    <w:p>
      <w:pPr>
        <w:spacing w:after="0" w:line="181" w:lineRule="exact"/>
        <w:rPr>
          <w:rFonts w:ascii="Arial" w:cs="Arial" w:eastAsia="Arial" w:hAnsi="Arial"/>
          <w:sz w:val="17"/>
          <w:szCs w:val="17"/>
          <w:color w:val="auto"/>
        </w:rPr>
      </w:pPr>
    </w:p>
    <w:p>
      <w:pPr>
        <w:jc w:val="both"/>
        <w:ind w:left="-8" w:right="320" w:firstLine="656"/>
        <w:spacing w:after="0" w:line="263" w:lineRule="auto"/>
        <w:tabs>
          <w:tab w:leader="none" w:pos="86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1" w:name="page62"/>
    <w:bookmarkEnd w:id="61"/>
    <w:p>
      <w:pPr>
        <w:jc w:val="both"/>
        <w:ind w:left="-8" w:right="20" w:firstLine="656"/>
        <w:spacing w:after="0" w:line="291" w:lineRule="auto"/>
        <w:tabs>
          <w:tab w:leader="none" w:pos="89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Transfer or Resale</w:t>
      </w:r>
      <w:r>
        <w:rPr>
          <w:rFonts w:ascii="Arial" w:cs="Arial" w:eastAsia="Arial" w:hAnsi="Arial"/>
          <w:sz w:val="16"/>
          <w:szCs w:val="16"/>
          <w:color w:val="auto"/>
        </w:rPr>
        <w:t>. Such Buyer understands that: (i) the Securities have not been registered under the 1933 Act or any state securities laws, and may not be offered for sale, sold, assigned or transferred by any Buyer or any other holder of such Securities unless (A) subsequently registered thereunder,</w:t>
      </w:r>
    </w:p>
    <w:p>
      <w:pPr>
        <w:ind w:left="-8" w:firstLine="8"/>
        <w:spacing w:after="0" w:line="281" w:lineRule="auto"/>
        <w:tabs>
          <w:tab w:leader="none" w:pos="277"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such Buyer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w:t>
      </w:r>
    </w:p>
    <w:p>
      <w:pPr>
        <w:spacing w:after="0" w:line="1" w:lineRule="exact"/>
        <w:rPr>
          <w:rFonts w:ascii="Arial" w:cs="Arial" w:eastAsia="Arial" w:hAnsi="Arial"/>
          <w:sz w:val="16"/>
          <w:szCs w:val="16"/>
          <w:color w:val="auto"/>
        </w:rPr>
      </w:pPr>
    </w:p>
    <w:p>
      <w:pPr>
        <w:ind w:left="-8" w:right="20" w:firstLine="8"/>
        <w:spacing w:after="0" w:line="267" w:lineRule="auto"/>
        <w:tabs>
          <w:tab w:leader="none" w:pos="277"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such Buyer provides the Company with reasonable assurance that such Securities can be sold, assigned or transferred pursuant to Rule 144 or Rule 144A promulgated under the 1933 Act (or a successor rule thereto) (collectively, “</w:t>
      </w:r>
      <w:r>
        <w:rPr>
          <w:rFonts w:ascii="Arial" w:cs="Arial" w:eastAsia="Arial" w:hAnsi="Arial"/>
          <w:sz w:val="17"/>
          <w:szCs w:val="17"/>
          <w:b w:val="1"/>
          <w:bCs w:val="1"/>
          <w:color w:val="auto"/>
        </w:rPr>
        <w:t>Rule 144</w:t>
      </w:r>
      <w:r>
        <w:rPr>
          <w:rFonts w:ascii="Arial" w:cs="Arial" w:eastAsia="Arial" w:hAnsi="Arial"/>
          <w:sz w:val="17"/>
          <w:szCs w:val="17"/>
          <w:color w:val="auto"/>
        </w:rPr>
        <w:t>”);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provided, that, from and after the date that is six (6) months following (x) the date hereof with respect to the Initial Purchased Securities, (y) the First Subsequent Closing Date with respect to the First Subsequently Purchased Securities, and (z) the Second Subsequent Closing Date with respect to the Second Subsequently Purchased Securities at the request of any Buyer, the Company shall, if the Company is then in compliance with Section 4(c) hereof, deliver to such Buyer or the Company’s transfer agent, as applicable, an opinion of counsel to the Company, at the Company’s expense and in a form reasonably acceptable to such Buyer, that (A) adequate public information with respect to the Company is then available (within the meaning of Rule 144(c)) and (B) that a sale of the Securities may otherwise be made in accordance with the terms of Rule 144.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(as defined in Section 3(b)), including, without limitation, this Section 2(g).</w:t>
      </w:r>
    </w:p>
    <w:p>
      <w:pPr>
        <w:spacing w:after="0" w:line="179" w:lineRule="exact"/>
        <w:rPr>
          <w:rFonts w:ascii="Arial" w:cs="Arial" w:eastAsia="Arial" w:hAnsi="Arial"/>
          <w:sz w:val="17"/>
          <w:szCs w:val="17"/>
          <w:color w:val="auto"/>
        </w:rPr>
      </w:pPr>
    </w:p>
    <w:p>
      <w:pPr>
        <w:ind w:left="-8" w:firstLine="656"/>
        <w:spacing w:after="0" w:line="257" w:lineRule="auto"/>
        <w:tabs>
          <w:tab w:leader="none" w:pos="89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the Security Agreements and the Security Documents (as defined in the Security Agreements) have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7" w:lineRule="exact"/>
        <w:rPr>
          <w:rFonts w:ascii="Arial" w:cs="Arial" w:eastAsia="Arial" w:hAnsi="Arial"/>
          <w:sz w:val="18"/>
          <w:szCs w:val="18"/>
          <w:color w:val="auto"/>
        </w:rPr>
      </w:pPr>
    </w:p>
    <w:p>
      <w:pPr>
        <w:ind w:left="-8" w:right="60" w:firstLine="656"/>
        <w:spacing w:after="0" w:line="291" w:lineRule="auto"/>
        <w:tabs>
          <w:tab w:leader="none" w:pos="855"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such Buyer of this Agreement, the Security Agreements and the Security Documents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2" w:name="page63"/>
    <w:bookmarkEnd w:id="62"/>
    <w:p>
      <w:pPr>
        <w:ind w:right="120" w:firstLine="656"/>
        <w:spacing w:after="0" w:line="342" w:lineRule="auto"/>
        <w:tabs>
          <w:tab w:leader="none" w:pos="863" w:val="left"/>
        </w:tabs>
        <w:numPr>
          <w:ilvl w:val="1"/>
          <w:numId w:val="70"/>
        </w:numPr>
        <w:rPr>
          <w:rFonts w:ascii="Arial" w:cs="Arial" w:eastAsia="Arial" w:hAnsi="Arial"/>
          <w:sz w:val="16"/>
          <w:szCs w:val="16"/>
          <w:color w:val="auto"/>
        </w:rPr>
      </w:pPr>
      <w:r>
        <w:rPr>
          <w:rFonts w:ascii="Arial" w:cs="Arial" w:eastAsia="Arial" w:hAnsi="Arial"/>
          <w:sz w:val="16"/>
          <w:szCs w:val="16"/>
          <w:color w:val="auto"/>
        </w:rPr>
        <w:t>Each Buyer acknowledges and agrees that neither the Company nor any Subsidiary of the Company makes or has made any representations or warranties with respect to the Company or its Subsidiaries, or transactions contemplated hereby, other than those specifically set forth in Section 3.</w:t>
      </w:r>
    </w:p>
    <w:p>
      <w:pPr>
        <w:spacing w:after="0" w:line="123" w:lineRule="exact"/>
        <w:rPr>
          <w:rFonts w:ascii="Arial" w:cs="Arial" w:eastAsia="Arial" w:hAnsi="Arial"/>
          <w:sz w:val="16"/>
          <w:szCs w:val="16"/>
          <w:color w:val="auto"/>
        </w:rPr>
      </w:pPr>
    </w:p>
    <w:p>
      <w:pPr>
        <w:ind w:right="260" w:firstLine="656"/>
        <w:spacing w:after="0" w:line="311" w:lineRule="auto"/>
        <w:tabs>
          <w:tab w:leader="none" w:pos="903"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No Bad Actor Disqualification Event.</w:t>
      </w:r>
      <w:r>
        <w:rPr>
          <w:rFonts w:ascii="Arial" w:cs="Arial" w:eastAsia="Arial" w:hAnsi="Arial"/>
          <w:sz w:val="16"/>
          <w:szCs w:val="16"/>
          <w:color w:val="auto"/>
        </w:rPr>
        <w:t xml:space="preserve"> Such Buyer represents, after reasonable inquiry, that none of the “Bad Actor” disqualifying events described in Rule 506(d)(l)(i) to (viii) under the 1933 Act (a “</w:t>
      </w:r>
      <w:r>
        <w:rPr>
          <w:rFonts w:ascii="Arial" w:cs="Arial" w:eastAsia="Arial" w:hAnsi="Arial"/>
          <w:sz w:val="16"/>
          <w:szCs w:val="16"/>
          <w:b w:val="1"/>
          <w:bCs w:val="1"/>
          <w:color w:val="auto"/>
        </w:rPr>
        <w:t>Disqualification Event</w:t>
      </w:r>
      <w:r>
        <w:rPr>
          <w:rFonts w:ascii="Arial" w:cs="Arial" w:eastAsia="Arial" w:hAnsi="Arial"/>
          <w:sz w:val="16"/>
          <w:szCs w:val="16"/>
          <w:color w:val="auto"/>
        </w:rPr>
        <w:t>”) is applicable to such Buyer or any of its Rule 506(d) Related Parties (if any). “</w:t>
      </w:r>
      <w:r>
        <w:rPr>
          <w:rFonts w:ascii="Arial" w:cs="Arial" w:eastAsia="Arial" w:hAnsi="Arial"/>
          <w:sz w:val="16"/>
          <w:szCs w:val="16"/>
          <w:b w:val="1"/>
          <w:bCs w:val="1"/>
          <w:color w:val="auto"/>
        </w:rPr>
        <w:t>Rule 506(d) Related Party</w:t>
      </w:r>
      <w:r>
        <w:rPr>
          <w:rFonts w:ascii="Arial" w:cs="Arial" w:eastAsia="Arial" w:hAnsi="Arial"/>
          <w:sz w:val="16"/>
          <w:szCs w:val="16"/>
          <w:color w:val="auto"/>
        </w:rPr>
        <w:t>” means a person or entity that is a beneficial owner of such Buyer’s securities for purposes of Rule 506(d).</w:t>
      </w:r>
    </w:p>
    <w:p>
      <w:pPr>
        <w:spacing w:after="0" w:line="144" w:lineRule="exact"/>
        <w:rPr>
          <w:rFonts w:ascii="Arial" w:cs="Arial" w:eastAsia="Arial" w:hAnsi="Arial"/>
          <w:sz w:val="16"/>
          <w:szCs w:val="16"/>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represents and warrants to each of the Buyers that, as of the date hereof and as of the Initial Closing Date, the First Subsequent Closing Date and the Second Subsequent Closing Date:</w:t>
      </w:r>
    </w:p>
    <w:p>
      <w:pPr>
        <w:spacing w:after="0" w:line="170" w:lineRule="exact"/>
        <w:rPr>
          <w:sz w:val="20"/>
          <w:szCs w:val="20"/>
          <w:color w:val="auto"/>
        </w:rPr>
      </w:pPr>
    </w:p>
    <w:p>
      <w:pPr>
        <w:ind w:firstLine="656"/>
        <w:spacing w:after="0" w:line="268" w:lineRule="auto"/>
        <w:tabs>
          <w:tab w:leader="none" w:pos="89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Arial" w:cs="Arial" w:eastAsia="Arial" w:hAnsi="Arial"/>
          <w:sz w:val="17"/>
          <w:szCs w:val="17"/>
          <w:b w:val="1"/>
          <w:bCs w:val="1"/>
          <w:color w:val="auto"/>
        </w:rPr>
        <w:t>Material Adverse Effect</w:t>
      </w:r>
      <w:r>
        <w:rPr>
          <w:rFonts w:ascii="Arial" w:cs="Arial" w:eastAsia="Arial" w:hAnsi="Arial"/>
          <w:sz w:val="17"/>
          <w:szCs w:val="17"/>
          <w:color w:val="auto"/>
        </w:rPr>
        <w:t xml:space="preserve">” means any material adverse effect on (i) the business, properties, assets, liabilities, operations (including results thereof) or condition (financial or otherwise) of the Company or its Subsidiaries, taken as a whole, (ii) the transactions contemplated hereby or in any of the other Transaction Documents or any other agreements or instruments entered into in connection herewith or therewith or (iii) the authority or ability of the Company or any of its Subsidiaries to perform any of their respective obligations under any of the Transaction Documents. Other than the Persons (as defined below) set forth on </w:t>
      </w:r>
      <w:r>
        <w:rPr>
          <w:rFonts w:ascii="Arial" w:cs="Arial" w:eastAsia="Arial" w:hAnsi="Arial"/>
          <w:sz w:val="17"/>
          <w:szCs w:val="17"/>
          <w:u w:val="single" w:color="auto"/>
          <w:color w:val="auto"/>
        </w:rPr>
        <w:t>Schedule 3(a)</w:t>
      </w:r>
      <w:r>
        <w:rPr>
          <w:rFonts w:ascii="Arial" w:cs="Arial" w:eastAsia="Arial" w:hAnsi="Arial"/>
          <w:sz w:val="17"/>
          <w:szCs w:val="17"/>
          <w:color w:val="auto"/>
        </w:rPr>
        <w:t>, the Company has no significant Subsidiaries within the meaning of Rule 1-02(w) of Regulation S-X. “</w:t>
      </w:r>
      <w:r>
        <w:rPr>
          <w:rFonts w:ascii="Arial" w:cs="Arial" w:eastAsia="Arial" w:hAnsi="Arial"/>
          <w:sz w:val="17"/>
          <w:szCs w:val="17"/>
          <w:b w:val="1"/>
          <w:bCs w:val="1"/>
          <w:color w:val="auto"/>
        </w:rPr>
        <w:t>Subsidiaries</w:t>
      </w:r>
      <w:r>
        <w:rPr>
          <w:rFonts w:ascii="Arial" w:cs="Arial" w:eastAsia="Arial" w:hAnsi="Arial"/>
          <w:sz w:val="17"/>
          <w:szCs w:val="17"/>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Arial" w:cs="Arial" w:eastAsia="Arial" w:hAnsi="Arial"/>
          <w:sz w:val="17"/>
          <w:szCs w:val="17"/>
          <w:b w:val="1"/>
          <w:bCs w:val="1"/>
          <w:color w:val="auto"/>
        </w:rPr>
        <w:t>Subsidiary.</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20" w:firstLine="656"/>
        <w:spacing w:after="0" w:line="285" w:lineRule="auto"/>
        <w:tabs>
          <w:tab w:leader="none" w:pos="88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The Company has the requisite power and authority to enter into and perform its obligations under this Agreement and the other Transaction Documents and to issue the Securities in accordance with the terms hereof and thereof. Each Subsidiary has the requisite power and authority to enter into and perform its obligations under the Transaction Documents to which it is a party. The execution and delivery of this Agreement and the other Transaction Documents by the Company, and the consummation by the Company and its Subsidiaries of the transactions contemplated hereby and thereby (including, without limitation, the issuance of the Notes and the Warrants and the reservation for issuance and issuance of the Underlying Shares issuable pursuant to the Warrants), have been duly authorized by the Company’s board of directors (the “</w:t>
      </w:r>
      <w:r>
        <w:rPr>
          <w:rFonts w:ascii="Arial" w:cs="Arial" w:eastAsia="Arial" w:hAnsi="Arial"/>
          <w:sz w:val="16"/>
          <w:szCs w:val="16"/>
          <w:b w:val="1"/>
          <w:bCs w:val="1"/>
          <w:color w:val="auto"/>
        </w:rPr>
        <w:t>Board of Directors</w:t>
      </w:r>
      <w:r>
        <w:rPr>
          <w:rFonts w:ascii="Arial" w:cs="Arial" w:eastAsia="Arial" w:hAnsi="Arial"/>
          <w:sz w:val="16"/>
          <w:szCs w:val="16"/>
          <w:color w:val="auto"/>
        </w:rPr>
        <w:t>”), and (other than (i) any filings as may be required by any state securities agencies and (ii) a Listing of Additional Shares Notification with the Principal Market (as defined below) (collectively, the “</w:t>
      </w:r>
      <w:r>
        <w:rPr>
          <w:rFonts w:ascii="Arial" w:cs="Arial" w:eastAsia="Arial" w:hAnsi="Arial"/>
          <w:sz w:val="16"/>
          <w:szCs w:val="16"/>
          <w:b w:val="1"/>
          <w:bCs w:val="1"/>
          <w:color w:val="auto"/>
        </w:rPr>
        <w:t>Required Filings</w:t>
      </w:r>
      <w:r>
        <w:rPr>
          <w:rFonts w:ascii="Arial" w:cs="Arial" w:eastAsia="Arial" w:hAnsi="Arial"/>
          <w:sz w:val="16"/>
          <w:szCs w:val="16"/>
          <w:color w:val="auto"/>
        </w:rPr>
        <w:t>”)) no further filing, consent or authorization is required by the Company, its Subsidiaries, their respective boards of directors or their stockholders or other governing body in connection therewith. This Agreement has been, and the other Transaction Documents to which it is a party will be prior to the Initial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collectively, this Agreement, the Notes, the Warrants, the Security Agreements, the Security Documents, the Stockholder Agreements, the Irrevocable Transfer Agent Instructions (as defined below) and each of the other written agreements and instruments entered into or delivered by any of the parties hereto in connection with the transactions contemplated hereby and thereby, as may be amended from time to time; provided, that, the Transaction Documents shall not include the Term Sheet (as defined below).</w:t>
      </w:r>
    </w:p>
    <w:p>
      <w:pPr>
        <w:spacing w:after="0" w:line="173" w:lineRule="exact"/>
        <w:rPr>
          <w:rFonts w:ascii="Arial" w:cs="Arial" w:eastAsia="Arial" w:hAnsi="Arial"/>
          <w:sz w:val="16"/>
          <w:szCs w:val="16"/>
          <w:color w:val="auto"/>
        </w:rPr>
      </w:pPr>
    </w:p>
    <w:p>
      <w:pPr>
        <w:ind w:left="-20" w:right="60" w:firstLine="656"/>
        <w:spacing w:after="0" w:line="287" w:lineRule="auto"/>
        <w:tabs>
          <w:tab w:leader="none" w:pos="87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Issuance of Securities</w:t>
      </w:r>
      <w:r>
        <w:rPr>
          <w:rFonts w:ascii="Arial" w:cs="Arial" w:eastAsia="Arial" w:hAnsi="Arial"/>
          <w:sz w:val="16"/>
          <w:szCs w:val="16"/>
          <w:color w:val="auto"/>
        </w:rPr>
        <w:t>. The issuance of the Securities is duly authorized and when issued and delivered in accordance with the terms of the Transaction Documents, the Securities shall be validly issued, fully paid and non-assessable and free from all preemptive or similar rights, mortgages, defects, claims, liens, pledges, charges, taxes, rights of first refusal, encumbrances, security interests and other encumbrances (collectively “</w:t>
      </w:r>
      <w:r>
        <w:rPr>
          <w:rFonts w:ascii="Arial" w:cs="Arial" w:eastAsia="Arial" w:hAnsi="Arial"/>
          <w:sz w:val="16"/>
          <w:szCs w:val="16"/>
          <w:b w:val="1"/>
          <w:bCs w:val="1"/>
          <w:color w:val="auto"/>
        </w:rPr>
        <w:t>Liens</w:t>
      </w:r>
      <w:r>
        <w:rPr>
          <w:rFonts w:ascii="Arial" w:cs="Arial" w:eastAsia="Arial" w:hAnsi="Arial"/>
          <w:sz w:val="16"/>
          <w:szCs w:val="16"/>
          <w:color w:val="auto"/>
        </w:rPr>
        <w:t>”) with respect to the issuance thereof. As of the Closing Date with respect to which this representation is being made, the Company shall have not less than a number of shares of authorized but unissued Common Stock equal to the sum of (x) 100% of the maximum number of shares of Common Stock as shall be necessary to satisfy the Company’s obligation to issue shares of Common Stock under the Warrants, reserved for the purposes of issuance pursuant to the Warrants, plus (y) following the Company's next annual meeting of stockholders, but in no event later than June 30, 2022, an additional ten million (10,000,000) unreserved shares of Common Stock. Upon issuance in accordance with the Warrants, the Underlying Shares will be validly issued, fully paid and nonassessable and free from all preemptive or similar rights or Liens with respect to the issuance thereof, with the holders being entitled to all rights accorded to a holder of Common Stock. Subject to the accuracy of the representations and warranties of the Buyers in this Agreement, the offer and issuance by the Company of the Securities is exempt from registration under the 1933 Act.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64" w:name="page65"/>
    <w:bookmarkEnd w:id="64"/>
    <w:p>
      <w:pPr>
        <w:ind w:left="-8" w:right="180" w:firstLine="656"/>
        <w:spacing w:after="0" w:line="284" w:lineRule="auto"/>
        <w:tabs>
          <w:tab w:leader="none" w:pos="895"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(including, without limitation, the issuance of the Notes, the Warrants and the Underlying Shares and the reservation for issuance of the Underlying Shares) will not (i) result in a violation of the Articles of Incorporation (as defined below),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w:t>
      </w:r>
    </w:p>
    <w:p>
      <w:pPr>
        <w:spacing w:after="0" w:line="2" w:lineRule="exact"/>
        <w:rPr>
          <w:rFonts w:ascii="Arial" w:cs="Arial" w:eastAsia="Arial" w:hAnsi="Arial"/>
          <w:sz w:val="16"/>
          <w:szCs w:val="16"/>
          <w:color w:val="auto"/>
        </w:rPr>
      </w:pPr>
    </w:p>
    <w:p>
      <w:pPr>
        <w:ind w:left="-8" w:firstLine="8"/>
        <w:spacing w:after="0" w:line="270" w:lineRule="auto"/>
        <w:tabs>
          <w:tab w:leader="none" w:pos="307"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assuming the accuracy of the representations and warranties in Section 2, result in a violation of any law, rule, regulation, order, judgment or decree (including, without limitation, foreign, federal and state securities laws and regulations and the rules and regulations of the Nasdaq Capital Market (the </w:t>
      </w:r>
      <w:r>
        <w:rPr>
          <w:rFonts w:ascii="Arial" w:cs="Arial" w:eastAsia="Arial" w:hAnsi="Arial"/>
          <w:sz w:val="17"/>
          <w:szCs w:val="17"/>
          <w:b w:val="1"/>
          <w:bCs w:val="1"/>
          <w:color w:val="auto"/>
        </w:rPr>
        <w:t>“Principal Market</w:t>
      </w:r>
      <w:r>
        <w:rPr>
          <w:rFonts w:ascii="Arial" w:cs="Arial" w:eastAsia="Arial" w:hAnsi="Arial"/>
          <w:sz w:val="17"/>
          <w:szCs w:val="17"/>
          <w:color w:val="auto"/>
        </w:rPr>
        <w:t>”) and including all applicable foreign, federal and state laws, rules and regulations) applicable to the Company 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or by which any property or asset of the Company or any of its Subsidiaries is bound or affected, assuming, with respect to clauses (ii) and (iii) above, the making of the Required Filings and except in the case of clauses (ii) and (iii) above, for such breaches, violations or conflicts as would not reasonably be expected, individually or in the aggregate, to have a Material Adverse Effect.</w:t>
      </w:r>
    </w:p>
    <w:p>
      <w:pPr>
        <w:spacing w:after="0" w:line="178" w:lineRule="exact"/>
        <w:rPr>
          <w:rFonts w:ascii="Arial" w:cs="Arial" w:eastAsia="Arial" w:hAnsi="Arial"/>
          <w:sz w:val="17"/>
          <w:szCs w:val="17"/>
          <w:color w:val="auto"/>
        </w:rPr>
      </w:pPr>
    </w:p>
    <w:p>
      <w:pPr>
        <w:ind w:left="-8" w:firstLine="656"/>
        <w:spacing w:after="0" w:line="286" w:lineRule="auto"/>
        <w:tabs>
          <w:tab w:leader="none" w:pos="884"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Neither the Company nor any Subsidiary is required to obtain any consent from, authorization or order of, or make any filing or registration with (other than the Required Filings, filings necessary to perfect the Liens granted under the Security Agreements and such consents, authorizations, filings or registrations the absence of which would not, individually or in the aggregate, reasonably be expected to have a Material Adverse Effect), any Governmental Entity or any regulatory or self-regulatory agency or any other Person in order for it to execute, deliver or perform any of its respective obligations under or contemplated by the Transaction Documents, in each case, in accordance with the terms hereof or thereof. To the Company’s knowledge, other than the Required Filings, all consents, authorizations, orders, filings and registrations which the Company or any Subsidiary is required to obtain pursuant to the preceding sentence have been or will be obtained or effected on or prior to the Initial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65" w:name="page66"/>
    <w:bookmarkEnd w:id="65"/>
    <w:p>
      <w:pPr>
        <w:ind w:right="20" w:firstLine="656"/>
        <w:spacing w:after="0" w:line="291" w:lineRule="auto"/>
        <w:tabs>
          <w:tab w:leader="none" w:pos="873"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Buyer’s Purchase of Securities</w:t>
      </w:r>
      <w:r>
        <w:rPr>
          <w:rFonts w:ascii="Arial" w:cs="Arial" w:eastAsia="Arial" w:hAnsi="Arial"/>
          <w:sz w:val="16"/>
          <w:szCs w:val="16"/>
          <w:color w:val="auto"/>
        </w:rPr>
        <w:t>. The Company acknowledges and agrees that each Buyer is acting solely in the capacity of an arm’s length purchaser with respect to the Transaction Documents and the transactions contemplated hereby and thereby and that no Buyer is</w:t>
      </w:r>
    </w:p>
    <w:p>
      <w:pPr>
        <w:ind w:left="220" w:hanging="212"/>
        <w:spacing w:after="0"/>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 officer or director of the Company or any of its Subsidiaries, (ii) an “affiliate” (as defined in Rule 144) of the Company or any of its Subsidiaries or</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its knowledge, a “beneficial owner” of more than 4.99% of the shares of Common Stock (as defined for purposes of Rule 13d-3 of the Securities</w:t>
      </w:r>
    </w:p>
    <w:p>
      <w:pPr>
        <w:spacing w:after="0" w:line="32" w:lineRule="exact"/>
        <w:rPr>
          <w:rFonts w:ascii="Arial" w:cs="Arial" w:eastAsia="Arial" w:hAnsi="Arial"/>
          <w:sz w:val="16"/>
          <w:szCs w:val="16"/>
          <w:color w:val="auto"/>
        </w:rPr>
      </w:pPr>
    </w:p>
    <w:p>
      <w:pPr>
        <w:ind w:right="20"/>
        <w:spacing w:after="0" w:line="270" w:lineRule="auto"/>
        <w:rPr>
          <w:rFonts w:ascii="Arial" w:cs="Arial" w:eastAsia="Arial" w:hAnsi="Arial"/>
          <w:sz w:val="16"/>
          <w:szCs w:val="16"/>
          <w:color w:val="auto"/>
        </w:rPr>
      </w:pPr>
      <w:r>
        <w:rPr>
          <w:rFonts w:ascii="Arial" w:cs="Arial" w:eastAsia="Arial" w:hAnsi="Arial"/>
          <w:sz w:val="17"/>
          <w:szCs w:val="17"/>
          <w:color w:val="auto"/>
        </w:rPr>
        <w:t>Exchange Act of 1934, as amended (the “</w:t>
      </w:r>
      <w:r>
        <w:rPr>
          <w:rFonts w:ascii="Arial" w:cs="Arial" w:eastAsia="Arial" w:hAnsi="Arial"/>
          <w:sz w:val="17"/>
          <w:szCs w:val="17"/>
          <w:b w:val="1"/>
          <w:bCs w:val="1"/>
          <w:color w:val="auto"/>
        </w:rPr>
        <w:t>1934 Act</w:t>
      </w:r>
      <w:r>
        <w:rPr>
          <w:rFonts w:ascii="Arial" w:cs="Arial" w:eastAsia="Arial" w:hAnsi="Arial"/>
          <w:sz w:val="17"/>
          <w:szCs w:val="17"/>
          <w:color w:val="auto"/>
        </w:rPr>
        <w: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w:t>
      </w:r>
    </w:p>
    <w:p>
      <w:pPr>
        <w:spacing w:after="0" w:line="178" w:lineRule="exact"/>
        <w:rPr>
          <w:rFonts w:ascii="Arial" w:cs="Arial" w:eastAsia="Arial" w:hAnsi="Arial"/>
          <w:sz w:val="16"/>
          <w:szCs w:val="16"/>
          <w:color w:val="auto"/>
        </w:rPr>
      </w:pPr>
    </w:p>
    <w:p>
      <w:pPr>
        <w:ind w:firstLine="656"/>
        <w:spacing w:after="0" w:line="254" w:lineRule="auto"/>
        <w:tabs>
          <w:tab w:leader="none" w:pos="903"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No General Solicitation; No Placement Agent</w:t>
      </w:r>
      <w:r>
        <w:rPr>
          <w:rFonts w:ascii="Arial" w:cs="Arial" w:eastAsia="Arial" w:hAnsi="Arial"/>
          <w:sz w:val="18"/>
          <w:szCs w:val="18"/>
          <w:color w:val="auto"/>
        </w:rPr>
        <w:t>. Neither the Company, nor any of its Subsidiaries or affiliates, nor any Person acting on its or their behalf, has engaged in any form of general solicitation or general advertising (within the meaning of Regulation D) in connection with the offer or sale of the Securities. Except for A.G.P./Alliance Global Partners, neither the Company nor any of its Subsidiaries has engaged any placement agent or other agent in connection with the offer or sale of the Securities. The Company shall pay, and hold each Buyer harmless against, any liability, loss or expense (including, without limitation, attorney’s fees and reasonable and documented out-of-pocket expenses) arising in connection with any claim for the payment of any placement agent’s fees, financial advisory fees, or brokers’ commissions (other than for Persons engaged by any Buyer) relating to or arising out of the transactions contemplated hereby.</w:t>
      </w:r>
    </w:p>
    <w:p>
      <w:pPr>
        <w:spacing w:after="0" w:line="194" w:lineRule="exact"/>
        <w:rPr>
          <w:rFonts w:ascii="Arial" w:cs="Arial" w:eastAsia="Arial" w:hAnsi="Arial"/>
          <w:sz w:val="18"/>
          <w:szCs w:val="18"/>
          <w:color w:val="auto"/>
        </w:rPr>
      </w:pPr>
    </w:p>
    <w:p>
      <w:pPr>
        <w:ind w:right="40" w:firstLine="656"/>
        <w:spacing w:after="0" w:line="271" w:lineRule="auto"/>
        <w:tabs>
          <w:tab w:leader="none" w:pos="903"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No Integrated Offering</w:t>
      </w:r>
      <w:r>
        <w:rPr>
          <w:rFonts w:ascii="Arial" w:cs="Arial" w:eastAsia="Arial" w:hAnsi="Arial"/>
          <w:sz w:val="17"/>
          <w:szCs w:val="17"/>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in connection with the offering of the Securities for purposes of the 1933 Act or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has taken or will take any action or steps that would require registration of the issuance of any of the Securities under the 1933 Act or cause the offering of any of the Securities to be integrated with other offerings of securities of the Company.</w:t>
      </w:r>
    </w:p>
    <w:p>
      <w:pPr>
        <w:spacing w:after="0" w:line="178" w:lineRule="exact"/>
        <w:rPr>
          <w:rFonts w:ascii="Arial" w:cs="Arial" w:eastAsia="Arial" w:hAnsi="Arial"/>
          <w:sz w:val="17"/>
          <w:szCs w:val="17"/>
          <w:color w:val="auto"/>
        </w:rPr>
      </w:pPr>
    </w:p>
    <w:p>
      <w:pPr>
        <w:jc w:val="both"/>
        <w:ind w:right="280" w:firstLine="656"/>
        <w:spacing w:after="0" w:line="259" w:lineRule="auto"/>
        <w:tabs>
          <w:tab w:leader="none" w:pos="863"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Dilutive Effect</w:t>
      </w:r>
      <w:r>
        <w:rPr>
          <w:rFonts w:ascii="Arial" w:cs="Arial" w:eastAsia="Arial" w:hAnsi="Arial"/>
          <w:sz w:val="18"/>
          <w:szCs w:val="18"/>
          <w:color w:val="auto"/>
        </w:rPr>
        <w:t>. The Company understands and acknowledges that the number of Underlying Shares will increase in certain circumstances. The Company further acknowledges that its obligation to issue the Underlying Shares pursuant to the terms of the Notes and the Warrants in accordance with this Agreement is absolute and unconditional regardless of the dilutive effect that such issuance may have on the ownership interests of other stockholders of the Company.</w:t>
      </w:r>
    </w:p>
    <w:p>
      <w:pPr>
        <w:spacing w:after="0" w:line="186" w:lineRule="exact"/>
        <w:rPr>
          <w:rFonts w:ascii="Arial" w:cs="Arial" w:eastAsia="Arial" w:hAnsi="Arial"/>
          <w:sz w:val="18"/>
          <w:szCs w:val="18"/>
          <w:color w:val="auto"/>
        </w:rPr>
      </w:pPr>
    </w:p>
    <w:p>
      <w:pPr>
        <w:ind w:firstLine="656"/>
        <w:spacing w:after="0" w:line="275" w:lineRule="auto"/>
        <w:tabs>
          <w:tab w:leader="none" w:pos="863"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Application of Takeover Protections</w:t>
      </w:r>
      <w:r>
        <w:rPr>
          <w:rFonts w:ascii="Arial" w:cs="Arial" w:eastAsia="Arial" w:hAnsi="Arial"/>
          <w:sz w:val="17"/>
          <w:szCs w:val="17"/>
          <w:color w:val="auto"/>
        </w:rPr>
        <w:t>. The Company and its Board of Directors have taken or will take prior to the Initial Closing Date all necessary action, if any, in order to render inapplicable any control share acquisition, interested stockholder, business combination, poison pill, stockholder rights plan or other similar anti-takeover provision under the Articles of Incorporation, Bylaws or other organizational documents or the laws of the jurisdiction of its incorporation which is or could become applicable to any Buyer as a result of the transactions contemplated by this Agreement, including, without limitation, the Company’s issuance of the Securities and any Buyer’s ownership of the Securities.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firstLine="656"/>
        <w:spacing w:after="0" w:line="284" w:lineRule="auto"/>
        <w:tabs>
          <w:tab w:leader="none" w:pos="903"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Except as set forth on Schedule 3(k), during the one (1) year prior to the date hereof and the Closing Date with respect to which this representation is being made, the Company has timely filed all reports, schedules, forms, proxy statements, statements and other documents required to be filed by it with the SEC (other than Section 16 ownership filings) pursuant to the reporting requirements of the 1934 Act (reports filed in compliance with the time period specified in Rule 12b-25 promulgated under the 1934 Act shall be considered timely for this purpose) (all of the foregoing filed prior to the date hereof and the Closing Date with respect to which this representation is being made and all exhibits and appendices included therein and financial statements, notes and schedules thereto and documents incorporated by reference therein being hereinafter referred to as the “</w:t>
      </w:r>
      <w:r>
        <w:rPr>
          <w:rFonts w:ascii="Arial" w:cs="Arial" w:eastAsia="Arial" w:hAnsi="Arial"/>
          <w:sz w:val="16"/>
          <w:szCs w:val="16"/>
          <w:b w:val="1"/>
          <w:bCs w:val="1"/>
          <w:color w:val="auto"/>
        </w:rPr>
        <w:t>SEC</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w:t>
      </w:r>
      <w:r>
        <w:rPr>
          <w:rFonts w:ascii="Arial" w:cs="Arial" w:eastAsia="Arial" w:hAnsi="Arial"/>
          <w:sz w:val="16"/>
          <w:szCs w:val="16"/>
          <w:color w:val="auto"/>
        </w:rPr>
        <w:t>”). The Company has delivered or has made available to the Buyers or their respective representatives true, correct and complete copies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any of the Buyers which is not included in the SEC Documents (including, without limitation, information referred to in Section 2(e)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nor is the Company currently aware of facts or circumstances which would require the Company to amend or restate any of the Financial Statements, in each case, in order for any of the Financials Statements to be in material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left="-8" w:right="120" w:firstLine="656"/>
        <w:spacing w:after="0" w:line="255" w:lineRule="auto"/>
        <w:tabs>
          <w:tab w:leader="none" w:pos="85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the date of the Company’s most recent audited financial statements contained in a Form 10-K, there has been no Material Adverse Effect. Since the date of the Company’s most recent audited financial statements contained in a Form 10-K, neither the Company nor any of its Subsidiaries has (i) declared or paid any dividends, (ii) sold any assets, individually or in the aggregate, outside of the ordinary course of business, (iii) made any capital expenditures, individually or in the aggregate, outside of the ordinary course of business or (iv) made any revaluation of any of their respective assets, including, without limitation, writing down the value of capitalized inventory or writing off notes or accounts receivable or any sale of assets other than in the ordinary course of business.</w:t>
      </w:r>
    </w:p>
    <w:p>
      <w:pPr>
        <w:spacing w:after="0" w:line="192" w:lineRule="exact"/>
        <w:rPr>
          <w:rFonts w:ascii="Arial" w:cs="Arial" w:eastAsia="Arial" w:hAnsi="Arial"/>
          <w:sz w:val="18"/>
          <w:szCs w:val="18"/>
          <w:color w:val="auto"/>
        </w:rPr>
      </w:pPr>
    </w:p>
    <w:p>
      <w:pPr>
        <w:ind w:left="-8" w:right="40" w:firstLine="656"/>
        <w:spacing w:after="0" w:line="283" w:lineRule="auto"/>
        <w:tabs>
          <w:tab w:leader="none" w:pos="945"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Insolvency</w:t>
      </w:r>
      <w:r>
        <w:rPr>
          <w:rFonts w:ascii="Arial" w:cs="Arial" w:eastAsia="Arial" w:hAnsi="Arial"/>
          <w:sz w:val="16"/>
          <w:szCs w:val="16"/>
          <w:color w:val="auto"/>
        </w:rPr>
        <w:t>.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as of the Closing Date with respect to which this representation is being made, and after giving effect to the transactions contemplated hereby to occur on the Closing Date with respect to which this representation is being made, will not be Insolvent (as defined below). For purposes of this Section 3(m), “</w:t>
      </w:r>
      <w:r>
        <w:rPr>
          <w:rFonts w:ascii="Arial" w:cs="Arial" w:eastAsia="Arial" w:hAnsi="Arial"/>
          <w:sz w:val="16"/>
          <w:szCs w:val="16"/>
          <w:b w:val="1"/>
          <w:bCs w:val="1"/>
          <w:color w:val="auto"/>
        </w:rPr>
        <w:t>Insolvent</w:t>
      </w:r>
      <w:r>
        <w:rPr>
          <w:rFonts w:ascii="Arial" w:cs="Arial" w:eastAsia="Arial" w:hAnsi="Arial"/>
          <w:sz w:val="16"/>
          <w:szCs w:val="16"/>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w:t>
      </w:r>
    </w:p>
    <w:p>
      <w:pPr>
        <w:spacing w:after="0" w:line="1" w:lineRule="exact"/>
        <w:rPr>
          <w:rFonts w:ascii="Arial" w:cs="Arial" w:eastAsia="Arial" w:hAnsi="Arial"/>
          <w:sz w:val="16"/>
          <w:szCs w:val="16"/>
          <w:color w:val="auto"/>
        </w:rPr>
      </w:pPr>
    </w:p>
    <w:p>
      <w:pPr>
        <w:ind w:left="-8" w:right="180" w:firstLine="8"/>
        <w:spacing w:after="0" w:line="260" w:lineRule="auto"/>
        <w:tabs>
          <w:tab w:leader="none" w:pos="2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or such Subsidiary (as the case may be) intends to incur or believes that it will incur debts that would be beyond its respective ability to pay as such debts mature.</w:t>
      </w:r>
    </w:p>
    <w:p>
      <w:pPr>
        <w:spacing w:after="0" w:line="185" w:lineRule="exact"/>
        <w:rPr>
          <w:rFonts w:ascii="Arial" w:cs="Arial" w:eastAsia="Arial" w:hAnsi="Arial"/>
          <w:sz w:val="18"/>
          <w:szCs w:val="18"/>
          <w:color w:val="auto"/>
        </w:rPr>
      </w:pPr>
    </w:p>
    <w:p>
      <w:pPr>
        <w:ind w:left="-8" w:firstLine="656"/>
        <w:spacing w:after="0" w:line="254" w:lineRule="auto"/>
        <w:tabs>
          <w:tab w:leader="none" w:pos="89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During the one year prior to the date hereof and prior to the Closing Date with respect to which this representation is being made, (i) the Common Stock has been listed or designated for quotation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each of its Subsidiaries possess all material certificates, authorizations and permits issued by the appropriate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68" w:name="page69"/>
    <w:bookmarkEnd w:id="68"/>
    <w:p>
      <w:pPr>
        <w:ind w:right="40" w:firstLine="656"/>
        <w:spacing w:after="0" w:line="290" w:lineRule="auto"/>
        <w:tabs>
          <w:tab w:leader="none" w:pos="90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any of the Company’s Subsidiaries, nor any director, officer, employee thereof, nor, to the Company’s knowledge, any agent or any other person acting for or on behalf of the foregoing (individually and collectively, a “</w:t>
      </w:r>
      <w:r>
        <w:rPr>
          <w:rFonts w:ascii="Arial" w:cs="Arial" w:eastAsia="Arial" w:hAnsi="Arial"/>
          <w:sz w:val="16"/>
          <w:szCs w:val="16"/>
          <w:b w:val="1"/>
          <w:bCs w:val="1"/>
          <w:color w:val="auto"/>
        </w:rPr>
        <w:t>Company Affiliate</w:t>
      </w:r>
      <w:r>
        <w:rPr>
          <w:rFonts w:ascii="Arial" w:cs="Arial" w:eastAsia="Arial" w:hAnsi="Arial"/>
          <w:sz w:val="16"/>
          <w:szCs w:val="16"/>
          <w:color w:val="auto"/>
        </w:rPr>
        <w:t>”) have violated the U.S. Foreign Corrupt Practices Act or any other applicable anti-bribery or anti-corruption laws (individually and collectively, “</w:t>
      </w:r>
      <w:r>
        <w:rPr>
          <w:rFonts w:ascii="Arial" w:cs="Arial" w:eastAsia="Arial" w:hAnsi="Arial"/>
          <w:sz w:val="16"/>
          <w:szCs w:val="16"/>
          <w:b w:val="1"/>
          <w:bCs w:val="1"/>
          <w:color w:val="auto"/>
        </w:rPr>
        <w:t>Anti-Corruption Laws</w:t>
      </w:r>
      <w:r>
        <w:rPr>
          <w:rFonts w:ascii="Arial" w:cs="Arial" w:eastAsia="Arial" w:hAnsi="Arial"/>
          <w:sz w:val="16"/>
          <w:szCs w:val="16"/>
          <w:color w:val="auto"/>
        </w:rPr>
        <w:t>”), nor, to the Company’s knowledge, has any Company Affiliate offered, paid, promised to pay, or authorized the payment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Arial" w:cs="Arial" w:eastAsia="Arial" w:hAnsi="Arial"/>
          <w:sz w:val="16"/>
          <w:szCs w:val="16"/>
          <w:b w:val="1"/>
          <w:bCs w:val="1"/>
          <w:color w:val="auto"/>
        </w:rPr>
        <w:t>Government Official</w:t>
      </w:r>
      <w:r>
        <w:rPr>
          <w:rFonts w:ascii="Arial" w:cs="Arial" w:eastAsia="Arial" w:hAnsi="Arial"/>
          <w:sz w:val="16"/>
          <w:szCs w:val="16"/>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165" w:lineRule="exact"/>
        <w:rPr>
          <w:rFonts w:ascii="Arial" w:cs="Arial" w:eastAsia="Arial" w:hAnsi="Arial"/>
          <w:sz w:val="16"/>
          <w:szCs w:val="16"/>
          <w:color w:val="auto"/>
        </w:rPr>
      </w:pPr>
    </w:p>
    <w:p>
      <w:pPr>
        <w:ind w:left="660" w:right="40" w:firstLine="644"/>
        <w:spacing w:after="0" w:line="263" w:lineRule="auto"/>
        <w:tabs>
          <w:tab w:leader="none" w:pos="15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83" w:lineRule="exact"/>
        <w:rPr>
          <w:rFonts w:ascii="Arial" w:cs="Arial" w:eastAsia="Arial" w:hAnsi="Arial"/>
          <w:sz w:val="18"/>
          <w:szCs w:val="18"/>
          <w:color w:val="auto"/>
        </w:rPr>
      </w:pPr>
    </w:p>
    <w:p>
      <w:pPr>
        <w:ind w:left="660" w:right="200" w:firstLine="644"/>
        <w:spacing w:after="0" w:line="277" w:lineRule="auto"/>
        <w:tabs>
          <w:tab w:leader="none" w:pos="157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assisting the Company or its Subsidiaries in obtaining or retaining business for or with, or directing business to, the Company or its Subsidiaries.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Neither of the Company nor any of its Subsidiaries will use, directly or indirectly, any part of the proceeds of the offering in any manner that would constitute a violation of Anti-Corruption Laws.</w:t>
      </w:r>
    </w:p>
    <w:p>
      <w:pPr>
        <w:spacing w:after="0" w:line="170" w:lineRule="exact"/>
        <w:rPr>
          <w:sz w:val="20"/>
          <w:szCs w:val="20"/>
          <w:color w:val="auto"/>
        </w:rPr>
      </w:pPr>
    </w:p>
    <w:p>
      <w:pPr>
        <w:ind w:right="400" w:firstLine="656"/>
        <w:spacing w:after="0" w:line="308" w:lineRule="auto"/>
        <w:tabs>
          <w:tab w:leader="none" w:pos="903"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Sarbanes-Oxley Act</w:t>
      </w:r>
      <w:r>
        <w:rPr>
          <w:rFonts w:ascii="Arial" w:cs="Arial" w:eastAsia="Arial" w:hAnsi="Arial"/>
          <w:sz w:val="17"/>
          <w:szCs w:val="17"/>
          <w:color w:val="auto"/>
        </w:rPr>
        <w:t>. The Company and each of its Subsidiaries is in material compliance with any and all applicable requirements of the Sarbanes-Oxley Act of 2002, as amended, and any and all applicable rules and regulations promulgated by the SEC thereunder.</w:t>
      </w:r>
    </w:p>
    <w:p>
      <w:pPr>
        <w:spacing w:after="0" w:line="146" w:lineRule="exact"/>
        <w:rPr>
          <w:rFonts w:ascii="Arial" w:cs="Arial" w:eastAsia="Arial" w:hAnsi="Arial"/>
          <w:sz w:val="17"/>
          <w:szCs w:val="17"/>
          <w:color w:val="auto"/>
        </w:rPr>
      </w:pPr>
    </w:p>
    <w:p>
      <w:pPr>
        <w:ind w:firstLine="656"/>
        <w:spacing w:after="0" w:line="283" w:lineRule="auto"/>
        <w:tabs>
          <w:tab w:leader="none" w:pos="903"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Except as set forth on Schedule 3(q), no current or former employee, partner, director, officer or shareholder (direct or indirect) of the Company or its Subsidiaries, or any associate, or, to the knowledge of the Company, any affiliate of any thereof, or any immediate family member of any of the foregoing, is presently, or during the one-year period prior to the date with respect to which this representation is being made, was, (i) a party to any transaction with the Company or its Subsidiaries (including any contract, agreement or other arrangement providing for the furnishing of services by, or rental of real or personal property from, or otherwise requiring payments to, any such director, officer or shareholder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or ordinary shares, as applicable, of a company whose securities are traded on or quoted through an Eligible Market (as defined below)), nor does any such Person receive income from any source other than the Company or its Subsidiaries which relates to the business of the Company or its Subsidiaries or should properly accrue to the Company or its Subsidiaries. Except as set forth on Schedule 3(q), no employee, officer, shareholder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w:t>
      </w:r>
    </w:p>
    <w:p>
      <w:pPr>
        <w:spacing w:after="0" w:line="1" w:lineRule="exact"/>
        <w:rPr>
          <w:rFonts w:ascii="Arial" w:cs="Arial" w:eastAsia="Arial" w:hAnsi="Arial"/>
          <w:sz w:val="16"/>
          <w:szCs w:val="16"/>
          <w:color w:val="auto"/>
        </w:rPr>
      </w:pPr>
    </w:p>
    <w:p>
      <w:pPr>
        <w:ind w:right="40" w:firstLine="8"/>
        <w:spacing w:after="0" w:line="255" w:lineRule="auto"/>
        <w:tabs>
          <w:tab w:leader="none" w:pos="2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reimbursement for reasonable expenses incurred on behalf of the Company or its Subsidiaries, as the case may be, and (iii) for other standard employee benefits made generally available to all employees or executives (including share option agreements outstanding under any share option plan approved by the Board of Directors of the Company).</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9" w:name="page70"/>
    <w:bookmarkEnd w:id="69"/>
    <w:p>
      <w:pPr>
        <w:ind w:left="224" w:hanging="224"/>
        <w:spacing w:after="0"/>
        <w:tabs>
          <w:tab w:leader="none" w:pos="22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Equity Capitalization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4"/>
        <w:spacing w:after="0" w:line="289" w:lineRule="auto"/>
        <w:tabs>
          <w:tab w:leader="none" w:pos="867"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Authorized and Outstanding Capital Stock</w:t>
      </w:r>
      <w:r>
        <w:rPr>
          <w:rFonts w:ascii="Arial" w:cs="Arial" w:eastAsia="Arial" w:hAnsi="Arial"/>
          <w:sz w:val="16"/>
          <w:szCs w:val="16"/>
          <w:color w:val="auto"/>
        </w:rPr>
        <w:t>. As of the date of this Agreement and as of the Initial Closing, the authorized capital stock of the Company consists of (A) 50,000,000 shares of Common Stock, of which, 26,542,890 are issued and outstanding and 6,832,913 shares are reserved for issuance pursuant to Convertible Securities (as defined below) (other than the Notes and the Warrants) exercisable or exchangeable for, or convertible into, shares of Common Stock and (B) 3,000,000 shares of Preferred Stock, of which no shares are issued and outstanding, 105,000 shares of the Preferred Stock are designated Series A Convertible Preferred Stock. No shares of Common Stock are held in the treasury of the Company. “</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and any rights, warrants or options to subscribe for or purchase shares of Common Stock or Convertible Securities (collectively, “</w:t>
      </w:r>
      <w:r>
        <w:rPr>
          <w:rFonts w:ascii="Arial" w:cs="Arial" w:eastAsia="Arial" w:hAnsi="Arial"/>
          <w:sz w:val="16"/>
          <w:szCs w:val="16"/>
          <w:b w:val="1"/>
          <w:bCs w:val="1"/>
          <w:color w:val="auto"/>
        </w:rPr>
        <w:t>Options</w:t>
      </w:r>
      <w:r>
        <w:rPr>
          <w:rFonts w:ascii="Arial" w:cs="Arial" w:eastAsia="Arial" w:hAnsi="Arial"/>
          <w:sz w:val="16"/>
          <w:szCs w:val="16"/>
          <w:color w:val="auto"/>
        </w:rPr>
        <w:t>”)) or any of its Subsidiaries.</w:t>
      </w:r>
    </w:p>
    <w:p>
      <w:pPr>
        <w:spacing w:after="0" w:line="166" w:lineRule="exact"/>
        <w:rPr>
          <w:rFonts w:ascii="Arial" w:cs="Arial" w:eastAsia="Arial" w:hAnsi="Arial"/>
          <w:sz w:val="16"/>
          <w:szCs w:val="16"/>
          <w:color w:val="auto"/>
        </w:rPr>
      </w:pPr>
    </w:p>
    <w:p>
      <w:pPr>
        <w:ind w:left="4" w:right="40" w:firstLine="644"/>
        <w:spacing w:after="0" w:line="269" w:lineRule="auto"/>
        <w:tabs>
          <w:tab w:leader="none" w:pos="917"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Valid Issuance; Available Shares; Affiliates</w:t>
      </w:r>
      <w:r>
        <w:rPr>
          <w:rFonts w:ascii="Arial" w:cs="Arial" w:eastAsia="Arial" w:hAnsi="Arial"/>
          <w:sz w:val="17"/>
          <w:szCs w:val="17"/>
          <w:color w:val="auto"/>
        </w:rPr>
        <w:t xml:space="preserve">. All of the Company’s outstanding shares are duly authorized and have been validly issued and are fully paid and nonassessable. </w:t>
      </w:r>
      <w:r>
        <w:rPr>
          <w:rFonts w:ascii="Arial" w:cs="Arial" w:eastAsia="Arial" w:hAnsi="Arial"/>
          <w:sz w:val="17"/>
          <w:szCs w:val="17"/>
          <w:u w:val="single" w:color="auto"/>
          <w:color w:val="auto"/>
        </w:rPr>
        <w:t>Schedule 3(r)(ii)</w:t>
      </w:r>
      <w:r>
        <w:rPr>
          <w:rFonts w:ascii="Arial" w:cs="Arial" w:eastAsia="Arial" w:hAnsi="Arial"/>
          <w:sz w:val="17"/>
          <w:szCs w:val="17"/>
          <w:color w:val="auto"/>
        </w:rPr>
        <w:t xml:space="preserve"> sets forth the number of shares of Common Stock that are (A) reserved for issuance pursuant to Convertible Securities (other than the Warrants and the Notes) as of the date hereof and as of the Initial Closing and (B) as of the date hereof and as of the Initial Closing,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as of the date hereof and the Closing Date with respect to which this representation is being made no Person owns 10% or more of the Company’s issued and outstanding shares of Common Stock (calculated based on the assumption that all Convertible Securities,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39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70" w:name="page71"/>
    <w:bookmarkEnd w:id="70"/>
    <w:p>
      <w:pPr>
        <w:ind w:left="4" w:firstLine="644"/>
        <w:spacing w:after="0" w:line="283" w:lineRule="auto"/>
        <w:tabs>
          <w:tab w:leader="none" w:pos="967"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Existing Securities; Obligations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3(r)(iii)</w:t>
      </w:r>
      <w:r>
        <w:rPr>
          <w:rFonts w:ascii="Arial" w:cs="Arial" w:eastAsia="Arial" w:hAnsi="Arial"/>
          <w:sz w:val="16"/>
          <w:szCs w:val="16"/>
          <w:color w:val="auto"/>
        </w:rPr>
        <w:t>: (A) none of the Company’s or any Subsidiary’s shares, interests or capital stock is subject to preemptive rights or any other similar rights or Liens suffered or permitted by the Company or any Subsidiary; (B) other than stock options and restricted stock awarded to employees, directors and consultants of the Company under equity incentive plans adopted by the Board of Directors of the Company and described in the SEC Documents,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1933 Act;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w:t>
      </w:r>
    </w:p>
    <w:p>
      <w:pPr>
        <w:spacing w:after="0" w:line="1" w:lineRule="exact"/>
        <w:rPr>
          <w:rFonts w:ascii="Arial" w:cs="Arial" w:eastAsia="Arial" w:hAnsi="Arial"/>
          <w:sz w:val="16"/>
          <w:szCs w:val="16"/>
          <w:color w:val="auto"/>
        </w:rPr>
      </w:pPr>
    </w:p>
    <w:p>
      <w:pPr>
        <w:ind w:left="4" w:right="480" w:hanging="4"/>
        <w:spacing w:after="0" w:line="260" w:lineRule="auto"/>
        <w:tabs>
          <w:tab w:leader="none" w:pos="269"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neither the Company nor any Subsidiary has any stock appreciation rights or “phantom stock” plans or agreements or any similar plan or agreement.</w:t>
      </w:r>
    </w:p>
    <w:p>
      <w:pPr>
        <w:spacing w:after="0" w:line="185" w:lineRule="exact"/>
        <w:rPr>
          <w:rFonts w:ascii="Arial" w:cs="Arial" w:eastAsia="Arial" w:hAnsi="Arial"/>
          <w:sz w:val="18"/>
          <w:szCs w:val="18"/>
          <w:color w:val="auto"/>
        </w:rPr>
      </w:pPr>
    </w:p>
    <w:p>
      <w:pPr>
        <w:ind w:left="4" w:right="80" w:firstLine="644"/>
        <w:spacing w:after="0" w:line="279" w:lineRule="auto"/>
        <w:tabs>
          <w:tab w:leader="none" w:pos="957"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Company has furnished to the Buyers true, correct and complete copies of the Company’s Articles of Incorporation, as amended and as in effect on the date hereof (the “</w:t>
      </w:r>
      <w:r>
        <w:rPr>
          <w:rFonts w:ascii="Arial" w:cs="Arial" w:eastAsia="Arial" w:hAnsi="Arial"/>
          <w:sz w:val="17"/>
          <w:szCs w:val="17"/>
          <w:b w:val="1"/>
          <w:bCs w:val="1"/>
          <w:color w:val="auto"/>
        </w:rPr>
        <w:t>Articles of Incorporation</w:t>
      </w:r>
      <w:r>
        <w:rPr>
          <w:rFonts w:ascii="Arial" w:cs="Arial" w:eastAsia="Arial" w:hAnsi="Arial"/>
          <w:sz w:val="17"/>
          <w:szCs w:val="17"/>
          <w:color w:val="auto"/>
        </w:rPr>
        <w:t>”) and the Company’s bylaws, as amended and as in effect on the date hereof and the Closing Date with respect to which this representation is being made (the “</w:t>
      </w:r>
      <w:r>
        <w:rPr>
          <w:rFonts w:ascii="Arial" w:cs="Arial" w:eastAsia="Arial" w:hAnsi="Arial"/>
          <w:sz w:val="17"/>
          <w:szCs w:val="17"/>
          <w:b w:val="1"/>
          <w:bCs w:val="1"/>
          <w:color w:val="auto"/>
        </w:rPr>
        <w:t>Bylaws</w:t>
      </w:r>
      <w:r>
        <w:rPr>
          <w:rFonts w:ascii="Arial" w:cs="Arial" w:eastAsia="Arial" w:hAnsi="Arial"/>
          <w:sz w:val="17"/>
          <w:szCs w:val="17"/>
          <w:color w:val="auto"/>
        </w:rPr>
        <w:t>”), and the terms of all Convertible Securities and the material rights of the holders thereof in respect thereto.</w:t>
      </w:r>
    </w:p>
    <w:p>
      <w:pPr>
        <w:spacing w:after="0" w:line="38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1" w:name="page72"/>
    <w:bookmarkEnd w:id="71"/>
    <w:p>
      <w:pPr>
        <w:ind w:left="-40" w:firstLine="656"/>
        <w:spacing w:after="0" w:line="284" w:lineRule="auto"/>
        <w:tabs>
          <w:tab w:leader="none" w:pos="84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Indebtedness and Other Contracts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3(s)</w:t>
      </w:r>
      <w:r>
        <w:rPr>
          <w:rFonts w:ascii="Arial" w:cs="Arial" w:eastAsia="Arial" w:hAnsi="Arial"/>
          <w:sz w:val="16"/>
          <w:szCs w:val="16"/>
          <w:color w:val="auto"/>
        </w:rPr>
        <w:t>, neither the Company nor any of its Subsidiaries (i) has any outstanding debt securities, notes, credit agreements, credit facilities or other agreements, documents or instruments evidencing Indebtedness of the Company or any of its Subsidiaries or by which the Company or any of its Subsidiaries is or may become bound, (ii) has any financing statements securing obligations in any amounts filed against the Company or any of its Subsidiaries or with respect to any of their respective assets;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consistent with past practices and which, individually or in the aggregate, do not or could not have a Material Adverse Effect. For purposes of this Agreement: (x) “</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71" w:lineRule="exact"/>
        <w:rPr>
          <w:rFonts w:ascii="Arial" w:cs="Arial" w:eastAsia="Arial" w:hAnsi="Arial"/>
          <w:sz w:val="16"/>
          <w:szCs w:val="16"/>
          <w:color w:val="auto"/>
        </w:rPr>
      </w:pPr>
    </w:p>
    <w:p>
      <w:pPr>
        <w:ind w:left="-40" w:right="20" w:firstLine="656"/>
        <w:spacing w:after="0" w:line="269" w:lineRule="auto"/>
        <w:tabs>
          <w:tab w:leader="none" w:pos="823"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There is no material action, suit, arbitration, proceeding, or, to the knowledge of the Company,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except as set forth in </w:t>
      </w:r>
      <w:r>
        <w:rPr>
          <w:rFonts w:ascii="Arial" w:cs="Arial" w:eastAsia="Arial" w:hAnsi="Arial"/>
          <w:sz w:val="17"/>
          <w:szCs w:val="17"/>
          <w:u w:val="single" w:color="auto"/>
          <w:color w:val="auto"/>
        </w:rPr>
        <w:t>Schedule 3(t)</w:t>
      </w:r>
      <w:r>
        <w:rPr>
          <w:rFonts w:ascii="Arial" w:cs="Arial" w:eastAsia="Arial" w:hAnsi="Arial"/>
          <w:sz w:val="17"/>
          <w:szCs w:val="17"/>
          <w:color w:val="auto"/>
        </w:rPr>
        <w:t>. To the knowledge of the Company,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contemplated or anticipated, any inquiry or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After reasonable inquiry of its officers (as defined in Rule 16a-1(f) promulgated under the 1934 Act) and members of its Board of Directors,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72" w:name="page73"/>
    <w:bookmarkEnd w:id="72"/>
    <w:p>
      <w:pPr>
        <w:ind w:left="-40" w:right="160" w:firstLine="656"/>
        <w:spacing w:after="0" w:line="255" w:lineRule="auto"/>
        <w:tabs>
          <w:tab w:leader="none" w:pos="863"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of its Subsidiaries has been refused any insurance coverage sought or applied for, and neither the Company nor any of its Subsidiaries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92" w:lineRule="exact"/>
        <w:rPr>
          <w:rFonts w:ascii="Arial" w:cs="Arial" w:eastAsia="Arial" w:hAnsi="Arial"/>
          <w:sz w:val="18"/>
          <w:szCs w:val="18"/>
          <w:color w:val="auto"/>
        </w:rPr>
      </w:pPr>
    </w:p>
    <w:p>
      <w:pPr>
        <w:ind w:left="-40" w:firstLine="656"/>
        <w:spacing w:after="0" w:line="287" w:lineRule="auto"/>
        <w:tabs>
          <w:tab w:leader="none" w:pos="86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Employee Relations</w:t>
      </w:r>
      <w:r>
        <w:rPr>
          <w:rFonts w:ascii="Arial" w:cs="Arial" w:eastAsia="Arial" w:hAnsi="Arial"/>
          <w:sz w:val="16"/>
          <w:szCs w:val="16"/>
          <w:color w:val="auto"/>
        </w:rPr>
        <w:t>. Neither the Company nor any of its Subsidiaries is a party to any collective bargaining agreement or employs any member of a union. The Company and its Subsidiaries believe that their relations with their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To the knowledge of the Company,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material compliance with all applicable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71" w:lineRule="exact"/>
        <w:rPr>
          <w:rFonts w:ascii="Arial" w:cs="Arial" w:eastAsia="Arial" w:hAnsi="Arial"/>
          <w:sz w:val="16"/>
          <w:szCs w:val="16"/>
          <w:color w:val="auto"/>
        </w:rPr>
      </w:pPr>
    </w:p>
    <w:p>
      <w:pPr>
        <w:ind w:left="-40" w:firstLine="656"/>
        <w:spacing w:after="0" w:line="290" w:lineRule="auto"/>
        <w:tabs>
          <w:tab w:leader="none" w:pos="90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Each of the Company and its Subsidiaries holds good title to, or a valid leasehold interests in, all real property, leases in real property, facilities or other interests in real property owned or held by the Company or any of its Subsidiaries that is material to the business of the Company (the “</w:t>
      </w:r>
      <w:r>
        <w:rPr>
          <w:rFonts w:ascii="Arial" w:cs="Arial" w:eastAsia="Arial" w:hAnsi="Arial"/>
          <w:sz w:val="16"/>
          <w:szCs w:val="16"/>
          <w:b w:val="1"/>
          <w:bCs w:val="1"/>
          <w:color w:val="auto"/>
        </w:rPr>
        <w:t>Real Property</w:t>
      </w:r>
      <w:r>
        <w:rPr>
          <w:rFonts w:ascii="Arial" w:cs="Arial" w:eastAsia="Arial" w:hAnsi="Arial"/>
          <w:sz w:val="16"/>
          <w:szCs w:val="16"/>
          <w:color w:val="auto"/>
        </w:rPr>
        <w:t>”). The Real Property is free and clear of all Liens and is not subject to any rights of way, building use restrictions, exceptions, variances, reservations, or limitations of any nature except for (a) Liens for current taxes not yet due, (b) zoning laws and other land use restrictions that do not impair the present or anticipated use of the property subject thereto,(c) those that are not likely, individually or in the aggregate, to result in a Material Adverse Effect, and (d) other Permitted Liens (as defined in the Senior Convertible Notes). Any Real Property held under lease by the Company or any of its Subsidiaries are held by them under valid, subsisting and enforceable leases with such exceptions as are not material and do not interfere in any material respect with the use made and proposed to be made of such property and buildings by the Company or any of its Subsidiaries.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73" w:name="page74"/>
    <w:bookmarkEnd w:id="73"/>
    <w:p>
      <w:pPr>
        <w:ind w:left="-8" w:firstLine="656"/>
        <w:spacing w:after="0" w:line="270" w:lineRule="auto"/>
        <w:tabs>
          <w:tab w:leader="none" w:pos="895"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Fixtures and Equipment</w:t>
      </w:r>
      <w:r>
        <w:rPr>
          <w:rFonts w:ascii="Arial" w:cs="Arial" w:eastAsia="Arial" w:hAnsi="Arial"/>
          <w:sz w:val="17"/>
          <w:szCs w:val="17"/>
          <w:color w:val="auto"/>
        </w:rPr>
        <w:t>. Each of the Company and its Subsidiaries (as applicable) has good title to, or a valid leasehold interest in, the tangible personal property, equipment, improvements, fixtures, and other personal property and appurtenances that are used by the Company and its Subsidiaries to conduct their respective businesses (the “</w:t>
      </w:r>
      <w:r>
        <w:rPr>
          <w:rFonts w:ascii="Arial" w:cs="Arial" w:eastAsia="Arial" w:hAnsi="Arial"/>
          <w:sz w:val="17"/>
          <w:szCs w:val="17"/>
          <w:b w:val="1"/>
          <w:bCs w:val="1"/>
          <w:color w:val="auto"/>
        </w:rPr>
        <w:t>Fixtures and Equipment</w:t>
      </w:r>
      <w:r>
        <w:rPr>
          <w:rFonts w:ascii="Arial" w:cs="Arial" w:eastAsia="Arial" w:hAnsi="Arial"/>
          <w:sz w:val="17"/>
          <w:szCs w:val="17"/>
          <w:color w:val="auto"/>
        </w:rPr>
        <w:t xml:space="preserve">”). The Fixtures and Equipment are structurally sound, are in good operating condition and repair (ordinary wear and tear excepted),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date hereof and the Closing Date with respect to which this representation is being made. Except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3(x)</w:t>
      </w:r>
      <w:r>
        <w:rPr>
          <w:rFonts w:ascii="Arial" w:cs="Arial" w:eastAsia="Arial" w:hAnsi="Arial"/>
          <w:sz w:val="17"/>
          <w:szCs w:val="17"/>
          <w:color w:val="auto"/>
        </w:rPr>
        <w:t>, each of the Company and its Subsidiaries owns all of its Fixtures and Equipment free and clear of all Liens except for (i) Liens for current taxes not yet due,(ii) zoning laws and other land use restrictions that do not impair the present or anticipated use of the property subject thereto and (iii) other Permitted Liens (as defined in the Senior Convertible Notes).</w:t>
      </w:r>
    </w:p>
    <w:p>
      <w:pPr>
        <w:spacing w:after="0" w:line="180" w:lineRule="exact"/>
        <w:rPr>
          <w:rFonts w:ascii="Arial" w:cs="Arial" w:eastAsia="Arial" w:hAnsi="Arial"/>
          <w:sz w:val="17"/>
          <w:szCs w:val="17"/>
          <w:color w:val="auto"/>
        </w:rPr>
      </w:pPr>
    </w:p>
    <w:p>
      <w:pPr>
        <w:ind w:left="-8" w:right="120" w:firstLine="656"/>
        <w:spacing w:after="0" w:line="271" w:lineRule="auto"/>
        <w:tabs>
          <w:tab w:leader="none" w:pos="895"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color w:val="auto"/>
        </w:rPr>
        <w:t>Rights</w:t>
      </w:r>
      <w:r>
        <w:rPr>
          <w:rFonts w:ascii="Arial" w:cs="Arial" w:eastAsia="Arial" w:hAnsi="Arial"/>
          <w:sz w:val="17"/>
          <w:szCs w:val="17"/>
          <w:color w:val="auto"/>
        </w:rPr>
        <w:t>”) necessary to conduct their respective businesses as now conducted. The Company does not have any knowledge of any infringement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except where such claim, action or proceeding is not reasonably likely to result in a Material Adverse Effect. Neither the Company nor any of its Subsidiaries has received any notice alleging any such infringement or claim, action or proceeding.</w:t>
      </w:r>
    </w:p>
    <w:p>
      <w:pPr>
        <w:spacing w:after="0" w:line="178" w:lineRule="exact"/>
        <w:rPr>
          <w:rFonts w:ascii="Arial" w:cs="Arial" w:eastAsia="Arial" w:hAnsi="Arial"/>
          <w:sz w:val="17"/>
          <w:szCs w:val="17"/>
          <w:color w:val="auto"/>
        </w:rPr>
      </w:pPr>
    </w:p>
    <w:p>
      <w:pPr>
        <w:ind w:left="892" w:hanging="244"/>
        <w:spacing w:after="0"/>
        <w:tabs>
          <w:tab w:leader="none" w:pos="892"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(i) The Company and its Subsidiaries (A) are in compliance with any and all Environmental Laws (as defined below),</w:t>
      </w:r>
    </w:p>
    <w:p>
      <w:pPr>
        <w:spacing w:after="0" w:line="46" w:lineRule="exact"/>
        <w:rPr>
          <w:rFonts w:ascii="Arial" w:cs="Arial" w:eastAsia="Arial" w:hAnsi="Arial"/>
          <w:sz w:val="16"/>
          <w:szCs w:val="16"/>
          <w:color w:val="auto"/>
        </w:rPr>
      </w:pPr>
    </w:p>
    <w:p>
      <w:pPr>
        <w:ind w:left="292" w:hanging="292"/>
        <w:spacing w:after="0"/>
        <w:tabs>
          <w:tab w:leader="none" w:pos="292" w:val="left"/>
        </w:tabs>
        <w:numPr>
          <w:ilvl w:val="0"/>
          <w:numId w:val="91"/>
        </w:numPr>
        <w:rPr>
          <w:rFonts w:ascii="Arial" w:cs="Arial" w:eastAsia="Arial" w:hAnsi="Arial"/>
          <w:sz w:val="16"/>
          <w:szCs w:val="16"/>
          <w:color w:val="auto"/>
        </w:rPr>
      </w:pPr>
      <w:r>
        <w:rPr>
          <w:rFonts w:ascii="Arial" w:cs="Arial" w:eastAsia="Arial" w:hAnsi="Arial"/>
          <w:sz w:val="16"/>
          <w:szCs w:val="16"/>
          <w:color w:val="auto"/>
        </w:rPr>
        <w:t>have received all permits, licenses or other approvals required of them under applicable Environmental Laws to conduct their respective businesses and</w:t>
      </w:r>
    </w:p>
    <w:p>
      <w:pPr>
        <w:spacing w:after="0" w:line="32" w:lineRule="exact"/>
        <w:rPr>
          <w:rFonts w:ascii="Arial" w:cs="Arial" w:eastAsia="Arial" w:hAnsi="Arial"/>
          <w:sz w:val="16"/>
          <w:szCs w:val="16"/>
          <w:color w:val="auto"/>
        </w:rPr>
      </w:pPr>
    </w:p>
    <w:p>
      <w:pPr>
        <w:ind w:left="-8" w:right="20" w:firstLine="8"/>
        <w:spacing w:after="0" w:line="268" w:lineRule="auto"/>
        <w:tabs>
          <w:tab w:leader="none" w:pos="277" w:val="left"/>
        </w:tabs>
        <w:numPr>
          <w:ilvl w:val="0"/>
          <w:numId w:val="91"/>
        </w:numPr>
        <w:rPr>
          <w:rFonts w:ascii="Arial" w:cs="Arial" w:eastAsia="Arial" w:hAnsi="Arial"/>
          <w:sz w:val="17"/>
          <w:szCs w:val="17"/>
          <w:color w:val="auto"/>
        </w:rPr>
      </w:pPr>
      <w:r>
        <w:rPr>
          <w:rFonts w:ascii="Arial" w:cs="Arial" w:eastAsia="Arial" w:hAnsi="Arial"/>
          <w:sz w:val="17"/>
          <w:szCs w:val="17"/>
          <w:color w:val="auto"/>
        </w:rPr>
        <w:t>are in compliance with all terms and conditions of any such permit, license or approval where, except in each of the foregoing clauses (A), (B) and (C), where the failure to so comply or having such permits, licenses or other approval would not reasonably be expected to have, individually or in the aggregate, a Material Adverse Effect. The term “</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all federal, state, local or foreign laws or regulations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materials, substances or wastes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or exposure to, Hazardous Materials, as well as all authorizations, codes, decrees, demands or demand letters, injunctions, judgments, licenses, notices or notice letters, orders, permits, plans or regulations issued, entered, promulgated or approved thereunder.</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74" w:name="page75"/>
    <w:bookmarkEnd w:id="74"/>
    <w:p>
      <w:pPr>
        <w:ind w:left="1500" w:hanging="216"/>
        <w:spacing w:after="0"/>
        <w:tabs>
          <w:tab w:leader="none" w:pos="15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 Hazardous Materials:</w:t>
      </w:r>
    </w:p>
    <w:p>
      <w:pPr>
        <w:spacing w:after="0" w:line="225" w:lineRule="exact"/>
        <w:rPr>
          <w:rFonts w:ascii="Arial" w:cs="Arial" w:eastAsia="Arial" w:hAnsi="Arial"/>
          <w:sz w:val="18"/>
          <w:szCs w:val="18"/>
          <w:color w:val="auto"/>
        </w:rPr>
      </w:pPr>
    </w:p>
    <w:p>
      <w:pPr>
        <w:ind w:left="640" w:right="180" w:firstLine="1292"/>
        <w:spacing w:after="0" w:line="277" w:lineRule="auto"/>
        <w:tabs>
          <w:tab w:leader="none" w:pos="2231" w:val="left"/>
        </w:tabs>
        <w:numPr>
          <w:ilvl w:val="2"/>
          <w:numId w:val="92"/>
        </w:numPr>
        <w:rPr>
          <w:rFonts w:ascii="Arial" w:cs="Arial" w:eastAsia="Arial" w:hAnsi="Arial"/>
          <w:sz w:val="18"/>
          <w:szCs w:val="18"/>
          <w:color w:val="auto"/>
        </w:rPr>
      </w:pPr>
      <w:r>
        <w:rPr>
          <w:rFonts w:ascii="Arial" w:cs="Arial" w:eastAsia="Arial" w:hAnsi="Arial"/>
          <w:sz w:val="18"/>
          <w:szCs w:val="18"/>
          <w:color w:val="auto"/>
        </w:rPr>
        <w:t>to the Company’s knowledge, have been disposed of or otherwise released from any Real Property of the Company or any of its Subsidiaries in violation of any Environmental Laws; or</w:t>
      </w:r>
    </w:p>
    <w:p>
      <w:pPr>
        <w:spacing w:after="0" w:line="170" w:lineRule="exact"/>
        <w:rPr>
          <w:rFonts w:ascii="Arial" w:cs="Arial" w:eastAsia="Arial" w:hAnsi="Arial"/>
          <w:sz w:val="18"/>
          <w:szCs w:val="18"/>
          <w:color w:val="auto"/>
        </w:rPr>
      </w:pPr>
    </w:p>
    <w:p>
      <w:pPr>
        <w:ind w:left="640" w:right="20" w:firstLine="1292"/>
        <w:spacing w:after="0" w:line="257" w:lineRule="auto"/>
        <w:tabs>
          <w:tab w:leader="none" w:pos="2221" w:val="left"/>
        </w:tabs>
        <w:numPr>
          <w:ilvl w:val="2"/>
          <w:numId w:val="92"/>
        </w:numPr>
        <w:rPr>
          <w:rFonts w:ascii="Arial" w:cs="Arial" w:eastAsia="Arial" w:hAnsi="Arial"/>
          <w:sz w:val="18"/>
          <w:szCs w:val="18"/>
          <w:color w:val="auto"/>
        </w:rPr>
      </w:pPr>
      <w:r>
        <w:rPr>
          <w:rFonts w:ascii="Arial" w:cs="Arial" w:eastAsia="Arial" w:hAnsi="Arial"/>
          <w:sz w:val="18"/>
          <w:szCs w:val="18"/>
          <w:color w:val="auto"/>
        </w:rPr>
        <w:t>to the Company’s knowledge, are present on, over, beneath, in or upon any Real Property or any portion thereof in quantities that would constitute a violation of any Environmental Laws or in quantities, a manner or location that would reasonably be expected to require remedial action pursuant to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187" w:lineRule="exact"/>
        <w:rPr>
          <w:rFonts w:ascii="Arial" w:cs="Arial" w:eastAsia="Arial" w:hAnsi="Arial"/>
          <w:sz w:val="18"/>
          <w:szCs w:val="18"/>
          <w:color w:val="auto"/>
        </w:rPr>
      </w:pPr>
    </w:p>
    <w:p>
      <w:pPr>
        <w:ind w:left="640" w:right="320" w:firstLine="644"/>
        <w:spacing w:after="0" w:line="263" w:lineRule="auto"/>
        <w:tabs>
          <w:tab w:leader="none" w:pos="1553"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Company’s knowledge, neither the Company nor any of its Subsidiaries knows of any other Person that has stored, treated, recycled, disposed of or otherwise located on any Real Property any Hazardous Materials, including, without limitation, such substances as asbestos and polychlorinated biphenyls.</w:t>
      </w:r>
    </w:p>
    <w:p>
      <w:pPr>
        <w:spacing w:after="0" w:line="183" w:lineRule="exact"/>
        <w:rPr>
          <w:rFonts w:ascii="Arial" w:cs="Arial" w:eastAsia="Arial" w:hAnsi="Arial"/>
          <w:sz w:val="18"/>
          <w:szCs w:val="18"/>
          <w:color w:val="auto"/>
        </w:rPr>
      </w:pPr>
    </w:p>
    <w:p>
      <w:pPr>
        <w:ind w:left="640" w:right="20" w:firstLine="644"/>
        <w:spacing w:after="0" w:line="263" w:lineRule="auto"/>
        <w:tabs>
          <w:tab w:leader="none" w:pos="1603"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knowledge of the Company, none of the Real Property is on any federal or state “Superfund” list or Comprehensive Environmental Response, Compensation and Liability Information System (“</w:t>
      </w:r>
      <w:r>
        <w:rPr>
          <w:rFonts w:ascii="Arial" w:cs="Arial" w:eastAsia="Arial" w:hAnsi="Arial"/>
          <w:sz w:val="18"/>
          <w:szCs w:val="18"/>
          <w:b w:val="1"/>
          <w:bCs w:val="1"/>
          <w:color w:val="auto"/>
        </w:rPr>
        <w:t>CERCLIS</w:t>
      </w:r>
      <w:r>
        <w:rPr>
          <w:rFonts w:ascii="Arial" w:cs="Arial" w:eastAsia="Arial" w:hAnsi="Arial"/>
          <w:sz w:val="18"/>
          <w:szCs w:val="18"/>
          <w:color w:val="auto"/>
        </w:rPr>
        <w:t>”) list or any state environmental agency list of sites under consideration for CERCLIS, nor subject to any environmental related Liens.</w:t>
      </w:r>
    </w:p>
    <w:p>
      <w:pPr>
        <w:spacing w:after="0" w:line="183" w:lineRule="exact"/>
        <w:rPr>
          <w:rFonts w:ascii="Arial" w:cs="Arial" w:eastAsia="Arial" w:hAnsi="Arial"/>
          <w:sz w:val="18"/>
          <w:szCs w:val="18"/>
          <w:color w:val="auto"/>
        </w:rPr>
      </w:pPr>
    </w:p>
    <w:p>
      <w:pPr>
        <w:ind w:left="640" w:right="220" w:firstLine="644"/>
        <w:spacing w:after="0" w:line="263" w:lineRule="auto"/>
        <w:tabs>
          <w:tab w:leader="none" w:pos="1593" w:val="left"/>
        </w:tabs>
        <w:numPr>
          <w:ilvl w:val="1"/>
          <w:numId w:val="92"/>
        </w:numPr>
        <w:rPr>
          <w:rFonts w:ascii="Arial" w:cs="Arial" w:eastAsia="Arial" w:hAnsi="Arial"/>
          <w:sz w:val="18"/>
          <w:szCs w:val="18"/>
          <w:color w:val="auto"/>
        </w:rPr>
      </w:pPr>
      <w:r>
        <w:rPr>
          <w:rFonts w:ascii="Arial" w:cs="Arial" w:eastAsia="Arial" w:hAnsi="Arial"/>
          <w:sz w:val="18"/>
          <w:szCs w:val="18"/>
          <w:color w:val="auto"/>
        </w:rPr>
        <w:t>Neither the Company nor its Subsidiaries is subject to any pending or, to the knowledge of the Company and its Subsidiaries, threatened claim or proceeding to any Environmental Laws, except for any claims or proceeding that would not reasonably be expected to have, individually or in the aggregate, a Material Adverse Effect.</w:t>
      </w:r>
    </w:p>
    <w:p>
      <w:pPr>
        <w:spacing w:after="0" w:line="183" w:lineRule="exact"/>
        <w:rPr>
          <w:rFonts w:ascii="Arial" w:cs="Arial" w:eastAsia="Arial" w:hAnsi="Arial"/>
          <w:sz w:val="18"/>
          <w:szCs w:val="18"/>
          <w:color w:val="auto"/>
        </w:rPr>
      </w:pPr>
    </w:p>
    <w:p>
      <w:pPr>
        <w:ind w:left="-20" w:firstLine="656"/>
        <w:spacing w:after="0" w:line="270" w:lineRule="auto"/>
        <w:tabs>
          <w:tab w:leader="none" w:pos="952"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Except as set forth on Schedule 3(aa), the Company and each of its Subsidiaries (i) has timely made or filed all foreign, federal and state income and all other tax returns, reports and declarations required by any jurisdiction to which it is subject through the date of this Agreement or have requested extensions thereof (except where the failure to file would not, individually or in the aggregate, have a Material Adverse Effect) and (ii) has timely paid all taxes and other governmental assessments and charges shown or determined to be due on such returns, reports and declarations, except those being contested in good faith and for which reserves required by GAAP have been created in the financial statements of the Company or for cases in which the failure to pay would not have a Material Adverse Effect. There is no tax deficiency that has been determined adversely to the Company or any of its Subsidiaries which has had a Material Adverse Effect, nor does the Company or its Subsidiaries have any knowledge or notice of any tax deficiency which could reasonably be expected to be determined adversely to the Company or its Subsidiaries and which could reasonably be expected to have a Material Adverse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75" w:name="page76"/>
    <w:bookmarkEnd w:id="75"/>
    <w:p>
      <w:pPr>
        <w:ind w:firstLine="656"/>
        <w:spacing w:after="0" w:line="286" w:lineRule="auto"/>
        <w:tabs>
          <w:tab w:leader="none" w:pos="993"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Internal Accounting and Disclosure Controls</w:t>
      </w:r>
      <w:r>
        <w:rPr>
          <w:rFonts w:ascii="Arial" w:cs="Arial" w:eastAsia="Arial" w:hAnsi="Arial"/>
          <w:sz w:val="16"/>
          <w:szCs w:val="16"/>
          <w:color w:val="auto"/>
        </w:rPr>
        <w:t>.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GAAP,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Except as set forth on Schedule 3(bb),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Since the filing of the Annual Report on Form 10-K for the year ended December 31, 2019,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167" w:lineRule="exact"/>
        <w:rPr>
          <w:rFonts w:ascii="Arial" w:cs="Arial" w:eastAsia="Arial" w:hAnsi="Arial"/>
          <w:sz w:val="16"/>
          <w:szCs w:val="16"/>
          <w:color w:val="auto"/>
        </w:rPr>
      </w:pPr>
    </w:p>
    <w:p>
      <w:pPr>
        <w:ind w:right="40" w:firstLine="656"/>
        <w:spacing w:after="0" w:line="263" w:lineRule="auto"/>
        <w:tabs>
          <w:tab w:leader="none" w:pos="97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Off Balance Sheet Arrangements</w:t>
      </w:r>
      <w:r>
        <w:rPr>
          <w:rFonts w:ascii="Arial" w:cs="Arial" w:eastAsia="Arial" w:hAnsi="Arial"/>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83" w:lineRule="exact"/>
        <w:rPr>
          <w:rFonts w:ascii="Arial" w:cs="Arial" w:eastAsia="Arial" w:hAnsi="Arial"/>
          <w:sz w:val="18"/>
          <w:szCs w:val="18"/>
          <w:color w:val="auto"/>
        </w:rPr>
      </w:pPr>
    </w:p>
    <w:p>
      <w:pPr>
        <w:jc w:val="both"/>
        <w:ind w:right="200" w:firstLine="656"/>
        <w:spacing w:after="0" w:line="263" w:lineRule="auto"/>
        <w:tabs>
          <w:tab w:leader="none" w:pos="993"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The Company is not, and upon consummation of the sale of the Securities and the application of the proceeds thereof, will not be, an “investment company,” or a company controlled by an “investment company” as such term is defined in the Investment Company Act of 1940, as amended.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left="-40" w:firstLine="656"/>
        <w:spacing w:after="0" w:line="267" w:lineRule="auto"/>
        <w:tabs>
          <w:tab w:leader="none" w:pos="932"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Acknowledgement Regarding Buyers’ Trading Activity</w:t>
      </w:r>
      <w:r>
        <w:rPr>
          <w:rFonts w:ascii="Arial" w:cs="Arial" w:eastAsia="Arial" w:hAnsi="Arial"/>
          <w:sz w:val="17"/>
          <w:szCs w:val="17"/>
          <w:color w:val="auto"/>
        </w:rPr>
        <w:t>. It is understood and acknowledged by the Company that (i) following the public disclosure of the transactions contemplated by the Transaction Documents in the Press Release (as defined below),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shares of Common Stock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Press Release one or more Buyers may engage in hedging and/or trading activities (including, without limitation, the location and/or reservation of borrowable shares of Common Stock) at various times prior to or during the period that the Securities are outstanding, including, without limitation, during the periods that the value and/or number of the Underlying Shares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Notes, the Warrants or any other Transaction Document or any of the documents executed in connection herewith or therewith.</w:t>
      </w:r>
    </w:p>
    <w:p>
      <w:pPr>
        <w:spacing w:after="0" w:line="189" w:lineRule="exact"/>
        <w:rPr>
          <w:rFonts w:ascii="Arial" w:cs="Arial" w:eastAsia="Arial" w:hAnsi="Arial"/>
          <w:sz w:val="17"/>
          <w:szCs w:val="17"/>
          <w:color w:val="auto"/>
        </w:rPr>
      </w:pPr>
    </w:p>
    <w:p>
      <w:pPr>
        <w:ind w:left="-40" w:right="100" w:firstLine="656"/>
        <w:spacing w:after="0" w:line="255" w:lineRule="auto"/>
        <w:tabs>
          <w:tab w:leader="none" w:pos="88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Manipulation of Price</w:t>
      </w:r>
      <w:r>
        <w:rPr>
          <w:rFonts w:ascii="Arial" w:cs="Arial" w:eastAsia="Arial" w:hAnsi="Arial"/>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92" w:lineRule="exact"/>
        <w:rPr>
          <w:rFonts w:ascii="Arial" w:cs="Arial" w:eastAsia="Arial" w:hAnsi="Arial"/>
          <w:sz w:val="18"/>
          <w:szCs w:val="18"/>
          <w:color w:val="auto"/>
        </w:rPr>
      </w:pPr>
    </w:p>
    <w:p>
      <w:pPr>
        <w:ind w:left="-40" w:right="300" w:firstLine="656"/>
        <w:spacing w:after="0" w:line="263" w:lineRule="auto"/>
        <w:tabs>
          <w:tab w:leader="none" w:pos="95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Neither the Company nor any of its Subsidiaries is, or has ever been, and so long as any of the Securities are held by any of the Buyers, shall become, a U.S. real property holding corporation within the meaning of Section 897 of the Code, and the Company and each Subsidiary shall so certify upon any Buyer’s request.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77" w:name="page78"/>
    <w:bookmarkEnd w:id="77"/>
    <w:p>
      <w:pPr>
        <w:ind w:left="-20" w:firstLine="656"/>
        <w:spacing w:after="0" w:line="254" w:lineRule="auto"/>
        <w:tabs>
          <w:tab w:leader="none" w:pos="97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 provided that the Company shall not be required to pay any tax that may be payable in respect of any transfer involved in the issuance and delivery of any Underlying Shares pursuant to the Warrants, in a name other than that of the Buyer of such Warrants or Notes, and the Company shall not be required to issue or deliver such Underlying Shares unless or until the Person or Persons requesting the issuance thereof shall have paid to the Company the amount of such tax or shall have established to the satisfaction of the Company that such tax has been paid.</w:t>
      </w:r>
    </w:p>
    <w:p>
      <w:pPr>
        <w:spacing w:after="0" w:line="194" w:lineRule="exact"/>
        <w:rPr>
          <w:rFonts w:ascii="Arial" w:cs="Arial" w:eastAsia="Arial" w:hAnsi="Arial"/>
          <w:sz w:val="18"/>
          <w:szCs w:val="18"/>
          <w:color w:val="auto"/>
        </w:rPr>
      </w:pPr>
    </w:p>
    <w:p>
      <w:pPr>
        <w:ind w:left="-20" w:right="100" w:firstLine="656"/>
        <w:spacing w:after="0" w:line="255" w:lineRule="auto"/>
        <w:tabs>
          <w:tab w:leader="none" w:pos="89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Bank Holding Company Act</w:t>
      </w:r>
      <w:r>
        <w:rPr>
          <w:rFonts w:ascii="Arial" w:cs="Arial" w:eastAsia="Arial" w:hAnsi="Arial"/>
          <w:sz w:val="18"/>
          <w:szCs w:val="18"/>
          <w:color w:val="auto"/>
        </w:rPr>
        <w:t>. Neither the Company nor any of its Subsidiaries is subject to the Bank Holding Company Act of 1956, as amended (the “</w:t>
      </w:r>
      <w:r>
        <w:rPr>
          <w:rFonts w:ascii="Arial" w:cs="Arial" w:eastAsia="Arial" w:hAnsi="Arial"/>
          <w:sz w:val="18"/>
          <w:szCs w:val="18"/>
          <w:b w:val="1"/>
          <w:bCs w:val="1"/>
          <w:color w:val="auto"/>
        </w:rPr>
        <w:t>BHCA</w:t>
      </w:r>
      <w:r>
        <w:rPr>
          <w:rFonts w:ascii="Arial" w:cs="Arial" w:eastAsia="Arial" w:hAnsi="Arial"/>
          <w:sz w:val="18"/>
          <w:szCs w:val="18"/>
          <w:color w:val="auto"/>
        </w:rPr>
        <w:t>”) and to regulation by the Board of Governors of the Federal Reserve System (the “</w:t>
      </w:r>
      <w:r>
        <w:rPr>
          <w:rFonts w:ascii="Arial" w:cs="Arial" w:eastAsia="Arial" w:hAnsi="Arial"/>
          <w:sz w:val="18"/>
          <w:szCs w:val="18"/>
          <w:b w:val="1"/>
          <w:bCs w:val="1"/>
          <w:color w:val="auto"/>
        </w:rPr>
        <w:t>Federal Reserve</w:t>
      </w:r>
      <w:r>
        <w:rPr>
          <w:rFonts w:ascii="Arial" w:cs="Arial" w:eastAsia="Arial" w:hAnsi="Arial"/>
          <w:sz w:val="18"/>
          <w:szCs w:val="18"/>
          <w:color w:val="auto"/>
        </w:rPr>
        <w:t>”). Neither the Company nor any of its Subsidiaries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exercises a controlling influence over the management or policies of a bank or any entity that is subject to the BHCA and to regulation by the Federal Reserve.</w:t>
      </w:r>
    </w:p>
    <w:p>
      <w:pPr>
        <w:spacing w:after="0" w:line="192" w:lineRule="exact"/>
        <w:rPr>
          <w:rFonts w:ascii="Arial" w:cs="Arial" w:eastAsia="Arial" w:hAnsi="Arial"/>
          <w:sz w:val="18"/>
          <w:szCs w:val="18"/>
          <w:color w:val="auto"/>
        </w:rPr>
      </w:pPr>
    </w:p>
    <w:p>
      <w:pPr>
        <w:ind w:left="900" w:hanging="264"/>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Shell Company Status</w:t>
      </w:r>
      <w:r>
        <w:rPr>
          <w:rFonts w:ascii="Arial" w:cs="Arial" w:eastAsia="Arial" w:hAnsi="Arial"/>
          <w:sz w:val="18"/>
          <w:szCs w:val="18"/>
          <w:color w:val="auto"/>
        </w:rPr>
        <w:t>. The Company is not, and has never been, an issuer identified in, or subject to, Rule 144(i).</w:t>
      </w:r>
    </w:p>
    <w:p>
      <w:pPr>
        <w:spacing w:after="0" w:line="225" w:lineRule="exact"/>
        <w:rPr>
          <w:rFonts w:ascii="Arial" w:cs="Arial" w:eastAsia="Arial" w:hAnsi="Arial"/>
          <w:sz w:val="18"/>
          <w:szCs w:val="18"/>
          <w:color w:val="auto"/>
        </w:rPr>
      </w:pPr>
    </w:p>
    <w:p>
      <w:pPr>
        <w:ind w:left="-20" w:right="80" w:firstLine="656"/>
        <w:spacing w:after="0" w:line="273" w:lineRule="auto"/>
        <w:tabs>
          <w:tab w:leader="none" w:pos="973"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Illegal or Unauthorized Payments; Political Contributions</w:t>
      </w:r>
      <w:r>
        <w:rPr>
          <w:rFonts w:ascii="Arial" w:cs="Arial" w:eastAsia="Arial" w:hAnsi="Arial"/>
          <w:sz w:val="17"/>
          <w:szCs w:val="17"/>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affiliates,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to influence official action or secure an improper advantage, except for personal political contributions not involving the direct or indirect use of funds of the Company or any of its Subsidiaries.</w:t>
      </w:r>
    </w:p>
    <w:p>
      <w:pPr>
        <w:spacing w:after="0" w:line="177" w:lineRule="exact"/>
        <w:rPr>
          <w:rFonts w:ascii="Arial" w:cs="Arial" w:eastAsia="Arial" w:hAnsi="Arial"/>
          <w:sz w:val="17"/>
          <w:szCs w:val="17"/>
          <w:color w:val="auto"/>
        </w:rPr>
      </w:pPr>
    </w:p>
    <w:p>
      <w:pPr>
        <w:ind w:left="-20" w:right="80" w:firstLine="656"/>
        <w:spacing w:after="0" w:line="277" w:lineRule="auto"/>
        <w:tabs>
          <w:tab w:leader="none" w:pos="89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Money Laundering</w:t>
      </w:r>
      <w:r>
        <w:rPr>
          <w:rFonts w:ascii="Arial" w:cs="Arial" w:eastAsia="Arial" w:hAnsi="Arial"/>
          <w:sz w:val="18"/>
          <w:szCs w:val="18"/>
          <w:color w:val="auto"/>
        </w:rPr>
        <w:t>. The operations of the Company and its Subsidiaries are and have been conducted at all times in material compliance with the USA Patriot Act of 2001 and all other applicable U.S. and non-U.S. anti-money laundering laws and regulations.</w:t>
      </w:r>
    </w:p>
    <w:p>
      <w:pPr>
        <w:spacing w:after="0" w:line="170" w:lineRule="exact"/>
        <w:rPr>
          <w:rFonts w:ascii="Arial" w:cs="Arial" w:eastAsia="Arial" w:hAnsi="Arial"/>
          <w:sz w:val="18"/>
          <w:szCs w:val="18"/>
          <w:color w:val="auto"/>
        </w:rPr>
      </w:pPr>
    </w:p>
    <w:p>
      <w:pPr>
        <w:ind w:left="-20" w:right="40" w:firstLine="656"/>
        <w:spacing w:after="0" w:line="270" w:lineRule="auto"/>
        <w:tabs>
          <w:tab w:leader="none" w:pos="1073"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None of the Company, any of its Subsidiaries or any director, officer, employee or, to the knowledge of the Company and its Subsidiaries, agent or other person acting for or on behalf of the foregoing is the subject or target of any economic or financial sanctions imposed, administered or enforced by the United States (including the U.S. Department of the Treasury Office of Foreign Assets Control and the U.S. Department of State)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and each such Person, a “</w:t>
      </w:r>
      <w:r>
        <w:rPr>
          <w:rFonts w:ascii="Arial" w:cs="Arial" w:eastAsia="Arial" w:hAnsi="Arial"/>
          <w:sz w:val="17"/>
          <w:szCs w:val="17"/>
          <w:b w:val="1"/>
          <w:bCs w:val="1"/>
          <w:color w:val="auto"/>
        </w:rPr>
        <w:t>Sanctioned Person</w:t>
      </w:r>
      <w:r>
        <w:rPr>
          <w:rFonts w:ascii="Arial" w:cs="Arial" w:eastAsia="Arial" w:hAnsi="Arial"/>
          <w:sz w:val="17"/>
          <w:szCs w:val="17"/>
          <w:color w:val="auto"/>
        </w:rPr>
        <w:t>”). The operations of the Company and its Subsidiaries are, and have been conducted within the past five (5) years, in compliance with applicable Sanctions. Neither the Company nor any of its Subsidiaries will, directly or indirectly, use any part of the proceeds of this offering, or lend, contribute or otherwise make available such proceeds to any subsidiary, joint venture partner or other Person, to fund or facilitate any dealings or transactions with, involving or for the benefit of any Sanctioned Person, or otherwise in any manner that would constitute or give rise to a violation of any Sanctions by any Person (including any Person participating in the offering, whether as buyer, underwriter, advisor, investor or otherwise).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78" w:name="page79"/>
    <w:bookmarkEnd w:id="78"/>
    <w:p>
      <w:pPr>
        <w:ind w:left="1000" w:hanging="344"/>
        <w:spacing w:after="0"/>
        <w:tabs>
          <w:tab w:leader="none" w:pos="100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Management</w:t>
      </w:r>
      <w:r>
        <w:rPr>
          <w:rFonts w:ascii="Arial" w:cs="Arial" w:eastAsia="Arial" w:hAnsi="Arial"/>
          <w:sz w:val="17"/>
          <w:szCs w:val="17"/>
          <w:color w:val="auto"/>
        </w:rPr>
        <w:t>. During the past one year period, no current or former officer or director, to the knowledge of the Company, has been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subject of:</w:t>
      </w:r>
    </w:p>
    <w:p>
      <w:pPr>
        <w:spacing w:after="0" w:line="210" w:lineRule="exact"/>
        <w:rPr>
          <w:rFonts w:ascii="Arial" w:cs="Arial" w:eastAsia="Arial" w:hAnsi="Arial"/>
          <w:sz w:val="17"/>
          <w:szCs w:val="17"/>
          <w:color w:val="auto"/>
        </w:rPr>
      </w:pPr>
    </w:p>
    <w:p>
      <w:pPr>
        <w:ind w:left="660" w:firstLine="644"/>
        <w:spacing w:after="0" w:line="259" w:lineRule="auto"/>
        <w:tabs>
          <w:tab w:leader="none" w:pos="152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186" w:lineRule="exact"/>
        <w:rPr>
          <w:rFonts w:ascii="Arial" w:cs="Arial" w:eastAsia="Arial" w:hAnsi="Arial"/>
          <w:sz w:val="18"/>
          <w:szCs w:val="18"/>
          <w:color w:val="auto"/>
        </w:rPr>
      </w:pPr>
    </w:p>
    <w:p>
      <w:pPr>
        <w:ind w:left="660" w:right="280" w:firstLine="644"/>
        <w:spacing w:after="0" w:line="277" w:lineRule="auto"/>
        <w:tabs>
          <w:tab w:leader="none" w:pos="157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conviction in a criminal proceeding or a named subject of a pending criminal proceeding (excluding traffic violations that do not relate to driving while intoxicated or driving under the influence);</w:t>
      </w:r>
    </w:p>
    <w:p>
      <w:pPr>
        <w:spacing w:after="0" w:line="170" w:lineRule="exact"/>
        <w:rPr>
          <w:rFonts w:ascii="Arial" w:cs="Arial" w:eastAsia="Arial" w:hAnsi="Arial"/>
          <w:sz w:val="18"/>
          <w:szCs w:val="18"/>
          <w:color w:val="auto"/>
        </w:rPr>
      </w:pPr>
    </w:p>
    <w:p>
      <w:pPr>
        <w:ind w:left="660" w:right="60" w:firstLine="644"/>
        <w:spacing w:after="0" w:line="277" w:lineRule="auto"/>
        <w:tabs>
          <w:tab w:leader="none" w:pos="162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order, judgment or decree, not subsequently reversed, suspended or vacated, of any court of competent jurisdiction, permanently or temporarily enjoining any such person from, or otherwise limiting, the following activities:</w:t>
      </w:r>
    </w:p>
    <w:p>
      <w:pPr>
        <w:spacing w:after="0" w:line="170" w:lineRule="exact"/>
        <w:rPr>
          <w:rFonts w:ascii="Arial" w:cs="Arial" w:eastAsia="Arial" w:hAnsi="Arial"/>
          <w:sz w:val="18"/>
          <w:szCs w:val="18"/>
          <w:color w:val="auto"/>
        </w:rPr>
      </w:pPr>
    </w:p>
    <w:p>
      <w:pPr>
        <w:ind w:left="880" w:right="180" w:firstLine="856"/>
        <w:spacing w:after="0" w:line="257" w:lineRule="auto"/>
        <w:tabs>
          <w:tab w:leader="none" w:pos="1999" w:val="left"/>
        </w:tabs>
        <w:numPr>
          <w:ilvl w:val="2"/>
          <w:numId w:val="97"/>
        </w:numPr>
        <w:rPr>
          <w:rFonts w:ascii="Arial" w:cs="Arial" w:eastAsia="Arial" w:hAnsi="Arial"/>
          <w:sz w:val="18"/>
          <w:szCs w:val="18"/>
          <w:color w:val="auto"/>
        </w:rPr>
      </w:pPr>
      <w:r>
        <w:rPr>
          <w:rFonts w:ascii="Arial" w:cs="Arial" w:eastAsia="Arial" w:hAnsi="Arial"/>
          <w:sz w:val="18"/>
          <w:szCs w:val="18"/>
          <w:color w:val="auto"/>
        </w:rPr>
        <w:t>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87" w:lineRule="exact"/>
        <w:rPr>
          <w:rFonts w:ascii="Arial" w:cs="Arial" w:eastAsia="Arial" w:hAnsi="Arial"/>
          <w:sz w:val="18"/>
          <w:szCs w:val="18"/>
          <w:color w:val="auto"/>
        </w:rPr>
      </w:pPr>
    </w:p>
    <w:p>
      <w:pPr>
        <w:ind w:left="2000" w:hanging="264"/>
        <w:spacing w:after="0"/>
        <w:tabs>
          <w:tab w:leader="none" w:pos="20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Engaging in any particular type of business practice; or</w:t>
      </w:r>
    </w:p>
    <w:p>
      <w:pPr>
        <w:spacing w:after="0" w:line="225" w:lineRule="exact"/>
        <w:rPr>
          <w:rFonts w:ascii="Arial" w:cs="Arial" w:eastAsia="Arial" w:hAnsi="Arial"/>
          <w:sz w:val="18"/>
          <w:szCs w:val="18"/>
          <w:color w:val="auto"/>
        </w:rPr>
      </w:pPr>
    </w:p>
    <w:p>
      <w:pPr>
        <w:ind w:left="880" w:right="560" w:firstLine="856"/>
        <w:spacing w:after="0" w:line="277" w:lineRule="auto"/>
        <w:tabs>
          <w:tab w:leader="none" w:pos="1999" w:val="left"/>
        </w:tabs>
        <w:numPr>
          <w:ilvl w:val="2"/>
          <w:numId w:val="97"/>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securities laws or commodities laws;</w:t>
      </w:r>
    </w:p>
    <w:p>
      <w:pPr>
        <w:spacing w:after="0" w:line="170" w:lineRule="exact"/>
        <w:rPr>
          <w:rFonts w:ascii="Arial" w:cs="Arial" w:eastAsia="Arial" w:hAnsi="Arial"/>
          <w:sz w:val="18"/>
          <w:szCs w:val="18"/>
          <w:color w:val="auto"/>
        </w:rPr>
      </w:pPr>
    </w:p>
    <w:p>
      <w:pPr>
        <w:ind w:left="660" w:right="220" w:firstLine="644"/>
        <w:spacing w:after="0" w:line="263" w:lineRule="auto"/>
        <w:tabs>
          <w:tab w:leader="none" w:pos="161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183" w:lineRule="exact"/>
        <w:rPr>
          <w:rFonts w:ascii="Arial" w:cs="Arial" w:eastAsia="Arial" w:hAnsi="Arial"/>
          <w:sz w:val="18"/>
          <w:szCs w:val="18"/>
          <w:color w:val="auto"/>
        </w:rPr>
      </w:pPr>
    </w:p>
    <w:p>
      <w:pPr>
        <w:ind w:left="660" w:right="320" w:firstLine="644"/>
        <w:spacing w:after="0" w:line="263" w:lineRule="auto"/>
        <w:tabs>
          <w:tab w:leader="none" w:pos="156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83" w:lineRule="exact"/>
        <w:rPr>
          <w:rFonts w:ascii="Arial" w:cs="Arial" w:eastAsia="Arial" w:hAnsi="Arial"/>
          <w:sz w:val="18"/>
          <w:szCs w:val="18"/>
          <w:color w:val="auto"/>
        </w:rPr>
      </w:pPr>
    </w:p>
    <w:p>
      <w:pPr>
        <w:ind w:left="660" w:right="260" w:firstLine="644"/>
        <w:spacing w:after="0" w:line="342" w:lineRule="auto"/>
        <w:tabs>
          <w:tab w:leader="none" w:pos="1613" w:val="left"/>
        </w:tabs>
        <w:numPr>
          <w:ilvl w:val="1"/>
          <w:numId w:val="97"/>
        </w:numPr>
        <w:rPr>
          <w:rFonts w:ascii="Arial" w:cs="Arial" w:eastAsia="Arial" w:hAnsi="Arial"/>
          <w:sz w:val="16"/>
          <w:szCs w:val="16"/>
          <w:color w:val="auto"/>
        </w:rPr>
      </w:pPr>
      <w:r>
        <w:rPr>
          <w:rFonts w:ascii="Arial" w:cs="Arial" w:eastAsia="Arial" w:hAnsi="Arial"/>
          <w:sz w:val="16"/>
          <w:szCs w:val="16"/>
          <w:color w:val="auto"/>
        </w:rPr>
        <w:t>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123" w:lineRule="exact"/>
        <w:rPr>
          <w:rFonts w:ascii="Arial" w:cs="Arial" w:eastAsia="Arial" w:hAnsi="Arial"/>
          <w:sz w:val="16"/>
          <w:szCs w:val="16"/>
          <w:color w:val="auto"/>
        </w:rPr>
      </w:pPr>
    </w:p>
    <w:p>
      <w:pPr>
        <w:ind w:right="220" w:firstLine="656"/>
        <w:spacing w:after="0" w:line="273" w:lineRule="auto"/>
        <w:tabs>
          <w:tab w:leader="none" w:pos="993"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To the Company’s knowledge,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ind w:left="-40" w:firstLine="656"/>
        <w:spacing w:after="0" w:line="285" w:lineRule="auto"/>
        <w:tabs>
          <w:tab w:leader="none" w:pos="9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The information technology assets and equipment, computers, systems, networks, hardware, software, websites, applications, and databases used or owned by, or leased or licensed to, the Company or any of its Subsidiaries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to the Company’s knowledge,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color w:val="auto"/>
        </w:rPr>
        <w:t>HIPAA”</w:t>
      </w:r>
      <w:r>
        <w:rPr>
          <w:rFonts w:ascii="Arial" w:cs="Arial" w:eastAsia="Arial" w:hAnsi="Arial"/>
          <w:sz w:val="16"/>
          <w:szCs w:val="16"/>
          <w:color w:val="auto"/>
        </w:rPr>
        <w:t>); and (iv)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71" w:lineRule="exact"/>
        <w:rPr>
          <w:rFonts w:ascii="Arial" w:cs="Arial" w:eastAsia="Arial" w:hAnsi="Arial"/>
          <w:sz w:val="16"/>
          <w:szCs w:val="16"/>
          <w:color w:val="auto"/>
        </w:rPr>
      </w:pPr>
    </w:p>
    <w:p>
      <w:pPr>
        <w:ind w:left="-40" w:right="20" w:firstLine="656"/>
        <w:spacing w:after="0" w:line="287" w:lineRule="auto"/>
        <w:tabs>
          <w:tab w:leader="none" w:pos="9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Compliance with Data Privacy Laws</w:t>
      </w:r>
      <w:r>
        <w:rPr>
          <w:rFonts w:ascii="Arial" w:cs="Arial" w:eastAsia="Arial" w:hAnsi="Arial"/>
          <w:sz w:val="16"/>
          <w:szCs w:val="16"/>
          <w:color w:val="auto"/>
        </w:rPr>
        <w:t>. The Company and its Subsidiaries are, and at all prior times were, in material compliance with all applicable state and federal data privacy and security laws and regulations, including without limitation HIPAA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and, to the Company’s knowledge, the Company and its Subsidiaries are not subject to any material requirements of the European Union General Data Protection Regulation (EU 2016/679).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Neither the Company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80" w:name="page81"/>
    <w:bookmarkEnd w:id="80"/>
    <w:p>
      <w:pPr>
        <w:ind w:left="-40" w:firstLine="656"/>
        <w:spacing w:after="0" w:line="271" w:lineRule="auto"/>
        <w:tabs>
          <w:tab w:leader="none" w:pos="893"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 Disqualification Event</w:t>
      </w:r>
      <w:r>
        <w:rPr>
          <w:rFonts w:ascii="Arial" w:cs="Arial" w:eastAsia="Arial" w:hAnsi="Arial"/>
          <w:sz w:val="17"/>
          <w:szCs w:val="17"/>
          <w:color w:val="auto"/>
        </w:rPr>
        <w:t>. With respect to Securities to be offered and sold hereunder in reliance on Rule 506(b) under the 1933 Act (“</w:t>
      </w:r>
      <w:r>
        <w:rPr>
          <w:rFonts w:ascii="Arial" w:cs="Arial" w:eastAsia="Arial" w:hAnsi="Arial"/>
          <w:sz w:val="17"/>
          <w:szCs w:val="17"/>
          <w:b w:val="1"/>
          <w:bCs w:val="1"/>
          <w:color w:val="auto"/>
        </w:rPr>
        <w:t>Regulation D Securities</w:t>
      </w:r>
      <w:r>
        <w:rPr>
          <w:rFonts w:ascii="Arial" w:cs="Arial" w:eastAsia="Arial" w:hAnsi="Arial"/>
          <w:sz w:val="17"/>
          <w:szCs w:val="17"/>
          <w:color w:val="auto"/>
        </w:rPr>
        <w:t>”), none of the Company, any of its predecessors, any affiliated issuer, any director, executive officer, other officer of the Company participating in the offering contemplated hereby, or, to the Company’s knowledge,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Arial" w:cs="Arial" w:eastAsia="Arial" w:hAnsi="Arial"/>
          <w:sz w:val="17"/>
          <w:szCs w:val="17"/>
          <w:b w:val="1"/>
          <w:bCs w:val="1"/>
          <w:color w:val="auto"/>
        </w:rPr>
        <w:t>Issuer Covered Person</w:t>
      </w:r>
      <w:r>
        <w:rPr>
          <w:rFonts w:ascii="Arial" w:cs="Arial" w:eastAsia="Arial" w:hAnsi="Arial"/>
          <w:sz w:val="17"/>
          <w:szCs w:val="17"/>
          <w:color w:val="auto"/>
        </w:rPr>
        <w:t>” and, together, “</w:t>
      </w:r>
      <w:r>
        <w:rPr>
          <w:rFonts w:ascii="Arial" w:cs="Arial" w:eastAsia="Arial" w:hAnsi="Arial"/>
          <w:sz w:val="17"/>
          <w:szCs w:val="17"/>
          <w:b w:val="1"/>
          <w:bCs w:val="1"/>
          <w:color w:val="auto"/>
        </w:rPr>
        <w:t>Issuer Covered Persons</w:t>
      </w:r>
      <w:r>
        <w:rPr>
          <w:rFonts w:ascii="Arial" w:cs="Arial" w:eastAsia="Arial" w:hAnsi="Arial"/>
          <w:sz w:val="17"/>
          <w:szCs w:val="17"/>
          <w:color w:val="auto"/>
        </w:rPr>
        <w:t>”) is subject to any Disqualification Event,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178" w:lineRule="exact"/>
        <w:rPr>
          <w:rFonts w:ascii="Arial" w:cs="Arial" w:eastAsia="Arial" w:hAnsi="Arial"/>
          <w:sz w:val="17"/>
          <w:szCs w:val="17"/>
          <w:color w:val="auto"/>
        </w:rPr>
      </w:pPr>
    </w:p>
    <w:p>
      <w:pPr>
        <w:ind w:left="-40" w:right="540" w:firstLine="656"/>
        <w:spacing w:after="0" w:line="308" w:lineRule="auto"/>
        <w:tabs>
          <w:tab w:leader="none" w:pos="913"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Other Covered Persons</w:t>
      </w:r>
      <w:r>
        <w:rPr>
          <w:rFonts w:ascii="Arial" w:cs="Arial" w:eastAsia="Arial" w:hAnsi="Arial"/>
          <w:sz w:val="17"/>
          <w:szCs w:val="17"/>
          <w:color w:val="auto"/>
        </w:rPr>
        <w:t>. The Company is not aware of any Person that has been or will be paid (directly or indirectly) remuneration for solicitation of Buyers or potential purchasers in connection with the sale of any Regulation D Securities.</w:t>
      </w:r>
    </w:p>
    <w:p>
      <w:pPr>
        <w:spacing w:after="0" w:line="146" w:lineRule="exact"/>
        <w:rPr>
          <w:rFonts w:ascii="Arial" w:cs="Arial" w:eastAsia="Arial" w:hAnsi="Arial"/>
          <w:sz w:val="17"/>
          <w:szCs w:val="17"/>
          <w:color w:val="auto"/>
        </w:rPr>
      </w:pPr>
    </w:p>
    <w:p>
      <w:pPr>
        <w:ind w:left="-40" w:right="120" w:firstLine="656"/>
        <w:spacing w:after="0" w:line="263" w:lineRule="auto"/>
        <w:tabs>
          <w:tab w:leader="none" w:pos="87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The application of the proceeds received by the Company from the issuance, sale and delivery of the Notes as described in the Transaction Documents will not violate Regulation T, U or X of the Board of Governors of the Federal Reserve system or any other regulation of such Board of Governors.</w:t>
      </w:r>
    </w:p>
    <w:p>
      <w:pPr>
        <w:spacing w:after="0" w:line="183" w:lineRule="exact"/>
        <w:rPr>
          <w:rFonts w:ascii="Arial" w:cs="Arial" w:eastAsia="Arial" w:hAnsi="Arial"/>
          <w:sz w:val="18"/>
          <w:szCs w:val="18"/>
          <w:color w:val="auto"/>
        </w:rPr>
      </w:pPr>
    </w:p>
    <w:p>
      <w:pPr>
        <w:ind w:left="-40" w:right="20" w:firstLine="656"/>
        <w:spacing w:after="0" w:line="268" w:lineRule="auto"/>
        <w:tabs>
          <w:tab w:leader="none" w:pos="953"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have relied on and will rely on the foregoing representations in effecting transactions in securities of the Company. All disclosure provided in this Agreement and the other Transaction Documents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The Company acknowledges and agrees that no Buyer makes or has made any representations or warranties with respect to the transactions contemplated hereby other than those specifically set forth in Section 2. Except for the representations and warranties contained in this Section 3 (including the related portions of the disclosure schedules), neither the Company nor any other Person has made or makes any other express or implied representation or warranty, either written or oral, on behalf of the Company or any Subsidiary of the Company.</w:t>
      </w:r>
    </w:p>
    <w:p>
      <w:pPr>
        <w:spacing w:after="0" w:line="179" w:lineRule="exact"/>
        <w:rPr>
          <w:rFonts w:ascii="Arial" w:cs="Arial" w:eastAsia="Arial" w:hAnsi="Arial"/>
          <w:sz w:val="17"/>
          <w:szCs w:val="17"/>
          <w:color w:val="auto"/>
        </w:rPr>
      </w:pPr>
    </w:p>
    <w:p>
      <w:pPr>
        <w:ind w:left="-40" w:right="320" w:firstLine="656"/>
        <w:spacing w:after="0" w:line="277" w:lineRule="auto"/>
        <w:tabs>
          <w:tab w:leader="none" w:pos="95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81" w:name="page82"/>
    <w:bookmarkEnd w:id="81"/>
    <w:p>
      <w:pPr>
        <w:ind w:left="652" w:hanging="652"/>
        <w:spacing w:after="0"/>
        <w:tabs>
          <w:tab w:leader="none" w:pos="65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rFonts w:ascii="Arial" w:cs="Arial" w:eastAsia="Arial" w:hAnsi="Arial"/>
          <w:sz w:val="18"/>
          <w:szCs w:val="18"/>
          <w:b w:val="1"/>
          <w:bCs w:val="1"/>
          <w:color w:val="auto"/>
        </w:rPr>
      </w:pPr>
    </w:p>
    <w:p>
      <w:pPr>
        <w:ind w:left="-8" w:right="20" w:firstLine="656"/>
        <w:spacing w:after="0" w:line="263" w:lineRule="auto"/>
        <w:tabs>
          <w:tab w:leader="none" w:pos="884"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Best Efforts</w:t>
      </w:r>
      <w:r>
        <w:rPr>
          <w:rFonts w:ascii="Arial" w:cs="Arial" w:eastAsia="Arial" w:hAnsi="Arial"/>
          <w:sz w:val="18"/>
          <w:szCs w:val="18"/>
          <w:color w:val="auto"/>
        </w:rPr>
        <w:t>. Each Buyer shall use reasonable best efforts to timely satisfy each of the covenants hereunder and conditions to be satisfied by it as provided in Section 6 of this Agreement. The Company shall use reasonable best efforts to timely satisfy each of the covenants hereunder and conditions to be satisfied by it as provided in Section 7 of this Agreement.</w:t>
      </w:r>
    </w:p>
    <w:p>
      <w:pPr>
        <w:spacing w:after="0" w:line="183" w:lineRule="exact"/>
        <w:rPr>
          <w:rFonts w:ascii="Arial" w:cs="Arial" w:eastAsia="Arial" w:hAnsi="Arial"/>
          <w:sz w:val="18"/>
          <w:szCs w:val="18"/>
          <w:color w:val="auto"/>
        </w:rPr>
      </w:pPr>
    </w:p>
    <w:p>
      <w:pPr>
        <w:ind w:left="-8" w:right="20" w:firstLine="656"/>
        <w:spacing w:after="0" w:line="254" w:lineRule="auto"/>
        <w:tabs>
          <w:tab w:leader="none" w:pos="895"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Blue Sky</w:t>
      </w:r>
      <w:r>
        <w:rPr>
          <w:rFonts w:ascii="Arial" w:cs="Arial" w:eastAsia="Arial" w:hAnsi="Arial"/>
          <w:sz w:val="18"/>
          <w:szCs w:val="18"/>
          <w:color w:val="auto"/>
        </w:rPr>
        <w:t>. The Company shall, on or before the Initial Closing Date take such action as the Company shall reasonably determine is necessary in order to obtain an exemption for, or to, qualify the Securities for sale to the Buyers at the Initial Closing, First Subsequent Closing and Second Subsequent Closing pursuant to this Agreement under applicable securities or “Blue Sky” laws of the states of the United States (or to obtain an exemption from such qualification), and shall provide evidence of any such action so taken to the Buyers on or prior to the Initial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91" w:lineRule="exact"/>
        <w:rPr>
          <w:rFonts w:ascii="Arial" w:cs="Arial" w:eastAsia="Arial" w:hAnsi="Arial"/>
          <w:sz w:val="18"/>
          <w:szCs w:val="18"/>
          <w:color w:val="auto"/>
        </w:rPr>
      </w:pPr>
    </w:p>
    <w:p>
      <w:pPr>
        <w:ind w:left="-8" w:right="20" w:firstLine="656"/>
        <w:spacing w:after="0" w:line="296" w:lineRule="auto"/>
        <w:tabs>
          <w:tab w:leader="none" w:pos="884"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Reporting Status</w:t>
      </w:r>
      <w:r>
        <w:rPr>
          <w:rFonts w:ascii="Arial" w:cs="Arial" w:eastAsia="Arial" w:hAnsi="Arial"/>
          <w:sz w:val="16"/>
          <w:szCs w:val="16"/>
          <w:color w:val="auto"/>
        </w:rPr>
        <w:t>. Until the earlier of (i) the date upon which the Buyers shall have sold all of the Securities and (ii) the one-year anniversary of the termination of the Notes and full exercise or expiration of the Warrants (the “</w:t>
      </w:r>
      <w:r>
        <w:rPr>
          <w:rFonts w:ascii="Arial" w:cs="Arial" w:eastAsia="Arial" w:hAnsi="Arial"/>
          <w:sz w:val="16"/>
          <w:szCs w:val="16"/>
          <w:b w:val="1"/>
          <w:bCs w:val="1"/>
          <w:color w:val="auto"/>
        </w:rPr>
        <w:t>Reporting Period</w:t>
      </w:r>
      <w:r>
        <w:rPr>
          <w:rFonts w:ascii="Arial" w:cs="Arial" w:eastAsia="Arial" w:hAnsi="Arial"/>
          <w:sz w:val="16"/>
          <w:szCs w:val="16"/>
          <w:color w:val="auto"/>
        </w:rPr>
        <w:t>”), the Company shall timely file all reports required to be filed with the SEC pursuant to the 1934 Act (reports filed in compliance with the time period specified in Rule 12b-25 promulgated under the 1934 Act shall be considered timely for this purpose), and the Company shall not terminate its status as an issuer required to file reports under the 1934 Act even if the 1934 Act or the rules and regulations thereunder would no longer require or otherwise permit such termination.</w:t>
      </w:r>
    </w:p>
    <w:p>
      <w:pPr>
        <w:spacing w:after="0" w:line="161" w:lineRule="exact"/>
        <w:rPr>
          <w:rFonts w:ascii="Arial" w:cs="Arial" w:eastAsia="Arial" w:hAnsi="Arial"/>
          <w:sz w:val="16"/>
          <w:szCs w:val="16"/>
          <w:color w:val="auto"/>
        </w:rPr>
      </w:pPr>
    </w:p>
    <w:p>
      <w:pPr>
        <w:ind w:left="-8" w:firstLine="656"/>
        <w:spacing w:after="0" w:line="263" w:lineRule="auto"/>
        <w:tabs>
          <w:tab w:leader="none" w:pos="895"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net proceeds from the sale of the Securities to fund working capital and general corporate purposes, but not, directly or indirectly, for (i) the redemption or repurchase of any securities of the Company or any of its Subsidiaries or repayment of any Indebtedness or (ii) the settlement of any outstanding litigation.</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82" w:name="page83"/>
    <w:bookmarkEnd w:id="82"/>
    <w:p>
      <w:pPr>
        <w:ind w:left="-20" w:right="120" w:firstLine="656"/>
        <w:spacing w:after="0" w:line="270" w:lineRule="auto"/>
        <w:tabs>
          <w:tab w:leader="none" w:pos="872"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Financial Information</w:t>
      </w:r>
      <w:r>
        <w:rPr>
          <w:rFonts w:ascii="Arial" w:cs="Arial" w:eastAsia="Arial" w:hAnsi="Arial"/>
          <w:sz w:val="17"/>
          <w:szCs w:val="17"/>
          <w:color w:val="auto"/>
        </w:rPr>
        <w:t>. The Company agrees to send the following to each Buyer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Form S-4) or amendments filed pursuant to the 1933 Act, (ii) unless the following are either filed with the SEC through EDGAR or are otherwise widely disseminated via a recognized news release service (such as PR Newswire), on the same day as the release thereof, facsimile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180" w:lineRule="exact"/>
        <w:rPr>
          <w:rFonts w:ascii="Arial" w:cs="Arial" w:eastAsia="Arial" w:hAnsi="Arial"/>
          <w:sz w:val="17"/>
          <w:szCs w:val="17"/>
          <w:color w:val="auto"/>
        </w:rPr>
      </w:pPr>
    </w:p>
    <w:p>
      <w:pPr>
        <w:ind w:left="-20" w:firstLine="656"/>
        <w:spacing w:after="0" w:line="290" w:lineRule="auto"/>
        <w:tabs>
          <w:tab w:leader="none" w:pos="85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Company shall promptly secure the listing or designation for quotation (as the case may be) of all of the Underlying Shares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Underlying Shares from time to time issuable under the terms of the Transaction Documents on such national securities exchange or automated quotation system. The Company shall maintain the Common Stock’s listing or authorization for quotation (as the case may be) on the Principal Market, The New York Stock Exchange, the NYSE American, the Nasdaq Global Market or the Nasdaq Global Select Market (each, an “</w:t>
      </w:r>
      <w:r>
        <w:rPr>
          <w:rFonts w:ascii="Arial" w:cs="Arial" w:eastAsia="Arial" w:hAnsi="Arial"/>
          <w:sz w:val="16"/>
          <w:szCs w:val="16"/>
          <w:b w:val="1"/>
          <w:bCs w:val="1"/>
          <w:color w:val="auto"/>
        </w:rPr>
        <w:t>Eligible Market</w:t>
      </w:r>
      <w:r>
        <w:rPr>
          <w:rFonts w:ascii="Arial" w:cs="Arial" w:eastAsia="Arial" w:hAnsi="Arial"/>
          <w:sz w:val="16"/>
          <w:szCs w:val="16"/>
          <w:color w:val="auto"/>
        </w:rPr>
        <w:t>”).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4(f).</w:t>
      </w:r>
    </w:p>
    <w:p>
      <w:pPr>
        <w:spacing w:after="0" w:line="165" w:lineRule="exact"/>
        <w:rPr>
          <w:rFonts w:ascii="Arial" w:cs="Arial" w:eastAsia="Arial" w:hAnsi="Arial"/>
          <w:sz w:val="16"/>
          <w:szCs w:val="16"/>
          <w:color w:val="auto"/>
        </w:rPr>
      </w:pPr>
    </w:p>
    <w:p>
      <w:pPr>
        <w:ind w:left="-20" w:right="120" w:firstLine="656"/>
        <w:spacing w:after="0" w:line="287" w:lineRule="auto"/>
        <w:tabs>
          <w:tab w:leader="none" w:pos="88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Company shall pay for the reasonable and documented due diligence and legal fees and expenses incurred by the lead Buyer in connection with the structuring, documentation, negotiation, and closing of the transactions contemplated by the Transaction Documents (and the enforcement thereof by the Buyers), including, without limitation, all consultant fees, all reasonable legal fees and disbursements of Latham &amp; Watkins LLP, counsel to the lead Buyer, and due diligence and regulatory filings in connection therewith (the “</w:t>
      </w:r>
      <w:r>
        <w:rPr>
          <w:rFonts w:ascii="Arial" w:cs="Arial" w:eastAsia="Arial" w:hAnsi="Arial"/>
          <w:sz w:val="16"/>
          <w:szCs w:val="16"/>
          <w:b w:val="1"/>
          <w:bCs w:val="1"/>
          <w:color w:val="auto"/>
        </w:rPr>
        <w:t>Transaction Expenses</w:t>
      </w:r>
      <w:r>
        <w:rPr>
          <w:rFonts w:ascii="Arial" w:cs="Arial" w:eastAsia="Arial" w:hAnsi="Arial"/>
          <w:sz w:val="16"/>
          <w:szCs w:val="16"/>
          <w:color w:val="auto"/>
        </w:rPr>
        <w:t>”) and such Transaction Expenses, to the extent they have not already been paid to the Buyer, may be withheld by the lead Buyer from its Purchase Price at each of the Initial Closing, the First Subsequent Closing and the Second Subsequent Closing. The Company shall be responsible for the payment of any placement agent’s fees, financial advisory fees, transfer agent fees,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fees or broker’s commissions incurred solely by the Company and not for Persons engaged by any Buyer relating to or arising out of the transactions contemplated hereby. The Company shall pay, and hold each Buyer harmless against, any liability, loss or expense (including, without limitation, reasonable attorneys’ fees and reasonable and documented out-of-pocket expenses) arising in connection with any claim relating to any such payment incurred by the Company. Except as otherwise set forth in the Transaction Documents, each party to this Agreement shall bear its own expenses in connection with the sale of the Securities to the Buyers.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3" w:name="page84"/>
    <w:bookmarkEnd w:id="83"/>
    <w:p>
      <w:pPr>
        <w:ind w:left="-40" w:right="60" w:firstLine="656"/>
        <w:spacing w:after="0" w:line="254" w:lineRule="auto"/>
        <w:tabs>
          <w:tab w:leader="none" w:pos="86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Pledge of Securities</w:t>
      </w:r>
      <w:r>
        <w:rPr>
          <w:rFonts w:ascii="Arial" w:cs="Arial" w:eastAsia="Arial" w:hAnsi="Arial"/>
          <w:sz w:val="18"/>
          <w:szCs w:val="18"/>
          <w:color w:val="auto"/>
        </w:rPr>
        <w:t>. Notwithstanding anything to the contrary contained in this Agreement, the Company acknowledges and agrees that the Securities may be pledged by a Buyer in connection with a bona fide margin agreement or other loan or financing arrangement that is secured by the Securities. The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Section 2(g) hereof; provided that a Buyer and its pledgee shall be required to comply with the provisions of Section 2(g) hereof in order to effect a sale, transfer or assignment of Securities to such pledgee. The Company hereby agrees to execute and deliver such documentation as a pledgee of the Securities may reasonably request in connection with a pledge of the Securities to such pledgee by a Buyer.</w:t>
      </w:r>
    </w:p>
    <w:p>
      <w:pPr>
        <w:spacing w:after="0" w:line="191" w:lineRule="exact"/>
        <w:rPr>
          <w:rFonts w:ascii="Arial" w:cs="Arial" w:eastAsia="Arial" w:hAnsi="Arial"/>
          <w:sz w:val="18"/>
          <w:szCs w:val="18"/>
          <w:color w:val="auto"/>
        </w:rPr>
      </w:pPr>
    </w:p>
    <w:p>
      <w:pPr>
        <w:ind w:left="840" w:hanging="224"/>
        <w:spacing w:after="0"/>
        <w:tabs>
          <w:tab w:leader="none" w:pos="8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Disclosure of Transactions and Other Material Information</w:t>
      </w:r>
      <w:r>
        <w:rPr>
          <w:rFonts w:ascii="Arial" w:cs="Arial" w:eastAsia="Arial" w:hAnsi="Arial"/>
          <w:sz w:val="18"/>
          <w:szCs w:val="18"/>
          <w:color w:val="auto"/>
        </w:rPr>
        <w:t>.</w:t>
      </w:r>
    </w:p>
    <w:p>
      <w:pPr>
        <w:spacing w:after="0" w:line="225" w:lineRule="exact"/>
        <w:rPr>
          <w:sz w:val="20"/>
          <w:szCs w:val="20"/>
          <w:color w:val="auto"/>
        </w:rPr>
      </w:pPr>
    </w:p>
    <w:p>
      <w:pPr>
        <w:ind w:left="620" w:right="40" w:firstLine="644"/>
        <w:spacing w:after="0" w:line="291" w:lineRule="auto"/>
        <w:tabs>
          <w:tab w:leader="none" w:pos="1483"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Disclosure of Transaction</w:t>
      </w:r>
      <w:r>
        <w:rPr>
          <w:rFonts w:ascii="Arial" w:cs="Arial" w:eastAsia="Arial" w:hAnsi="Arial"/>
          <w:sz w:val="16"/>
          <w:szCs w:val="16"/>
          <w:color w:val="auto"/>
        </w:rPr>
        <w:t>. No later than 9:30 a.m., New York time, on the first Business Day after the date of this Agreement, the Company shall issue a press release (the “</w:t>
      </w:r>
      <w:r>
        <w:rPr>
          <w:rFonts w:ascii="Arial" w:cs="Arial" w:eastAsia="Arial" w:hAnsi="Arial"/>
          <w:sz w:val="16"/>
          <w:szCs w:val="16"/>
          <w:b w:val="1"/>
          <w:bCs w:val="1"/>
          <w:color w:val="auto"/>
        </w:rPr>
        <w:t>Press Release</w:t>
      </w:r>
      <w:r>
        <w:rPr>
          <w:rFonts w:ascii="Arial" w:cs="Arial" w:eastAsia="Arial" w:hAnsi="Arial"/>
          <w:sz w:val="16"/>
          <w:szCs w:val="16"/>
          <w:color w:val="auto"/>
        </w:rPr>
        <w:t>”) reasonably acceptable to the Buyers disclosing all the material terms of the transactions</w:t>
      </w:r>
    </w:p>
    <w:p>
      <w:pPr>
        <w:ind w:left="620" w:right="20"/>
        <w:spacing w:after="0" w:line="254" w:lineRule="auto"/>
        <w:rPr>
          <w:sz w:val="20"/>
          <w:szCs w:val="20"/>
          <w:color w:val="auto"/>
        </w:rPr>
      </w:pPr>
      <w:r>
        <w:rPr>
          <w:rFonts w:ascii="Arial" w:cs="Arial" w:eastAsia="Arial" w:hAnsi="Arial"/>
          <w:sz w:val="17"/>
          <w:szCs w:val="17"/>
          <w:color w:val="auto"/>
        </w:rPr>
        <w:t>contemplated by the Transaction Documents. No later than 5:30 p.m., New York time, on the fourth (4</w:t>
      </w:r>
      <w:r>
        <w:rPr>
          <w:rFonts w:ascii="Arial" w:cs="Arial" w:eastAsia="Arial" w:hAnsi="Arial"/>
          <w:sz w:val="28"/>
          <w:szCs w:val="28"/>
          <w:color w:val="auto"/>
          <w:vertAlign w:val="superscript"/>
        </w:rPr>
        <w:t>th</w:t>
      </w:r>
      <w:r>
        <w:rPr>
          <w:rFonts w:ascii="Arial" w:cs="Arial" w:eastAsia="Arial" w:hAnsi="Arial"/>
          <w:sz w:val="17"/>
          <w:szCs w:val="17"/>
          <w:color w:val="auto"/>
        </w:rPr>
        <w:t>)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(the “</w:t>
      </w:r>
      <w:r>
        <w:rPr>
          <w:rFonts w:ascii="Arial" w:cs="Arial" w:eastAsia="Arial" w:hAnsi="Arial"/>
          <w:sz w:val="17"/>
          <w:szCs w:val="17"/>
          <w:b w:val="1"/>
          <w:bCs w:val="1"/>
          <w:color w:val="auto"/>
        </w:rPr>
        <w:t>8-K Filing</w:t>
      </w:r>
      <w:r>
        <w:rPr>
          <w:rFonts w:ascii="Arial" w:cs="Arial" w:eastAsia="Arial" w:hAnsi="Arial"/>
          <w:sz w:val="17"/>
          <w:szCs w:val="17"/>
          <w:color w:val="auto"/>
        </w:rPr>
        <w:t>”). From and after the issuance of the Press Release, the Company shall have disclosed all material, non-public information (if any) provided to any of the Buyers by the Company or any of its Subsidiaries or any of their respective officers, directors, employees or agents. In addition, effective upon the issuance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terminated and none of the Buyers have been subject to any such obligation since the issuance of the Press Release.</w:t>
      </w:r>
    </w:p>
    <w:p>
      <w:pPr>
        <w:spacing w:after="0" w:line="190" w:lineRule="exact"/>
        <w:rPr>
          <w:sz w:val="20"/>
          <w:szCs w:val="20"/>
          <w:color w:val="auto"/>
        </w:rPr>
      </w:pPr>
    </w:p>
    <w:p>
      <w:pPr>
        <w:ind w:left="620" w:firstLine="644"/>
        <w:spacing w:after="0" w:line="284" w:lineRule="auto"/>
        <w:tabs>
          <w:tab w:leader="none" w:pos="153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Limitations on Disclosure</w:t>
      </w:r>
      <w:r>
        <w:rPr>
          <w:rFonts w:ascii="Arial" w:cs="Arial" w:eastAsia="Arial" w:hAnsi="Arial"/>
          <w:sz w:val="16"/>
          <w:szCs w:val="16"/>
          <w:color w:val="auto"/>
        </w:rPr>
        <w:t>. Other than as required under the Transaction Documents (but subject to any other disclosure obligations of the Company with respect thereto),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unless prior thereto such Buyer shall have consented in writing to the receipt of such information and agreed with the Company to keep such information confidential. If any material, non-public information is required to be provided by the Company or any of its Subsidiaries to any Buyer pursuant to the Transaction Documents, the Company shall obtain each Buyer’s prior written consent prior to providing such information to such Buyer, and if any Buyer fails to provide such written consent, the Company shall not be deemed to be in breach of any of the Transaction Documents as a result of the failure to provide such information. To the extent that the Company delivers any material, non-public information to a Buyer without such Buyer’s prior written consent in breach of the foregoing sentence, the Company hereby covenants and agrees that such Buyer shall not have any duty of confidentiality with respect to, or a duty not to trade on the basis of, such material, non-public information, provided that the Buyer shall remain subject to applicable law.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8-K Filing and (ii) as is required by applicable law and regulations (provided that in the case of clause (i) above,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except in the 8-K Filing and as otherwise may be required by applicable law or regulations.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84" w:name="page85"/>
    <w:bookmarkEnd w:id="84"/>
    <w:p>
      <w:pPr>
        <w:ind w:left="224" w:hanging="224"/>
        <w:spacing w:after="0"/>
        <w:tabs>
          <w:tab w:leader="none" w:pos="22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Additional Issuance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4"/>
        <w:spacing w:after="0" w:line="283" w:lineRule="auto"/>
        <w:tabs>
          <w:tab w:leader="none" w:pos="86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Company agrees that for (x) the period commencing on the date hereof and ending on the date immediately following the 90th calendar day after the Initial Closing Date, (y) the period commencing on the First Subsequent Closing Determination Date and ending on the date immediately following the 30th calendar day after the First Subsequent Closing Date and (z) the period commencing on the Second Subsequent Closing Determination Date and ending on the date immediately following the 30th calendar day after the Second Subsequent Closing Date (each such period, a “</w:t>
      </w:r>
      <w:r>
        <w:rPr>
          <w:rFonts w:ascii="Arial" w:cs="Arial" w:eastAsia="Arial" w:hAnsi="Arial"/>
          <w:sz w:val="16"/>
          <w:szCs w:val="16"/>
          <w:b w:val="1"/>
          <w:bCs w:val="1"/>
          <w:color w:val="auto"/>
        </w:rPr>
        <w:t>Restricted Period</w:t>
      </w:r>
      <w:r>
        <w:rPr>
          <w:rFonts w:ascii="Arial" w:cs="Arial" w:eastAsia="Arial" w:hAnsi="Arial"/>
          <w:sz w:val="16"/>
          <w:szCs w:val="16"/>
          <w:color w:val="auto"/>
        </w:rPr>
        <w:t>”), neither the Company nor any of its Subsidiaries shall directly or indirectly issue, offer, sell, grant any option or right to purchase, or otherwise dispose of (or register or amend any outstanding registration statements or file any shelf registration statements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any preferred stock or any purchase rights). Notwithstanding the foregoing, this Section 4(j)(i) shall not apply (A) during a Restricted Period in respect of (i) the issuance of Options or Convertible Securities issued under any Approved Stock Plan, so long as the aggregate number of shares issued and issuable pursuant thereto does not exceed 5% of the Common Stock issued and outstanding immediately prior to the date hereof, (ii) the filing of a shelf registration statement on Form S-3 with the SEC concurrently with one of the Resale Registration Statement (as defined below), provided that no offers or sales under such registration statement shall take place during a Restricted Period, or (iii) the issuances of Underlying Shares, (B) during the period commencing thirty (30) days after the effectiveness of the Resale Registration Statement for the Initial Purchased Securities and ending upon the termination of the Restricted Period that commenced upon the date hereof, with respect to shares of Common Stock offered or sold in an offering of solely Common Stock for the purpose of raising capital at a price per share in excess of one hundred twenty percent (120%) of the exercise price of the Initial Purchased Warrant, (C) to Common Stock issued as consideration in acquisitions approved by the Board of Directors; provided such issuance shall only be to a Person (or to the equity holders of a Person) which is, itself or through its subsidiaries,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provided further that such Common Stock is subject to restrictions on transfer during the Restricted Period and are not registered for resale during the Restricted Period or (D) the issuance of shares during the Restricted Periods commencing on the First Subsequent Closing Determination Date or the Second Subsequent Closing Determination Date pursuant to any “at-the-market” program within the meaning of Rule 415(a)(4) of the Securities Act in effect as of the date hereof. An “</w:t>
      </w:r>
      <w:r>
        <w:rPr>
          <w:rFonts w:ascii="Arial" w:cs="Arial" w:eastAsia="Arial" w:hAnsi="Arial"/>
          <w:sz w:val="16"/>
          <w:szCs w:val="16"/>
          <w:b w:val="1"/>
          <w:bCs w:val="1"/>
          <w:color w:val="auto"/>
        </w:rPr>
        <w:t>Approved Stock Plan</w:t>
      </w:r>
      <w:r>
        <w:rPr>
          <w:rFonts w:ascii="Arial" w:cs="Arial" w:eastAsia="Arial" w:hAnsi="Arial"/>
          <w:sz w:val="16"/>
          <w:szCs w:val="16"/>
          <w:color w:val="auto"/>
        </w:rPr>
        <w:t>” means any security-based compensation plan which has been approved by the Board of Directors of the Company prior to the date hereof, or any security-based compensation plan which is approved by the Board of Directors or the compensation committee thereof and the stockholders of the Company after the date hereof, pursuant to which shares of Common Stock, options to purchase Common Stock and other incentive equity awards may be issued to any employee, officer, consultant or director for services provided to the Company in their capacity as such, and not for the purpose of raising capital, pursuant to any consulting agreement, advisory agreement or independent contractor agreement approved by the Board of Directors or the compensation committee thereof.</w:t>
      </w:r>
    </w:p>
    <w:p>
      <w:pPr>
        <w:spacing w:after="0" w:line="187" w:lineRule="exact"/>
        <w:rPr>
          <w:rFonts w:ascii="Arial" w:cs="Arial" w:eastAsia="Arial" w:hAnsi="Arial"/>
          <w:sz w:val="16"/>
          <w:szCs w:val="16"/>
          <w:color w:val="auto"/>
        </w:rPr>
      </w:pPr>
    </w:p>
    <w:p>
      <w:pPr>
        <w:ind w:left="4" w:firstLine="644"/>
        <w:spacing w:after="0" w:line="269" w:lineRule="auto"/>
        <w:tabs>
          <w:tab w:leader="none" w:pos="917" w:val="left"/>
        </w:tabs>
        <w:numPr>
          <w:ilvl w:val="1"/>
          <w:numId w:val="105"/>
        </w:numPr>
        <w:rPr>
          <w:rFonts w:ascii="Arial" w:cs="Arial" w:eastAsia="Arial" w:hAnsi="Arial"/>
          <w:sz w:val="17"/>
          <w:szCs w:val="17"/>
          <w:color w:val="auto"/>
        </w:rPr>
      </w:pPr>
      <w:r>
        <w:rPr>
          <w:rFonts w:ascii="Arial" w:cs="Arial" w:eastAsia="Arial" w:hAnsi="Arial"/>
          <w:sz w:val="17"/>
          <w:szCs w:val="17"/>
          <w:color w:val="auto"/>
        </w:rPr>
        <w:t>So long as any Notes remain outstanding, the Company and each Subsidiary shall be prohibited from effecting, or entering into an agreement directly or indirectly to effect a Variable Rate Transaction (other than with the Buyers as contemplated hereby). “</w:t>
      </w:r>
      <w:r>
        <w:rPr>
          <w:rFonts w:ascii="Arial" w:cs="Arial" w:eastAsia="Arial" w:hAnsi="Arial"/>
          <w:sz w:val="17"/>
          <w:szCs w:val="17"/>
          <w:b w:val="1"/>
          <w:bCs w:val="1"/>
          <w:color w:val="auto"/>
        </w:rPr>
        <w:t>Variable Rate</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means a transaction in which the Company or any Subsidiary (i) issues or sells any Convertible Securities either (A) at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customary adjustments for stock splits, stock dividends, stock combinations, recapitalizations and similar events or (ii) enters into any agreement (including, without limitation, an equity line of credit) whereby the Company or any Subsidiary may sell securities at a future determined price;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avoidance of doubt (x) the entry into any “at-the-market” offering within the meaning of Rule 415(a)(4) of the Securities Act (an “</w:t>
      </w:r>
      <w:r>
        <w:rPr>
          <w:rFonts w:ascii="Arial" w:cs="Arial" w:eastAsia="Arial" w:hAnsi="Arial"/>
          <w:sz w:val="17"/>
          <w:szCs w:val="17"/>
          <w:b w:val="1"/>
          <w:bCs w:val="1"/>
          <w:color w:val="auto"/>
        </w:rPr>
        <w:t>ATM</w:t>
      </w:r>
      <w:r>
        <w:rPr>
          <w:rFonts w:ascii="Arial" w:cs="Arial" w:eastAsia="Arial" w:hAnsi="Arial"/>
          <w:sz w:val="17"/>
          <w:szCs w:val="17"/>
          <w:color w:val="auto"/>
        </w:rPr>
        <w:t xml:space="preserve"> </w:t>
      </w:r>
      <w:r>
        <w:rPr>
          <w:rFonts w:ascii="Arial" w:cs="Arial" w:eastAsia="Arial" w:hAnsi="Arial"/>
          <w:sz w:val="17"/>
          <w:szCs w:val="17"/>
          <w:b w:val="1"/>
          <w:bCs w:val="1"/>
          <w:color w:val="auto"/>
        </w:rPr>
        <w:t>Issuance</w:t>
      </w:r>
      <w:r>
        <w:rPr>
          <w:rFonts w:ascii="Arial" w:cs="Arial" w:eastAsia="Arial" w:hAnsi="Arial"/>
          <w:sz w:val="17"/>
          <w:szCs w:val="17"/>
          <w:color w:val="auto"/>
        </w:rPr>
        <w:t>”) whereby the Company or any Subsidiary may sell securities at a future determined price and any issuance of any securities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shall not be considered a “Variable Rate Transaction”.</w:t>
      </w:r>
    </w:p>
    <w:p>
      <w:pPr>
        <w:spacing w:after="0" w:line="38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85" w:name="page86"/>
    <w:bookmarkEnd w:id="85"/>
    <w:p>
      <w:pPr>
        <w:ind w:left="640" w:right="200" w:firstLine="644"/>
        <w:spacing w:after="0" w:line="263" w:lineRule="auto"/>
        <w:tabs>
          <w:tab w:leader="none" w:pos="160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So long as any Notes or Warrants remain outstanding, the Company will not, without the prior written consent of the Required Holders (as defined below), issue any Notes or Warrants (other than to the Buyers as contemplated hereby) and the Company shall not issue any other securities that would cause a breach or default under the Notes or the Warrants.</w:t>
      </w:r>
    </w:p>
    <w:p>
      <w:pPr>
        <w:spacing w:after="0" w:line="183" w:lineRule="exact"/>
        <w:rPr>
          <w:rFonts w:ascii="Arial" w:cs="Arial" w:eastAsia="Arial" w:hAnsi="Arial"/>
          <w:sz w:val="18"/>
          <w:szCs w:val="18"/>
          <w:color w:val="auto"/>
        </w:rPr>
      </w:pPr>
    </w:p>
    <w:p>
      <w:pPr>
        <w:ind w:left="640" w:right="140" w:firstLine="644"/>
        <w:spacing w:after="0" w:line="277" w:lineRule="auto"/>
        <w:tabs>
          <w:tab w:leader="none" w:pos="159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Each Buyer shall be entitled to obtain injunctive relief against the Company and its Subsidiaries to preclude any issuance prohibited by this Section 4(j), which remedy shall be in addition to any right to collect damages.</w:t>
      </w:r>
    </w:p>
    <w:p>
      <w:pPr>
        <w:spacing w:after="0" w:line="170" w:lineRule="exact"/>
        <w:rPr>
          <w:rFonts w:ascii="Arial" w:cs="Arial" w:eastAsia="Arial" w:hAnsi="Arial"/>
          <w:sz w:val="18"/>
          <w:szCs w:val="18"/>
          <w:color w:val="auto"/>
        </w:rPr>
      </w:pPr>
    </w:p>
    <w:p>
      <w:pPr>
        <w:ind w:left="-20" w:firstLine="656"/>
        <w:spacing w:after="0" w:line="285" w:lineRule="auto"/>
        <w:tabs>
          <w:tab w:leader="none" w:pos="883"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So long as any of the Warrants or the Notes remain outstanding, the Company shall at all times have no less than a number of shares of authorized but unissued Common Stock equal to the sum of (x) 100% of the maximum number of shares of Common Stock as shall be necessary to satisfy the Company’s obligation to issue shares of Common Stock under the Warrants then outstanding, reserved for the purposes of issuance pursuant to the Warrants, plus (y) following the Company's next annual meeting of stockholders, but in no event later than June 30, 2022, an additional ten million (10,000,000) unreserved shares of Common Stock (collectively,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provided that at no time shall the number of shares of Common Stock reserved pursuant to this Section 4(k) be reduced other than in connection with any stock combination, reverse stock split or other similar transaction or proportionally in connection with any issuance of Underlying Shares pursuant to the Warrants. The amounts set forth in clause (x) of the definition of Required Reserve Amount (including, without limitation, each increase in the number of shares so reserved) shall be allocated pro rata among the holders of the Notes based on the number of shares of Common Stock issuable upon conversion of the Warrants held by each holder thereof on the date of issuance of the Notes (without regards to any limitations on conversion) (collectively,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the Notes, pro rata based on the number of shares of Common Stock issuable upon conversion of the Warrants then held by such holders thereof (without regard to any limitations on conversion).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(if required)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6" w:name="page87"/>
    <w:bookmarkEnd w:id="86"/>
    <w:p>
      <w:pPr>
        <w:ind w:left="-20" w:firstLine="656"/>
        <w:spacing w:after="0" w:line="285" w:lineRule="auto"/>
        <w:tabs>
          <w:tab w:leader="none" w:pos="84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Requisite Stockholder Approval</w:t>
      </w:r>
      <w:r>
        <w:rPr>
          <w:rFonts w:ascii="Arial" w:cs="Arial" w:eastAsia="Arial" w:hAnsi="Arial"/>
          <w:sz w:val="16"/>
          <w:szCs w:val="16"/>
          <w:color w:val="auto"/>
        </w:rPr>
        <w:t>. Following the First Subsequent Closing and the Second Subsequent Closing, as applicable, if the exercise price of the Warrant issued at such Closing shall be below the Minimum Price (as defined in Nasdaq Listing Rule 5635(d)) with respect to such Warrant, as measured with respect to the date of the Securities Purchase Agreement, then the Company agrees to use reasonable best efforts to obtain, at the next annual meeting of the stockholders of the Company (at which a quorum is present), but in no event later than the earlier to occur of (i) one hundred eighty days (180 days) after the issuance of such Warrant or (ii) the first annual meeting of stockholders to take place after the issuance of such Warrant (the “</w:t>
      </w:r>
      <w:r>
        <w:rPr>
          <w:rFonts w:ascii="Arial" w:cs="Arial" w:eastAsia="Arial" w:hAnsi="Arial"/>
          <w:sz w:val="16"/>
          <w:szCs w:val="16"/>
          <w:b w:val="1"/>
          <w:bCs w:val="1"/>
          <w:color w:val="auto"/>
        </w:rPr>
        <w:t>Stockholder Meeting</w:t>
      </w:r>
      <w:r>
        <w:rPr>
          <w:rFonts w:ascii="Arial" w:cs="Arial" w:eastAsia="Arial" w:hAnsi="Arial"/>
          <w:sz w:val="16"/>
          <w:szCs w:val="16"/>
          <w:color w:val="auto"/>
        </w:rPr>
        <w:t>”) the Requisite Stockholder Approval (as defined below). The Company will prepare and file with the SEC a proxy statement to be sent to the Company’s stockholders in connection with the Stockholder Meeting (the “</w:t>
      </w:r>
      <w:r>
        <w:rPr>
          <w:rFonts w:ascii="Arial" w:cs="Arial" w:eastAsia="Arial" w:hAnsi="Arial"/>
          <w:sz w:val="16"/>
          <w:szCs w:val="16"/>
          <w:b w:val="1"/>
          <w:bCs w:val="1"/>
          <w:color w:val="auto"/>
        </w:rPr>
        <w:t>Proxy Statement</w:t>
      </w:r>
      <w:r>
        <w:rPr>
          <w:rFonts w:ascii="Arial" w:cs="Arial" w:eastAsia="Arial" w:hAnsi="Arial"/>
          <w:sz w:val="16"/>
          <w:szCs w:val="16"/>
          <w:color w:val="auto"/>
        </w:rPr>
        <w:t>”). The Proxy Statement shall include the Board of Directors’ recommendation that the holders of shares of the Company’s Common Stock vote in favor of the Requisite Stockholder Approval. If the Requisite Stockholder Approval is not obtained at or prior to the Stockholder Meeting, the Company will hold a special meeting of the stockholders of the Company for the purposes of obtaining such Requisite Stockholder Approval no less often than every ninety (90) days following the date of the Stockholder Meeting until the Requisite Stockholder Approval is obtained, and the Board of Directors will recommend that the holders of shares of the Company’s Common Stock vote in favor of the Requisite Stockholder Approval at each such meeting. As used herein, “</w:t>
      </w:r>
      <w:r>
        <w:rPr>
          <w:rFonts w:ascii="Arial" w:cs="Arial" w:eastAsia="Arial" w:hAnsi="Arial"/>
          <w:sz w:val="16"/>
          <w:szCs w:val="16"/>
          <w:b w:val="1"/>
          <w:bCs w:val="1"/>
          <w:color w:val="auto"/>
        </w:rPr>
        <w:t>Requisite Stockholder Approval</w:t>
      </w:r>
      <w:r>
        <w:rPr>
          <w:rFonts w:ascii="Arial" w:cs="Arial" w:eastAsia="Arial" w:hAnsi="Arial"/>
          <w:sz w:val="16"/>
          <w:szCs w:val="16"/>
          <w:color w:val="auto"/>
        </w:rPr>
        <w:t>” means the stockholder approval contemplated by Nasdaq Listing Rule 5635(d) with respect to the issuance of shares of Common Stock pursuant to the Warrants in excess of the limitations imposed by such rule; provided, however, that the Requisite Stockholder Approval will be deemed to be obtained if, due to any amendment or binding change in the interpretation of the applicable listing standards of the Nasdaq Capital Market, such stockholder approval is no longer required for the Company to issue shares Common Stock pursuant to the Warrants. At the Company's next annual meeting of stockholders, but in no event later than June 30, 2022, the Company shall increase its authorized shares of Common Stock to no less than eighty million (80,000,000) shares.</w:t>
      </w:r>
    </w:p>
    <w:p>
      <w:pPr>
        <w:spacing w:after="0" w:line="173" w:lineRule="exact"/>
        <w:rPr>
          <w:rFonts w:ascii="Arial" w:cs="Arial" w:eastAsia="Arial" w:hAnsi="Arial"/>
          <w:sz w:val="16"/>
          <w:szCs w:val="16"/>
          <w:color w:val="auto"/>
        </w:rPr>
      </w:pPr>
    </w:p>
    <w:p>
      <w:pPr>
        <w:ind w:left="-20" w:right="240" w:firstLine="656"/>
        <w:spacing w:after="0" w:line="342" w:lineRule="auto"/>
        <w:tabs>
          <w:tab w:leader="none" w:pos="93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None of the Company or any of its Subsidiaries shall violate any law, ordinance or regulation of any Governmental Entity, except where such violations would not reasonably be expected to result, either individually or in the aggregate, in a Material Adverse Effect.</w:t>
      </w:r>
    </w:p>
    <w:p>
      <w:pPr>
        <w:spacing w:after="0" w:line="123" w:lineRule="exact"/>
        <w:rPr>
          <w:rFonts w:ascii="Arial" w:cs="Arial" w:eastAsia="Arial" w:hAnsi="Arial"/>
          <w:sz w:val="16"/>
          <w:szCs w:val="16"/>
          <w:color w:val="auto"/>
        </w:rPr>
      </w:pPr>
    </w:p>
    <w:p>
      <w:pPr>
        <w:ind w:left="-20" w:right="20" w:firstLine="656"/>
        <w:spacing w:after="0" w:line="263" w:lineRule="auto"/>
        <w:tabs>
          <w:tab w:leader="none" w:pos="883"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Passive Foreign Investment Company</w:t>
      </w:r>
      <w:r>
        <w:rPr>
          <w:rFonts w:ascii="Arial" w:cs="Arial" w:eastAsia="Arial" w:hAnsi="Arial"/>
          <w:sz w:val="18"/>
          <w:szCs w:val="18"/>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7" w:name="page88"/>
    <w:bookmarkEnd w:id="87"/>
    <w:p>
      <w:pPr>
        <w:ind w:left="-20" w:right="80" w:firstLine="656"/>
        <w:spacing w:after="0" w:line="272" w:lineRule="auto"/>
        <w:tabs>
          <w:tab w:leader="none" w:pos="883"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Restriction on Redemption and Cash Dividends</w:t>
      </w:r>
      <w:r>
        <w:rPr>
          <w:rFonts w:ascii="Arial" w:cs="Arial" w:eastAsia="Arial" w:hAnsi="Arial"/>
          <w:sz w:val="17"/>
          <w:szCs w:val="17"/>
          <w:color w:val="auto"/>
        </w:rPr>
        <w:t>. So long as any of the Notes are outstanding, except as otherwise permitted under the Notes, the Company shall not, directly or indirectly, redeem, or declare or pay any cash dividend or distribution on, any securities of the Company without the prior express written consent of the Required Holders (other than as required by the Notes or as required by the terms thereof as in effect on the date hereof); provided, however, that such written consent shall not be required for any repurchases, forfeitures, withholdings or transfers of securities pursuant to a net exercise of a Convertible Security to cover the payment of the exercise prices or the payment of withholding of taxes associated with the exercise or vesting of equity awards under any equity compensation plan of the Company or repurchases of Common Stock upon an employee’s, contractor’s or consultant’s termination of services pursuant to agreements outstanding as of the date of this Agreement.</w:t>
      </w:r>
    </w:p>
    <w:p>
      <w:pPr>
        <w:spacing w:after="0" w:line="177" w:lineRule="exact"/>
        <w:rPr>
          <w:rFonts w:ascii="Arial" w:cs="Arial" w:eastAsia="Arial" w:hAnsi="Arial"/>
          <w:sz w:val="17"/>
          <w:szCs w:val="17"/>
          <w:color w:val="auto"/>
        </w:rPr>
      </w:pPr>
    </w:p>
    <w:p>
      <w:pPr>
        <w:ind w:left="-20" w:right="260" w:firstLine="656"/>
        <w:spacing w:after="0" w:line="311" w:lineRule="auto"/>
        <w:tabs>
          <w:tab w:leader="none" w:pos="88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Corporate Existence</w:t>
      </w:r>
      <w:r>
        <w:rPr>
          <w:rFonts w:ascii="Arial" w:cs="Arial" w:eastAsia="Arial" w:hAnsi="Arial"/>
          <w:sz w:val="16"/>
          <w:szCs w:val="16"/>
          <w:color w:val="auto"/>
        </w:rPr>
        <w:t>. So long as any Notes or Warrants remain outstanding, the Company shall not be party to any Fundamental Change (as defined in the Notes) or a Fundamental Transaction (as defined in the Warrants) unless the Company is in compliance with the applicable provisions governing Fundamental Changes set forth in the Notes and the applicable provisions governing Fundamental Transactions set forth in the Warrants.</w:t>
      </w:r>
    </w:p>
    <w:p>
      <w:pPr>
        <w:spacing w:after="0" w:line="148" w:lineRule="exact"/>
        <w:rPr>
          <w:rFonts w:ascii="Arial" w:cs="Arial" w:eastAsia="Arial" w:hAnsi="Arial"/>
          <w:sz w:val="16"/>
          <w:szCs w:val="16"/>
          <w:color w:val="auto"/>
        </w:rPr>
      </w:pPr>
    </w:p>
    <w:p>
      <w:pPr>
        <w:ind w:left="-20" w:right="300" w:firstLine="656"/>
        <w:spacing w:after="0" w:line="275" w:lineRule="auto"/>
        <w:tabs>
          <w:tab w:leader="none" w:pos="883"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Exercise Procedures</w:t>
      </w:r>
      <w:r>
        <w:rPr>
          <w:rFonts w:ascii="Arial" w:cs="Arial" w:eastAsia="Arial" w:hAnsi="Arial"/>
          <w:sz w:val="17"/>
          <w:szCs w:val="17"/>
          <w:color w:val="auto"/>
        </w:rPr>
        <w:t>. The form of exercise notice included in the Warrants sets forth the totality of the procedures required of the Buyers in order to exercise the Warrants. Except as set forth in Section 5(c), no additional legal opinion, other information or instructions shall be required of the Buyers to exercise their Warrants. The Company shall honor exercises of the Warrants and shall deliver the Underlying Shares in accordance with the terms, conditions and time periods set forth in the Warrants . Except as explicitly set forth in the Warrants , no legal opinion, information or instructions shall be required of the Buyers to receive Underlying Shares pursuant to the Warrants.</w:t>
      </w:r>
    </w:p>
    <w:p>
      <w:pPr>
        <w:spacing w:after="0" w:line="176" w:lineRule="exact"/>
        <w:rPr>
          <w:rFonts w:ascii="Arial" w:cs="Arial" w:eastAsia="Arial" w:hAnsi="Arial"/>
          <w:sz w:val="17"/>
          <w:szCs w:val="17"/>
          <w:color w:val="auto"/>
        </w:rPr>
      </w:pPr>
    </w:p>
    <w:p>
      <w:pPr>
        <w:ind w:left="-20" w:firstLine="656"/>
        <w:spacing w:after="0" w:line="277" w:lineRule="auto"/>
        <w:tabs>
          <w:tab w:leader="none" w:pos="85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Regulation M</w:t>
      </w:r>
      <w:r>
        <w:rPr>
          <w:rFonts w:ascii="Arial" w:cs="Arial" w:eastAsia="Arial" w:hAnsi="Arial"/>
          <w:sz w:val="18"/>
          <w:szCs w:val="18"/>
          <w:color w:val="auto"/>
        </w:rPr>
        <w:t>. The Company will not take any action prohibited by Regulation M under the 1934 Act, in connection with the distribution of the Securities contemplated hereby.</w:t>
      </w:r>
    </w:p>
    <w:p>
      <w:pPr>
        <w:spacing w:after="0" w:line="170" w:lineRule="exact"/>
        <w:rPr>
          <w:rFonts w:ascii="Arial" w:cs="Arial" w:eastAsia="Arial" w:hAnsi="Arial"/>
          <w:sz w:val="18"/>
          <w:szCs w:val="18"/>
          <w:color w:val="auto"/>
        </w:rPr>
      </w:pPr>
    </w:p>
    <w:p>
      <w:pPr>
        <w:ind w:left="-20" w:right="140" w:firstLine="656"/>
        <w:spacing w:after="0" w:line="257" w:lineRule="auto"/>
        <w:tabs>
          <w:tab w:leader="none" w:pos="86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None of the Company, any of its affiliates (as defined in Rule 501(b) under the 1933 Act) or any person acting on behalf of the Company or such affiliate will solicit any offer to buy or offer to sell the Securities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187" w:lineRule="exact"/>
        <w:rPr>
          <w:rFonts w:ascii="Arial" w:cs="Arial" w:eastAsia="Arial" w:hAnsi="Arial"/>
          <w:sz w:val="18"/>
          <w:szCs w:val="18"/>
          <w:color w:val="auto"/>
        </w:rPr>
      </w:pPr>
    </w:p>
    <w:p>
      <w:pPr>
        <w:ind w:left="-20" w:right="60" w:firstLine="656"/>
        <w:spacing w:after="0" w:line="255" w:lineRule="auto"/>
        <w:tabs>
          <w:tab w:leader="none" w:pos="84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stockholder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88" w:name="page89"/>
    <w:bookmarkEnd w:id="88"/>
    <w:p>
      <w:pPr>
        <w:ind w:left="-20" w:right="40" w:firstLine="656"/>
        <w:spacing w:after="0" w:line="257" w:lineRule="auto"/>
        <w:tabs>
          <w:tab w:leader="none" w:pos="88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Right to Participate</w:t>
      </w:r>
      <w:r>
        <w:rPr>
          <w:rFonts w:ascii="Arial" w:cs="Arial" w:eastAsia="Arial" w:hAnsi="Arial"/>
          <w:sz w:val="18"/>
          <w:szCs w:val="18"/>
          <w:color w:val="auto"/>
        </w:rPr>
        <w:t>. Until the date the Notes are no longer outstanding the Company will not, directly or indirectly, offer, sell, grant any option to purchase, or otherwise dispose of (or announce any offer, sale, grant or any option to purchase or other disposition of) any of its or any Subsidiaries’ debt, equity (other than an offering of solely Common Stock), or equity-linked securities, including without limitation any debt, preferred stock or other instrument or security (any such offer, sale, grant, disposition or announcement being referred to as a “</w:t>
      </w:r>
      <w:r>
        <w:rPr>
          <w:rFonts w:ascii="Arial" w:cs="Arial" w:eastAsia="Arial" w:hAnsi="Arial"/>
          <w:sz w:val="18"/>
          <w:szCs w:val="18"/>
          <w:b w:val="1"/>
          <w:bCs w:val="1"/>
          <w:color w:val="auto"/>
        </w:rPr>
        <w:t>Subsequent Placement</w:t>
      </w:r>
      <w:r>
        <w:rPr>
          <w:rFonts w:ascii="Arial" w:cs="Arial" w:eastAsia="Arial" w:hAnsi="Arial"/>
          <w:sz w:val="18"/>
          <w:szCs w:val="18"/>
          <w:color w:val="auto"/>
        </w:rPr>
        <w:t>”), unless the Company shall have first complied with this Section 4(u).</w:t>
      </w:r>
    </w:p>
    <w:p>
      <w:pPr>
        <w:spacing w:after="0" w:line="183" w:lineRule="exact"/>
        <w:rPr>
          <w:rFonts w:ascii="Arial" w:cs="Arial" w:eastAsia="Arial" w:hAnsi="Arial"/>
          <w:sz w:val="18"/>
          <w:szCs w:val="18"/>
          <w:color w:val="auto"/>
        </w:rPr>
      </w:pPr>
    </w:p>
    <w:p>
      <w:pPr>
        <w:ind w:left="640" w:right="40" w:firstLine="1292"/>
        <w:spacing w:after="0" w:line="287" w:lineRule="auto"/>
        <w:tabs>
          <w:tab w:leader="none" w:pos="223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Company shall deliver to each Buyer an irrevocable written notice (the “</w:t>
      </w:r>
      <w:r>
        <w:rPr>
          <w:rFonts w:ascii="Arial" w:cs="Arial" w:eastAsia="Arial" w:hAnsi="Arial"/>
          <w:sz w:val="16"/>
          <w:szCs w:val="16"/>
          <w:b w:val="1"/>
          <w:bCs w:val="1"/>
          <w:color w:val="auto"/>
        </w:rPr>
        <w:t>Offer Notice</w:t>
      </w:r>
      <w:r>
        <w:rPr>
          <w:rFonts w:ascii="Arial" w:cs="Arial" w:eastAsia="Arial" w:hAnsi="Arial"/>
          <w:sz w:val="16"/>
          <w:szCs w:val="16"/>
          <w:color w:val="auto"/>
        </w:rPr>
        <w:t>”) of any proposed or intended issuance or sale or exchange (the “</w:t>
      </w:r>
      <w:r>
        <w:rPr>
          <w:rFonts w:ascii="Arial" w:cs="Arial" w:eastAsia="Arial" w:hAnsi="Arial"/>
          <w:sz w:val="16"/>
          <w:szCs w:val="16"/>
          <w:b w:val="1"/>
          <w:bCs w:val="1"/>
          <w:color w:val="auto"/>
        </w:rPr>
        <w:t>Offer</w:t>
      </w:r>
      <w:r>
        <w:rPr>
          <w:rFonts w:ascii="Arial" w:cs="Arial" w:eastAsia="Arial" w:hAnsi="Arial"/>
          <w:sz w:val="16"/>
          <w:szCs w:val="16"/>
          <w:color w:val="auto"/>
        </w:rPr>
        <w:t>”) of the securities being offered (the “</w:t>
      </w:r>
      <w:r>
        <w:rPr>
          <w:rFonts w:ascii="Arial" w:cs="Arial" w:eastAsia="Arial" w:hAnsi="Arial"/>
          <w:sz w:val="16"/>
          <w:szCs w:val="16"/>
          <w:b w:val="1"/>
          <w:bCs w:val="1"/>
          <w:color w:val="auto"/>
        </w:rPr>
        <w:t>Offered Securities</w:t>
      </w:r>
      <w:r>
        <w:rPr>
          <w:rFonts w:ascii="Arial" w:cs="Arial" w:eastAsia="Arial" w:hAnsi="Arial"/>
          <w:sz w:val="16"/>
          <w:szCs w:val="16"/>
          <w:color w:val="auto"/>
        </w:rPr>
        <w:t>”) in a Subsequent Placement, which Offer Notice shall (v) include any offering documents and definitive documentation in connection with such Offer, (w) identify and describe the Offered Securities, (x) describe the price and other terms upon which they are to be issued, sold or exchanged, and the number or amount of the Offered Securities to be issued, sold or exchanged, (y) identify the persons or entities to which or with which the Offered Securities are to be offered, issued, sold or exchanged and (z) offer to issue and sell to or exchange with such Buyers up to an aggregate of thirty percent (30%) of the Offered Securities, allocated among such Buyers based on such Buyer’s pro rata portion of the aggregate principal amount of Notes purchased hereunder (the “</w:t>
      </w:r>
      <w:r>
        <w:rPr>
          <w:rFonts w:ascii="Arial" w:cs="Arial" w:eastAsia="Arial" w:hAnsi="Arial"/>
          <w:sz w:val="16"/>
          <w:szCs w:val="16"/>
          <w:b w:val="1"/>
          <w:bCs w:val="1"/>
          <w:color w:val="auto"/>
        </w:rPr>
        <w:t>Basic Amount</w:t>
      </w:r>
      <w:r>
        <w:rPr>
          <w:rFonts w:ascii="Arial" w:cs="Arial" w:eastAsia="Arial" w:hAnsi="Arial"/>
          <w:sz w:val="16"/>
          <w:szCs w:val="16"/>
          <w:color w:val="auto"/>
        </w:rPr>
        <w:t>”). The terms and conditions upon which any Offer of the Offered Securities pursuant to any Offer Notice shall be identical for each Buyer. For the avoidance of doubt, each Buyer hereby acknowledges that any Offer Notice may constitute or contain material, non-public information, and each Buyer hereby consents to the receipt of any Offer Notice and any material, non-public information that may be included in an Offer Notice. If a Buyer notifies the Company that it does not consent to the receipt of an Offer Notice and any material, non-public information that may be included in an Offer Notice, then such Buyer shall be deemed to have waived its right to participate in such Subsequent Placement, and the Company shall be deemed to have complied with this Section 4(u).</w:t>
      </w:r>
    </w:p>
    <w:p>
      <w:pPr>
        <w:spacing w:after="0" w:line="167" w:lineRule="exact"/>
        <w:rPr>
          <w:rFonts w:ascii="Arial" w:cs="Arial" w:eastAsia="Arial" w:hAnsi="Arial"/>
          <w:sz w:val="16"/>
          <w:szCs w:val="16"/>
          <w:color w:val="auto"/>
        </w:rPr>
      </w:pPr>
    </w:p>
    <w:p>
      <w:pPr>
        <w:ind w:left="2220" w:hanging="288"/>
        <w:spacing w:after="0"/>
        <w:tabs>
          <w:tab w:leader="none" w:pos="222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To accept an Offer, in whole or in part, such Buyer must deliver a written notice to the Company prior to the end of the</w:t>
      </w:r>
    </w:p>
    <w:p>
      <w:pPr>
        <w:spacing w:after="0" w:line="35" w:lineRule="exact"/>
        <w:rPr>
          <w:sz w:val="20"/>
          <w:szCs w:val="20"/>
          <w:color w:val="auto"/>
        </w:rPr>
      </w:pPr>
    </w:p>
    <w:p>
      <w:pPr>
        <w:ind w:left="640"/>
        <w:spacing w:after="0" w:line="259" w:lineRule="auto"/>
        <w:rPr>
          <w:sz w:val="20"/>
          <w:szCs w:val="20"/>
          <w:color w:val="auto"/>
        </w:rPr>
      </w:pPr>
      <w:r>
        <w:rPr>
          <w:rFonts w:ascii="Arial" w:cs="Arial" w:eastAsia="Arial" w:hAnsi="Arial"/>
          <w:sz w:val="16"/>
          <w:szCs w:val="16"/>
          <w:color w:val="auto"/>
        </w:rPr>
        <w:t>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after such Buyer’s receipt of the Offer Notice (the “</w:t>
      </w:r>
      <w:r>
        <w:rPr>
          <w:rFonts w:ascii="Arial" w:cs="Arial" w:eastAsia="Arial" w:hAnsi="Arial"/>
          <w:sz w:val="16"/>
          <w:szCs w:val="16"/>
          <w:b w:val="1"/>
          <w:bCs w:val="1"/>
          <w:color w:val="auto"/>
        </w:rPr>
        <w:t>Offer Period</w:t>
      </w:r>
      <w:r>
        <w:rPr>
          <w:rFonts w:ascii="Arial" w:cs="Arial" w:eastAsia="Arial" w:hAnsi="Arial"/>
          <w:sz w:val="16"/>
          <w:szCs w:val="16"/>
          <w:color w:val="auto"/>
        </w:rPr>
        <w:t>”), setting forth the portion of such Buyer’s Basic Amount that such Buyer, or an affiliate of such Buyer that it designates, elects to purchase and, if such Buyer or its designee shall elect to purchase all of its Basic Amount, the amount, if any, of the other Buyers’ allocations that such Buyer is offering to purchase in the event that such other Buyers do not elect to purchase their full Basic Amounts (in either case, the “</w:t>
      </w:r>
      <w:r>
        <w:rPr>
          <w:rFonts w:ascii="Arial" w:cs="Arial" w:eastAsia="Arial" w:hAnsi="Arial"/>
          <w:sz w:val="16"/>
          <w:szCs w:val="16"/>
          <w:b w:val="1"/>
          <w:bCs w:val="1"/>
          <w:color w:val="auto"/>
        </w:rPr>
        <w:t>Notice of Acceptance</w:t>
      </w:r>
      <w:r>
        <w:rPr>
          <w:rFonts w:ascii="Arial" w:cs="Arial" w:eastAsia="Arial" w:hAnsi="Arial"/>
          <w:sz w:val="16"/>
          <w:szCs w:val="16"/>
          <w:color w:val="auto"/>
        </w:rPr>
        <w:t>”). Notwithstanding anything to the contrary contained herein, if the Company desires to modify or amend the terms and conditions of the Offer prior to the expiration of the Offer Period, the</w:t>
      </w:r>
    </w:p>
    <w:p>
      <w:pPr>
        <w:spacing w:after="0" w:line="4" w:lineRule="exact"/>
        <w:rPr>
          <w:sz w:val="20"/>
          <w:szCs w:val="20"/>
          <w:color w:val="auto"/>
        </w:rPr>
      </w:pPr>
    </w:p>
    <w:p>
      <w:pPr>
        <w:ind w:left="640" w:right="300"/>
        <w:spacing w:after="0" w:line="209" w:lineRule="auto"/>
        <w:rPr>
          <w:sz w:val="20"/>
          <w:szCs w:val="20"/>
          <w:color w:val="auto"/>
        </w:rPr>
      </w:pPr>
      <w:r>
        <w:rPr>
          <w:rFonts w:ascii="Arial" w:cs="Arial" w:eastAsia="Arial" w:hAnsi="Arial"/>
          <w:sz w:val="18"/>
          <w:szCs w:val="18"/>
          <w:color w:val="auto"/>
        </w:rPr>
        <w:t>Company may deliver to the Buyers a new Offer Notice and the Offer Period shall expire at the end of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such Buyer’s receipt of such new Offer Notice.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9" w:name="page90"/>
    <w:bookmarkEnd w:id="89"/>
    <w:p>
      <w:pPr>
        <w:ind w:left="-460" w:right="60" w:firstLine="1292"/>
        <w:spacing w:after="0" w:line="290" w:lineRule="auto"/>
        <w:tabs>
          <w:tab w:leader="none" w:pos="112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 shall have two (2) Trading Days from the expiration of the Offer Period to offer, issue, sell or exchange all or any part of such Offered Securities as to which a Notice of Acceptance has not been given by the Buyers (the “</w:t>
      </w:r>
      <w:r>
        <w:rPr>
          <w:rFonts w:ascii="Arial" w:cs="Arial" w:eastAsia="Arial" w:hAnsi="Arial"/>
          <w:sz w:val="16"/>
          <w:szCs w:val="16"/>
          <w:b w:val="1"/>
          <w:bCs w:val="1"/>
          <w:color w:val="auto"/>
        </w:rPr>
        <w:t>Refused Securities</w:t>
      </w:r>
      <w:r>
        <w:rPr>
          <w:rFonts w:ascii="Arial" w:cs="Arial" w:eastAsia="Arial" w:hAnsi="Arial"/>
          <w:sz w:val="16"/>
          <w:szCs w:val="16"/>
          <w:color w:val="auto"/>
        </w:rPr>
        <w:t>”) pursuant to a definitive agreement (the “</w:t>
      </w:r>
      <w:r>
        <w:rPr>
          <w:rFonts w:ascii="Arial" w:cs="Arial" w:eastAsia="Arial" w:hAnsi="Arial"/>
          <w:sz w:val="16"/>
          <w:szCs w:val="16"/>
          <w:b w:val="1"/>
          <w:bCs w:val="1"/>
          <w:color w:val="auto"/>
        </w:rPr>
        <w:t>Subsequent Placement Agreement</w:t>
      </w:r>
      <w:r>
        <w:rPr>
          <w:rFonts w:ascii="Arial" w:cs="Arial" w:eastAsia="Arial" w:hAnsi="Arial"/>
          <w:sz w:val="16"/>
          <w:szCs w:val="16"/>
          <w:color w:val="auto"/>
        </w:rPr>
        <w:t>”), but only to the offerees described in the Offer Notice (if so described therein) and only upon terms and conditions (including, without limitation, prices and interest rates) that are not more favorable to the acquiring Person or Persons or less favorable to the Company than those set forth in the Offer Notice and to publicly announce (a) the execution of such Subsequent Placement Agreement and (b) either (x) the consummation of the transactions contemplated by such Subsequent Placement Agreement or (y) the termination of such Subsequent Placement Agreement, which shall be filed with the SEC on a Current Report on Form 8-K with such Subsequent Placement Agreement and any documents contemplated therein filed as exhibits thereto.</w:t>
      </w:r>
    </w:p>
    <w:p>
      <w:pPr>
        <w:spacing w:after="0" w:line="165" w:lineRule="exact"/>
        <w:rPr>
          <w:rFonts w:ascii="Arial" w:cs="Arial" w:eastAsia="Arial" w:hAnsi="Arial"/>
          <w:sz w:val="16"/>
          <w:szCs w:val="16"/>
          <w:color w:val="auto"/>
        </w:rPr>
      </w:pPr>
    </w:p>
    <w:p>
      <w:pPr>
        <w:ind w:left="-460" w:right="20" w:firstLine="1292"/>
        <w:spacing w:after="0" w:line="269" w:lineRule="auto"/>
        <w:tabs>
          <w:tab w:leader="none" w:pos="113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the event the Company shall propose to sell less than all the Refused Securities (any such sale to be in the manner and on the terms specified in Section 4(u)(C) above), then each Buyer may, at its sole option and in its sole discretion, reduce the number or amount of the Offered Securities specified in its Notice of Acceptance to an amount that shall be not less than the number or amount of the Offered Securities that such Buyer or its designee elected to purchase pursuant to Section 4(u)(B) above multiplied by a fraction, (i) the numerator of which shall be the number or amount of Offered Securities the Company actually proposes to issue, sell or exchange (including Offered Securities to be issued or sold to Buyers or their designees pursuant to Section 4(u)(C) above prior to such reduction, but giving effect to the Refused Securities that the Company has determined not to issue, sell or exchange)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4(u)(A) above.</w:t>
      </w:r>
    </w:p>
    <w:p>
      <w:pPr>
        <w:spacing w:after="0" w:line="185" w:lineRule="exact"/>
        <w:rPr>
          <w:rFonts w:ascii="Arial" w:cs="Arial" w:eastAsia="Arial" w:hAnsi="Arial"/>
          <w:sz w:val="17"/>
          <w:szCs w:val="17"/>
          <w:color w:val="auto"/>
        </w:rPr>
      </w:pPr>
    </w:p>
    <w:p>
      <w:pPr>
        <w:ind w:left="-460" w:firstLine="1292"/>
        <w:spacing w:after="0" w:line="289" w:lineRule="auto"/>
        <w:tabs>
          <w:tab w:leader="none" w:pos="111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the closing of the issuance, sale or exchange of all or less than all of the Refused Securities, the Buyers or their designees shall acquire from the Company, and the Company shall issue to the Buyers, the number or amount of Offered Securities specified in the Notices of Acceptance, as reduced pursuant to Section 4(u)(D) above if the Buyers have so elected, upon the terms and conditions specified in the Offer. Notwithstanding anything to the contrary contained in this Agreement, if the Company does not consummate the closing of the issuance, sale or exchange of all or less than all of the Refused Securities, within two (2) Business Days of the expiration of the Offer Period, the Company shall issue to the Buyers or their designees, the number or amount of Offered Securities specified in the Notice of Acceptance, as reduced pursuant to Section 4(u)(D) above if the Buyers have so elected, upon the terms and conditions specified in the Offer. The purchase by the Buyers of any Offered Securities is subject in all cases to the preparation, execution and delivery by the Company and the Buyers of a purchase agreement relating to such Offered Securities reasonably satisfactory in form and substance to the Buyers and their respective counsel.</w:t>
      </w:r>
    </w:p>
    <w:p>
      <w:pPr>
        <w:spacing w:after="0" w:line="166" w:lineRule="exact"/>
        <w:rPr>
          <w:rFonts w:ascii="Arial" w:cs="Arial" w:eastAsia="Arial" w:hAnsi="Arial"/>
          <w:sz w:val="16"/>
          <w:szCs w:val="16"/>
          <w:color w:val="auto"/>
        </w:rPr>
      </w:pPr>
    </w:p>
    <w:p>
      <w:pPr>
        <w:ind w:left="-460" w:right="280" w:firstLine="1292"/>
        <w:spacing w:after="0" w:line="308" w:lineRule="auto"/>
        <w:tabs>
          <w:tab w:leader="none" w:pos="110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Any Offered Securities not acquired by the Buyers or other persons in accordance with Section 4(u)(C) above may not be issued, sold or exchanged until they are again offered to the Buyers under the procedures specified in this Section 4(u).</w:t>
      </w:r>
    </w:p>
    <w:p>
      <w:pPr>
        <w:spacing w:after="0" w:line="35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0" w:name="page91"/>
    <w:bookmarkEnd w:id="90"/>
    <w:p>
      <w:pPr>
        <w:ind w:right="20" w:firstLine="1292"/>
        <w:spacing w:after="0" w:line="287" w:lineRule="auto"/>
        <w:tabs>
          <w:tab w:leader="none" w:pos="159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 and the Buyers agree that if any Buyer elects to participate in the Offer, (x) neither the Subsequent Placement Agreement with respect to such Offer nor any other transaction documents related thereto shall include any term or provisions whereby any Buyer shall be required to agree to any restrictions in trading as to any securities of the Company owned by such Buyer prior to such Subsequent Placement, (y) neither the Subsequent Placement Agreement with respect to such Offer nor any other transaction documents related thereto shall include any term or provisions more restrictive to the investors in such Subsequent Placement than those contained in the Transaction Documents and (z) the Buyers or their designees shall be entitled to the same registration rights provided to other investors in the Subsequent Placement. In addition, the Company and each Buyer agree that, in connection with a Subsequent Placement, the transaction documents related to the Subsequent Placement shall include a requirement for the Company to issue a widely disseminated press release by 9:30 a.m. (New York City time) on the Trading Day of execution of the transaction documents in such Subsequent Placement (or, if the date of execution is not a Trading Day, or if the time of execution is after 4:00 p.m. (New York City time) on a Trading Day, on the immediately following Trading Day) that discloses the material terms of the transactions contemplated by the transaction documents in such Subsequent Placement.</w:t>
      </w:r>
    </w:p>
    <w:p>
      <w:pPr>
        <w:spacing w:after="0" w:line="171" w:lineRule="exact"/>
        <w:rPr>
          <w:rFonts w:ascii="Arial" w:cs="Arial" w:eastAsia="Arial" w:hAnsi="Arial"/>
          <w:sz w:val="16"/>
          <w:szCs w:val="16"/>
          <w:color w:val="auto"/>
        </w:rPr>
      </w:pPr>
    </w:p>
    <w:p>
      <w:pPr>
        <w:jc w:val="both"/>
        <w:ind w:right="20" w:firstLine="1292"/>
        <w:spacing w:after="0" w:line="287" w:lineRule="auto"/>
        <w:tabs>
          <w:tab w:leader="none" w:pos="159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4(u) and unless otherwise agreed to by the Buyers, the Company shall either confirm in writing to the Buyers that the transaction with respect to the Subsequent Placement has been abandoned or shall publicly disclose its intention to issue the Offered Securities, in either case in such a manner such that such Buyer will not be in possession of any material,</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non-public information, by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of delivery of the Offer Notice. If by such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no public disclosure regarding a transaction with respect to the Offered Securities has been made, and no notice regarding the abandonment of such transaction has been received by the Buyers, such transaction shall be deemed to have been abandoned and the Buyers shall not be deemed to be in possession of any material, nonpublic information with respect to the Company. Should the Company decide to pursue such transaction with respect to the Offered Securities, the Company shall provide each Buyer with another Offer Notice and each Buyer will again have the right of participation set forth in this Section 4(u). The Company shall not be permitted to deliver to the Buyers, in any 30-day period, more than one such Offer Notice, other than the Offer Notices contemplated by the last sentence of Section 4(u)(B) of this Agreement.</w:t>
      </w:r>
    </w:p>
    <w:p>
      <w:pPr>
        <w:spacing w:after="0" w:line="182" w:lineRule="exact"/>
        <w:rPr>
          <w:sz w:val="20"/>
          <w:szCs w:val="20"/>
          <w:color w:val="auto"/>
        </w:rPr>
      </w:pPr>
    </w:p>
    <w:p>
      <w:pPr>
        <w:ind w:firstLine="1292"/>
        <w:spacing w:after="0" w:line="269" w:lineRule="auto"/>
        <w:tabs>
          <w:tab w:leader="none" w:pos="152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restrictions contained in this Section 4(u) shall not apply in connection with any of the following; (x) Options or Convertible Securities issued under any Approved Stock Plan, or (y) the issuance of Common Stock upon the exercise of Options or warrants, the settlement or vesting of restricted stock units, stock appreciation rights or restricted stock awards (including shares of Common Stock withheld by the Company for the purpose of paying on behalf of the holder thereof the exercise price of stock options or for paying taxes due as a result of such exercise or lapse of forfeiture restrictions), or the conversion of outstanding preferred stock or other outstanding Convertible Securities which are outstanding on the Initial Closing Date or granted pursuant to an Approved Stock Plan after the Initial Closing Date; provided, that such issuance of Common Stock upon exercise of such Options or Convertible Securities is made pursuant to the terms of either: (I) such Approved Stock Plan or (II) such Options or Convertible Securities in effect on the Initial Closing Date and, in the case of (II), such Options or Convertible Securities are not amended, modified or changed on or after the Initial Closing Date to increase the number of such securities or to decrease the exercise price, exchange price or conversion price of such securities.</w:t>
      </w:r>
    </w:p>
    <w:p>
      <w:pPr>
        <w:spacing w:after="0" w:line="39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91" w:name="page92"/>
    <w:bookmarkEnd w:id="91"/>
    <w:p>
      <w:pPr>
        <w:ind w:left="-20" w:right="80" w:firstLine="656"/>
        <w:spacing w:after="0" w:line="272" w:lineRule="auto"/>
        <w:tabs>
          <w:tab w:leader="none" w:pos="883"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Rule 144</w:t>
      </w:r>
      <w:r>
        <w:rPr>
          <w:rFonts w:ascii="Arial" w:cs="Arial" w:eastAsia="Arial" w:hAnsi="Arial"/>
          <w:sz w:val="17"/>
          <w:szCs w:val="17"/>
          <w:color w:val="auto"/>
        </w:rPr>
        <w:t>. The Company shall cause the Securities and any shares of Common Stock issuable pursuant to the Warrants or the Notes to be eligible to be offered, sold or otherwise transferred by the Buyers pursuant to Rule 144 under the Securities Act, without any requirements as to volume, manner of sale, availability of current public information (whether or not then satisfied) or notice under the Securities Act and without any requirement for registration under any state securities or “blue sky” law, on and after the date that is six (6) months following the (A) Initial Closing Date with respect to the Initial Purchased Securities and the Underlying Shares with respect thereto, (B) the First Subsequent Closing with respect to the First Subsequently Purchased Securities and the Underlying Shares with respect thereto, and (C) the Second Subsequent Closing with respect to the Second Subsequently Purchased Securities and the Underlying Shares with respect thereto.</w:t>
      </w:r>
    </w:p>
    <w:p>
      <w:pPr>
        <w:spacing w:after="0" w:line="177" w:lineRule="exact"/>
        <w:rPr>
          <w:rFonts w:ascii="Arial" w:cs="Arial" w:eastAsia="Arial" w:hAnsi="Arial"/>
          <w:sz w:val="17"/>
          <w:szCs w:val="17"/>
          <w:color w:val="auto"/>
        </w:rPr>
      </w:pPr>
    </w:p>
    <w:p>
      <w:pPr>
        <w:ind w:left="-20" w:firstLine="656"/>
        <w:spacing w:after="0" w:line="254" w:lineRule="auto"/>
        <w:tabs>
          <w:tab w:leader="none" w:pos="9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shall not, and shall not permit any of its Subsidiaries to, issue or disseminate to the public (by advertisement, press release or otherwise), submit for publication or otherwise cause or seek to publish any information naming any of the Buyers without the prior written consent of such Buyer; provided that, nothing in the foregoing shall be construed to prohibit the Company from making any submission or filing (i) which it is required to make by applicable law or pursuant to judicial process, (ii) as required by federal securities law in connection with the filing of final Transaction Documents with the SEC, or (iii) to the extent such disclosure is required by law or the Principal Market regulations; provided further, that (i) such filing or submission shall contain only such information as is necessary to comply with applicable law or judicial process and (ii) unless specifically prohibited by applicable law or court order, the Company shall promptly notify the Buyers of the requirement to make such submission or filing and provide the Buyers with a copy thereof.</w:t>
      </w:r>
    </w:p>
    <w:p>
      <w:pPr>
        <w:spacing w:after="0" w:line="191" w:lineRule="exact"/>
        <w:rPr>
          <w:rFonts w:ascii="Arial" w:cs="Arial" w:eastAsia="Arial" w:hAnsi="Arial"/>
          <w:sz w:val="18"/>
          <w:szCs w:val="18"/>
          <w:color w:val="auto"/>
        </w:rPr>
      </w:pPr>
    </w:p>
    <w:p>
      <w:pPr>
        <w:ind w:left="900" w:hanging="264"/>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shall:</w:t>
      </w:r>
    </w:p>
    <w:p>
      <w:pPr>
        <w:spacing w:after="0" w:line="225" w:lineRule="exact"/>
        <w:rPr>
          <w:rFonts w:ascii="Arial" w:cs="Arial" w:eastAsia="Arial" w:hAnsi="Arial"/>
          <w:sz w:val="18"/>
          <w:szCs w:val="18"/>
          <w:color w:val="auto"/>
        </w:rPr>
      </w:pPr>
    </w:p>
    <w:p>
      <w:pPr>
        <w:ind w:left="640" w:right="40" w:firstLine="644"/>
        <w:spacing w:after="0" w:line="254" w:lineRule="auto"/>
        <w:tabs>
          <w:tab w:leader="none" w:pos="150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file registration statements with the SEC as soon as practicable but in no event later than (A) forty-five (45) days after the Initial Closing Date with respect to the Initial Purchased Securities, (B) forty-five (45) days after the First Subsequent Closing Date with respect to the First Subsequently Purchased Securities and (C) forty-five (45) days after the Second Subsequent Closing Date with respect to the Second Subsequently Purchased Securities, (each such date, a “</w:t>
      </w:r>
      <w:r>
        <w:rPr>
          <w:rFonts w:ascii="Arial" w:cs="Arial" w:eastAsia="Arial" w:hAnsi="Arial"/>
          <w:sz w:val="18"/>
          <w:szCs w:val="18"/>
          <w:b w:val="1"/>
          <w:bCs w:val="1"/>
          <w:color w:val="auto"/>
        </w:rPr>
        <w:t>Filing Date</w:t>
      </w:r>
      <w:r>
        <w:rPr>
          <w:rFonts w:ascii="Arial" w:cs="Arial" w:eastAsia="Arial" w:hAnsi="Arial"/>
          <w:sz w:val="18"/>
          <w:szCs w:val="18"/>
          <w:color w:val="auto"/>
        </w:rPr>
        <w:t>”) to register all Shares underlying the Initial Purchased Securities, First Subsequently Purchased Securities and Second Subsequently Purchased Securities, respectively (the “</w:t>
      </w:r>
      <w:r>
        <w:rPr>
          <w:rFonts w:ascii="Arial" w:cs="Arial" w:eastAsia="Arial" w:hAnsi="Arial"/>
          <w:sz w:val="18"/>
          <w:szCs w:val="18"/>
          <w:b w:val="1"/>
          <w:bCs w:val="1"/>
          <w:color w:val="auto"/>
        </w:rPr>
        <w:t>Registrable Shares</w:t>
      </w:r>
      <w:r>
        <w:rPr>
          <w:rFonts w:ascii="Arial" w:cs="Arial" w:eastAsia="Arial" w:hAnsi="Arial"/>
          <w:sz w:val="18"/>
          <w:szCs w:val="18"/>
          <w:color w:val="auto"/>
        </w:rPr>
        <w:t>”) on Form S-1 or Form S-3 under the Securities Act (providing for shelf registration of such Registrable Shares under SEC Rule 415) (each such registration statement, including any preliminary prospectus, final prospectus, exhibit or amendment included in or relating to such registration statement being the “</w:t>
      </w:r>
      <w:r>
        <w:rPr>
          <w:rFonts w:ascii="Arial" w:cs="Arial" w:eastAsia="Arial" w:hAnsi="Arial"/>
          <w:sz w:val="18"/>
          <w:szCs w:val="18"/>
          <w:b w:val="1"/>
          <w:bCs w:val="1"/>
          <w:color w:val="auto"/>
        </w:rPr>
        <w:t>Resale Registration Statement</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92" w:name="page93"/>
    <w:bookmarkEnd w:id="92"/>
    <w:p>
      <w:pPr>
        <w:ind w:left="-460" w:right="60" w:firstLine="644"/>
        <w:spacing w:after="0" w:line="257" w:lineRule="auto"/>
        <w:tabs>
          <w:tab w:leader="none" w:pos="4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use its commercially reasonable efforts to cause each such Resale Registration Statement to be declared effective as soon as practicable and in any event within 30 days of the filing thereof (or, in the event the staff of the SEC (the “</w:t>
      </w:r>
      <w:r>
        <w:rPr>
          <w:rFonts w:ascii="Arial" w:cs="Arial" w:eastAsia="Arial" w:hAnsi="Arial"/>
          <w:sz w:val="18"/>
          <w:szCs w:val="18"/>
          <w:b w:val="1"/>
          <w:bCs w:val="1"/>
          <w:color w:val="auto"/>
        </w:rPr>
        <w:t>Staff</w:t>
      </w:r>
      <w:r>
        <w:rPr>
          <w:rFonts w:ascii="Arial" w:cs="Arial" w:eastAsia="Arial" w:hAnsi="Arial"/>
          <w:sz w:val="18"/>
          <w:szCs w:val="18"/>
          <w:color w:val="auto"/>
        </w:rPr>
        <w:t>”) reviews and has written comments to such Resale Registration Statement, within 60 days of the filing thereof), such efforts to include, without limiting the generality of the foregoing, preparing and filing with the SEC any financial statements or other information that is required to be filed prior to the effectiveness of such Resale Registration Statement;</w:t>
      </w:r>
    </w:p>
    <w:p>
      <w:pPr>
        <w:spacing w:after="0" w:line="187" w:lineRule="exact"/>
        <w:rPr>
          <w:rFonts w:ascii="Arial" w:cs="Arial" w:eastAsia="Arial" w:hAnsi="Arial"/>
          <w:sz w:val="18"/>
          <w:szCs w:val="18"/>
          <w:color w:val="auto"/>
        </w:rPr>
      </w:pPr>
    </w:p>
    <w:p>
      <w:pPr>
        <w:ind w:left="-460" w:right="20" w:firstLine="644"/>
        <w:spacing w:after="0" w:line="255" w:lineRule="auto"/>
        <w:tabs>
          <w:tab w:leader="none" w:pos="50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 less than two (2) Trading Days prior to the filing of each such Resale Registration Statement or any related prospectus or any amendment or supplement thereto, furnish via email to the Buyers copies of all such documents proposed to be filed, which documents (other than any document that is incorporated or deemed to be incorporated by reference therein) will be subject to the review of the Buyers. The Company shall reflect in each such document when so filed with the SEC such comments regarding the Buyers and the plan of distribution as the Buyers may reasonably and promptly propose no later than two (2) Trading Days after the Buyers has been so furnished with copies of such documents as aforesaid;</w:t>
      </w:r>
    </w:p>
    <w:p>
      <w:pPr>
        <w:spacing w:after="0" w:line="192" w:lineRule="exact"/>
        <w:rPr>
          <w:rFonts w:ascii="Arial" w:cs="Arial" w:eastAsia="Arial" w:hAnsi="Arial"/>
          <w:sz w:val="18"/>
          <w:szCs w:val="18"/>
          <w:color w:val="auto"/>
        </w:rPr>
      </w:pPr>
    </w:p>
    <w:p>
      <w:pPr>
        <w:ind w:left="-460" w:firstLine="644"/>
        <w:spacing w:after="0" w:line="259" w:lineRule="auto"/>
        <w:tabs>
          <w:tab w:leader="none" w:pos="4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prepare and file with the SEC such amendments and supplements to each such Resale Registration Statement and the prospectus used in connection therewith as may be necessary to keep such Resale Registration Statement continuously effective and free from any material misstatement or omission to state a material fact therein until termination of such obligation as provided in Section 4(aa) below, subject to the Company’s right to suspend pursuant to Section 4(z) below;</w:t>
      </w:r>
    </w:p>
    <w:p>
      <w:pPr>
        <w:spacing w:after="0" w:line="186" w:lineRule="exact"/>
        <w:rPr>
          <w:rFonts w:ascii="Arial" w:cs="Arial" w:eastAsia="Arial" w:hAnsi="Arial"/>
          <w:sz w:val="18"/>
          <w:szCs w:val="18"/>
          <w:color w:val="auto"/>
        </w:rPr>
      </w:pPr>
    </w:p>
    <w:p>
      <w:pPr>
        <w:ind w:left="-460" w:firstLine="644"/>
        <w:spacing w:after="0" w:line="263" w:lineRule="auto"/>
        <w:tabs>
          <w:tab w:leader="none" w:pos="44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furnish to the Buyers such number of copies of prospectuses in conformity with the requirements of the Securities Act and such other documents as the Buyers may reasonably request, in order to facilitate the public sale or other disposition of all or any of the Registrable Shares by the Buyers;</w:t>
      </w:r>
    </w:p>
    <w:p>
      <w:pPr>
        <w:spacing w:after="0" w:line="183" w:lineRule="exact"/>
        <w:rPr>
          <w:rFonts w:ascii="Arial" w:cs="Arial" w:eastAsia="Arial" w:hAnsi="Arial"/>
          <w:sz w:val="18"/>
          <w:szCs w:val="18"/>
          <w:color w:val="auto"/>
        </w:rPr>
      </w:pPr>
    </w:p>
    <w:p>
      <w:pPr>
        <w:ind w:left="-460" w:right="20" w:firstLine="644"/>
        <w:spacing w:after="0" w:line="275" w:lineRule="auto"/>
        <w:tabs>
          <w:tab w:leader="none" w:pos="49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file such documents as may be required of the Company for normal securities law clearance for the resale of the Registrable Shares in such states of the United States as may be reasonably requested by the Buyers and use its commercially reasonable efforts to maintain such blue sky qualifications during the period the Company is required to maintain effectiveness of each such Resale Registration Statement; provided, however, that the Company shall not be required in connection with this Section 4(x)(vi) to qualify as a foreign corporation or execute a general consent to service of process in any jurisdiction in which it is not now so qualified or has not so consented;</w:t>
      </w:r>
    </w:p>
    <w:p>
      <w:pPr>
        <w:spacing w:after="0" w:line="176" w:lineRule="exact"/>
        <w:rPr>
          <w:rFonts w:ascii="Arial" w:cs="Arial" w:eastAsia="Arial" w:hAnsi="Arial"/>
          <w:sz w:val="17"/>
          <w:szCs w:val="17"/>
          <w:color w:val="auto"/>
        </w:rPr>
      </w:pPr>
    </w:p>
    <w:p>
      <w:pPr>
        <w:jc w:val="both"/>
        <w:ind w:left="-460" w:right="320" w:firstLine="644"/>
        <w:spacing w:after="0" w:line="263" w:lineRule="auto"/>
        <w:tabs>
          <w:tab w:leader="none" w:pos="54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notification by the SEC that a Resale Registration Statement will not be reviewed or is not subject to further review by the SEC, the Company shall within three (3) Trading Days following the date of such notification request acceleration of such Resale Registration Statement (with the requested effectiveness date to be not more than two (2) Trading Days later);</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93" w:name="page94"/>
    <w:bookmarkEnd w:id="93"/>
    <w:p>
      <w:pPr>
        <w:ind w:left="4" w:right="200" w:firstLine="644"/>
        <w:spacing w:after="0" w:line="308" w:lineRule="auto"/>
        <w:tabs>
          <w:tab w:leader="none" w:pos="105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upon notification by the SEC that a Resale Registration Statement has been declared effective by the SEC, the Company shall file the final prospectus under Rule 424 of the Securities Act (“</w:t>
      </w:r>
      <w:r>
        <w:rPr>
          <w:rFonts w:ascii="Arial" w:cs="Arial" w:eastAsia="Arial" w:hAnsi="Arial"/>
          <w:sz w:val="17"/>
          <w:szCs w:val="17"/>
          <w:b w:val="1"/>
          <w:bCs w:val="1"/>
          <w:color w:val="auto"/>
        </w:rPr>
        <w:t>Rule 424</w:t>
      </w:r>
      <w:r>
        <w:rPr>
          <w:rFonts w:ascii="Arial" w:cs="Arial" w:eastAsia="Arial" w:hAnsi="Arial"/>
          <w:sz w:val="17"/>
          <w:szCs w:val="17"/>
          <w:color w:val="auto"/>
        </w:rPr>
        <w:t>”) within the applicable time period prescribed by Rule 424;</w:t>
      </w:r>
    </w:p>
    <w:p>
      <w:pPr>
        <w:spacing w:after="0" w:line="146" w:lineRule="exact"/>
        <w:rPr>
          <w:rFonts w:ascii="Arial" w:cs="Arial" w:eastAsia="Arial" w:hAnsi="Arial"/>
          <w:sz w:val="17"/>
          <w:szCs w:val="17"/>
          <w:color w:val="auto"/>
        </w:rPr>
      </w:pPr>
    </w:p>
    <w:p>
      <w:pPr>
        <w:ind w:left="944" w:hanging="296"/>
        <w:spacing w:after="0"/>
        <w:tabs>
          <w:tab w:leader="none" w:pos="94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advise the Buyers promptly (and in any event within two (2) Trading Days thereof):</w:t>
      </w:r>
    </w:p>
    <w:p>
      <w:pPr>
        <w:spacing w:after="0" w:line="225" w:lineRule="exact"/>
        <w:rPr>
          <w:rFonts w:ascii="Arial" w:cs="Arial" w:eastAsia="Arial" w:hAnsi="Arial"/>
          <w:sz w:val="18"/>
          <w:szCs w:val="18"/>
          <w:color w:val="auto"/>
        </w:rPr>
      </w:pPr>
    </w:p>
    <w:p>
      <w:pPr>
        <w:ind w:left="1584" w:hanging="288"/>
        <w:spacing w:after="0"/>
        <w:tabs>
          <w:tab w:leader="none" w:pos="1584" w:val="left"/>
        </w:tabs>
        <w:numPr>
          <w:ilvl w:val="2"/>
          <w:numId w:val="116"/>
        </w:numPr>
        <w:rPr>
          <w:rFonts w:ascii="Arial" w:cs="Arial" w:eastAsia="Arial" w:hAnsi="Arial"/>
          <w:sz w:val="18"/>
          <w:szCs w:val="18"/>
          <w:color w:val="auto"/>
        </w:rPr>
      </w:pPr>
      <w:r>
        <w:rPr>
          <w:rFonts w:ascii="Arial" w:cs="Arial" w:eastAsia="Arial" w:hAnsi="Arial"/>
          <w:sz w:val="18"/>
          <w:szCs w:val="18"/>
          <w:color w:val="auto"/>
        </w:rPr>
        <w:t>of the effectiveness of a Resale Registration Statement or any post-effective amendments thereto;</w:t>
      </w:r>
    </w:p>
    <w:p>
      <w:pPr>
        <w:spacing w:after="0" w:line="225" w:lineRule="exact"/>
        <w:rPr>
          <w:rFonts w:ascii="Arial" w:cs="Arial" w:eastAsia="Arial" w:hAnsi="Arial"/>
          <w:sz w:val="18"/>
          <w:szCs w:val="18"/>
          <w:color w:val="auto"/>
        </w:rPr>
      </w:pPr>
    </w:p>
    <w:p>
      <w:pPr>
        <w:ind w:left="4" w:right="520" w:firstLine="1292"/>
        <w:spacing w:after="0" w:line="277" w:lineRule="auto"/>
        <w:tabs>
          <w:tab w:leader="none" w:pos="1585" w:val="left"/>
        </w:tabs>
        <w:numPr>
          <w:ilvl w:val="2"/>
          <w:numId w:val="116"/>
        </w:numPr>
        <w:rPr>
          <w:rFonts w:ascii="Arial" w:cs="Arial" w:eastAsia="Arial" w:hAnsi="Arial"/>
          <w:sz w:val="18"/>
          <w:szCs w:val="18"/>
          <w:color w:val="auto"/>
        </w:rPr>
      </w:pPr>
      <w:r>
        <w:rPr>
          <w:rFonts w:ascii="Arial" w:cs="Arial" w:eastAsia="Arial" w:hAnsi="Arial"/>
          <w:sz w:val="18"/>
          <w:szCs w:val="18"/>
          <w:color w:val="auto"/>
        </w:rPr>
        <w:t>of any request by the SEC for amendments to a Resale Registration Statement or amendments to the prospectus or for additional information relating thereto;</w:t>
      </w:r>
    </w:p>
    <w:p>
      <w:pPr>
        <w:spacing w:after="0" w:line="170" w:lineRule="exact"/>
        <w:rPr>
          <w:rFonts w:ascii="Arial" w:cs="Arial" w:eastAsia="Arial" w:hAnsi="Arial"/>
          <w:sz w:val="18"/>
          <w:szCs w:val="18"/>
          <w:color w:val="auto"/>
        </w:rPr>
      </w:pPr>
    </w:p>
    <w:p>
      <w:pPr>
        <w:jc w:val="both"/>
        <w:ind w:left="4" w:right="380" w:firstLine="1292"/>
        <w:spacing w:after="0" w:line="286" w:lineRule="auto"/>
        <w:tabs>
          <w:tab w:leader="none" w:pos="1585" w:val="left"/>
        </w:tabs>
        <w:numPr>
          <w:ilvl w:val="2"/>
          <w:numId w:val="116"/>
        </w:numPr>
        <w:rPr>
          <w:rFonts w:ascii="Arial" w:cs="Arial" w:eastAsia="Arial" w:hAnsi="Arial"/>
          <w:sz w:val="17"/>
          <w:szCs w:val="17"/>
          <w:color w:val="auto"/>
        </w:rPr>
      </w:pPr>
      <w:r>
        <w:rPr>
          <w:rFonts w:ascii="Arial" w:cs="Arial" w:eastAsia="Arial" w:hAnsi="Arial"/>
          <w:sz w:val="17"/>
          <w:szCs w:val="17"/>
          <w:color w:val="auto"/>
        </w:rPr>
        <w:t>of the issuance by the SEC of any stop order suspending the effectiveness of a Resale Registration Statement under the Securities Act or of the suspension by any state securities commission of the qualification of the Registrable Shares for offering or sale in any jurisdiction, or the initiation of any proceeding for any of the preceding purposes; and;</w:t>
      </w:r>
    </w:p>
    <w:p>
      <w:pPr>
        <w:spacing w:after="0" w:line="165" w:lineRule="exact"/>
        <w:rPr>
          <w:rFonts w:ascii="Arial" w:cs="Arial" w:eastAsia="Arial" w:hAnsi="Arial"/>
          <w:sz w:val="17"/>
          <w:szCs w:val="17"/>
          <w:color w:val="auto"/>
        </w:rPr>
      </w:pPr>
    </w:p>
    <w:p>
      <w:pPr>
        <w:ind w:left="4" w:right="40" w:firstLine="1292"/>
        <w:spacing w:after="0" w:line="259" w:lineRule="auto"/>
        <w:tabs>
          <w:tab w:leader="none" w:pos="1595" w:val="left"/>
        </w:tabs>
        <w:numPr>
          <w:ilvl w:val="2"/>
          <w:numId w:val="116"/>
        </w:numPr>
        <w:rPr>
          <w:rFonts w:ascii="Arial" w:cs="Arial" w:eastAsia="Arial" w:hAnsi="Arial"/>
          <w:sz w:val="18"/>
          <w:szCs w:val="18"/>
          <w:color w:val="auto"/>
        </w:rPr>
      </w:pPr>
      <w:r>
        <w:rPr>
          <w:rFonts w:ascii="Arial" w:cs="Arial" w:eastAsia="Arial" w:hAnsi="Arial"/>
          <w:sz w:val="18"/>
          <w:szCs w:val="18"/>
          <w:color w:val="auto"/>
        </w:rPr>
        <w:t>of the existence of any fact and the happening of any event that makes any statement of a material fact made in a Resale Registration Statement, the prospectus and amendment or supplement thereto, or any document incorporated by reference therein, untrue, or that requires the making of any additions to or changes in a Resale Registration Statement or the prospectus in order to make the statements therein not misleading;</w:t>
      </w:r>
    </w:p>
    <w:p>
      <w:pPr>
        <w:spacing w:after="0" w:line="186" w:lineRule="exact"/>
        <w:rPr>
          <w:rFonts w:ascii="Arial" w:cs="Arial" w:eastAsia="Arial" w:hAnsi="Arial"/>
          <w:sz w:val="18"/>
          <w:szCs w:val="18"/>
          <w:color w:val="auto"/>
        </w:rPr>
      </w:pPr>
    </w:p>
    <w:p>
      <w:pPr>
        <w:ind w:left="904" w:hanging="256"/>
        <w:spacing w:after="0"/>
        <w:tabs>
          <w:tab w:leader="none" w:pos="90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cause all Registrable Shares to be listed on each securities exchange, if any, on which equity securities by the Company are then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listed; and</w:t>
      </w:r>
    </w:p>
    <w:p>
      <w:pPr>
        <w:spacing w:after="0" w:line="210" w:lineRule="exact"/>
        <w:rPr>
          <w:rFonts w:ascii="Arial" w:cs="Arial" w:eastAsia="Arial" w:hAnsi="Arial"/>
          <w:sz w:val="16"/>
          <w:szCs w:val="16"/>
          <w:color w:val="auto"/>
        </w:rPr>
      </w:pPr>
    </w:p>
    <w:p>
      <w:pPr>
        <w:ind w:left="4" w:right="500" w:firstLine="644"/>
        <w:spacing w:after="0" w:line="308" w:lineRule="auto"/>
        <w:tabs>
          <w:tab w:leader="none" w:pos="95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bear all expenses in connection with the procedures in paragraphs (i) through (x) of this Section 4(x) and the registration of the Registrable Shares on each such Resale Registration Statement and the satisfaction of the blue sky laws of such states.</w:t>
      </w:r>
    </w:p>
    <w:p>
      <w:pPr>
        <w:spacing w:after="0" w:line="146" w:lineRule="exact"/>
        <w:rPr>
          <w:rFonts w:ascii="Arial" w:cs="Arial" w:eastAsia="Arial" w:hAnsi="Arial"/>
          <w:sz w:val="17"/>
          <w:szCs w:val="17"/>
          <w:color w:val="auto"/>
        </w:rPr>
      </w:pPr>
    </w:p>
    <w:p>
      <w:pPr>
        <w:ind w:left="264" w:hanging="264"/>
        <w:spacing w:after="0"/>
        <w:tabs>
          <w:tab w:leader="none" w:pos="26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Registration Rights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4"/>
        <w:spacing w:after="0" w:line="284" w:lineRule="auto"/>
        <w:tabs>
          <w:tab w:leader="none" w:pos="86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the Buyers and their respective affiliates, partners, members, officers, directors, agents and representatives, and each person, if any, who controls a Buyer within the meaning of Section 15 of the Securities Act or Section 20 the 1934 Act (each, a “</w:t>
      </w:r>
      <w:r>
        <w:rPr>
          <w:rFonts w:ascii="Arial" w:cs="Arial" w:eastAsia="Arial" w:hAnsi="Arial"/>
          <w:sz w:val="16"/>
          <w:szCs w:val="16"/>
          <w:b w:val="1"/>
          <w:bCs w:val="1"/>
          <w:color w:val="auto"/>
        </w:rPr>
        <w:t>Purchaser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Purchaser Parties</w:t>
      </w:r>
      <w:r>
        <w:rPr>
          <w:rFonts w:ascii="Arial" w:cs="Arial" w:eastAsia="Arial" w:hAnsi="Arial"/>
          <w:sz w:val="16"/>
          <w:szCs w:val="16"/>
          <w:color w:val="auto"/>
        </w:rPr>
        <w:t>”), to the fullest extent permitted by applicable law, from and against any losses, claims, damages or liabilities (collectively, “</w:t>
      </w:r>
      <w:r>
        <w:rPr>
          <w:rFonts w:ascii="Arial" w:cs="Arial" w:eastAsia="Arial" w:hAnsi="Arial"/>
          <w:sz w:val="16"/>
          <w:szCs w:val="16"/>
          <w:b w:val="1"/>
          <w:bCs w:val="1"/>
          <w:color w:val="auto"/>
        </w:rPr>
        <w:t>Losses</w:t>
      </w:r>
      <w:r>
        <w:rPr>
          <w:rFonts w:ascii="Arial" w:cs="Arial" w:eastAsia="Arial" w:hAnsi="Arial"/>
          <w:sz w:val="16"/>
          <w:szCs w:val="16"/>
          <w:color w:val="auto"/>
        </w:rPr>
        <w:t>”) to which they may become subject (under the Securities Act or otherwise) insofar as such Losses (or actions or proceedings in respect thereof) arise out of, or are based upon, any untrue statement or alleged untrue statement of a material fact contained in a Resale Registration Statement or any omission or alleged omission to state therein a material fact required to be stated therein or necessary to make the statements therein, in light of the circumstances under which they were made, not misleading or arise out of any failure by the Company to fulfill any undertaking included in a Resale Registration Statement and the Company will, as incurred, reimburse the Purchaser Parties for any legal or other expenses reasonably incurred in investigating, defending or preparing to defend any such action, proceeding or claim; provided, however, that the Company shall not be liable in any such case to the extent that such Loss arises out of, or is based upon an untrue statement or omission or alleged untrue statement or omission made in a Resale Registration Statement in reliance upon and in conformity with written information furnished to the Company by or on behalf of the Buyers specifically for use in preparation of a Resale Registration Statement; provided further, however, that the Company shall not be liable to any Purchaser Party (or any partner, member, officer, director or controlling person of a Buyer) to the extent that any such Loss is caused by an untrue statement or omission or alleged untrue statement or omission made in any preliminary prospectus if either (i) (A) the Buyers failed to send or deliver a copy of the final prospectus with or prior to, or the Buyers failed to confirm that a final prospectus was deemed to be delivered prior to (in accordance with Rule 172 of the Securities Act), the delivery of written confirmation of the sale by the Buyers to the person asserting the claim from which such Loss resulted and (B) the final prospectus corrected such untrue statement or omission, or (ii) (X) such untrue statement or omission is corrected in an amendment or supplement to the prospectus and (Y) having previously been furnished by or on behalf of the Company with copies of the prospectus as so amended or supplemented or notified by the Company that such amended or supplemented prospectus has been filed with the SEC, in accordance with Rule 172 of the Securities Act, the Buyers thereafter fails to deliver such prospectus as so amended or supplemented, with or prior to or the Buyers fails to confirm that the prospectus as so amended or supplemented was deemed to be delivered prior to (in accordance with Rule 172 of the Securities Act), the delivery of written confirmation of the sale by the Buyers to the person asserting the claim from which such Loss resulted.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4" w:name="page95"/>
    <w:bookmarkEnd w:id="94"/>
    <w:p>
      <w:pPr>
        <w:ind w:left="-460" w:right="80" w:firstLine="644"/>
        <w:spacing w:after="0" w:line="286" w:lineRule="auto"/>
        <w:tabs>
          <w:tab w:leader="none" w:pos="45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Buyers agree to indemnify and hold harmless the Company and its officers, directors, affiliates, agents and representatives and each person, if any, who controls the Company within the meaning of Section 15 of the Securities Act or Section 20 of the 1934 Act (each a “</w:t>
      </w:r>
      <w:r>
        <w:rPr>
          <w:rFonts w:ascii="Arial" w:cs="Arial" w:eastAsia="Arial" w:hAnsi="Arial"/>
          <w:sz w:val="16"/>
          <w:szCs w:val="16"/>
          <w:b w:val="1"/>
          <w:bCs w:val="1"/>
          <w:color w:val="auto"/>
        </w:rPr>
        <w:t>Company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Company Parties</w:t>
      </w:r>
      <w:r>
        <w:rPr>
          <w:rFonts w:ascii="Arial" w:cs="Arial" w:eastAsia="Arial" w:hAnsi="Arial"/>
          <w:sz w:val="16"/>
          <w:szCs w:val="16"/>
          <w:color w:val="auto"/>
        </w:rPr>
        <w:t>”), to the fullest extent permitted by applicable law, from and against any Losses to which the Company Parties may become subject (under the Securities Act or otherwise), insofar as such Losses (or actions or proceedings in respect thereof) arise out of, or are based upon, any untrue statement or alleged untrue statement of a material fact contained in a Resale Registration Statement (or any omission or alleged omission to state therein a material fact required to be stated therein or necessary to make the statements therein, in light of the circumstances under which they were made, not misleading in each case, on the effective date thereof), if, and only to the extent, such untrue statement or omission or alleged untrue statement or omission was made in reliance upon and in conformity with written information furnished by or on behalf of the Buyers specifically for use in preparation of a Resale Registration Statement, and the Buyers will, as incurred, reimburse each Company Party for any legal or other expenses reasonably incurred in investigating, defending or preparing to defend any such action, proceeding or claim; provided, however, that in no event shall any indemnity under this Section 4(y) be greater in amount than the dollar amount of the net proceeds received by the Buyers upon their sale of the Registrable Shares included in the Resale Registration Statement giving rise to such indemnification obligation.</w:t>
      </w:r>
    </w:p>
    <w:p>
      <w:pPr>
        <w:spacing w:after="0" w:line="173" w:lineRule="exact"/>
        <w:rPr>
          <w:rFonts w:ascii="Arial" w:cs="Arial" w:eastAsia="Arial" w:hAnsi="Arial"/>
          <w:sz w:val="16"/>
          <w:szCs w:val="16"/>
          <w:color w:val="auto"/>
        </w:rPr>
      </w:pPr>
    </w:p>
    <w:p>
      <w:pPr>
        <w:ind w:left="-460" w:firstLine="644"/>
        <w:spacing w:after="0" w:line="287" w:lineRule="auto"/>
        <w:tabs>
          <w:tab w:leader="none" w:pos="50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Promptly after receipt by any indemnified person of a notice of a claim or the beginning of any action in respect of which indemnity is to be sought against an indemnifying person pursuant to this Section 4(y), such indemnified person shall notify the indemnifying person in writing of such claim or of the commencement of such action, and, subject to the provisions hereinafter stated, in case any such action shall be brought against an indemnified person and such indemnifying person shall have been notified thereof, such indemnifying person shall be entitled to participate therein, and, to the extent that it shall wish, to assume the defense thereof, with counsel reasonably satisfactory to such indemnified person. After notice from the indemnifying person to such indemnified person of its election to assume the defense thereof, such indemnifying person shall not be liable to such indemnified person for any legal expenses subsequently incurred by such indemnified person in connection with the defense thereof; provided, however, that if there exists or shall exist a conflict of interest that would make it inappropriate in the reasonable judgment of the indemnified person for the same counsel to represent both the indemnified person and such indemnifying person or any affiliate or associate thereof, the indemnified person shall be entitled to retain its own counsel at the expense of such indemnifying person; provided, further, that no indemnifying person shall be responsible for the fees and expense of more than one separate counsel for all indemnified parties. The indemnifying party shall not settle an action without the consent of the indemnified party, which consent shall not be unreasonably withheld.</w:t>
      </w:r>
    </w:p>
    <w:p>
      <w:pPr>
        <w:spacing w:after="0" w:line="167" w:lineRule="exact"/>
        <w:rPr>
          <w:rFonts w:ascii="Arial" w:cs="Arial" w:eastAsia="Arial" w:hAnsi="Arial"/>
          <w:sz w:val="16"/>
          <w:szCs w:val="16"/>
          <w:color w:val="auto"/>
        </w:rPr>
      </w:pPr>
    </w:p>
    <w:p>
      <w:pPr>
        <w:ind w:left="-460" w:right="40" w:firstLine="644"/>
        <w:spacing w:after="0" w:line="254" w:lineRule="auto"/>
        <w:tabs>
          <w:tab w:leader="none" w:pos="49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after proper notice of a claim or the commencement of any action against the indemnified party, the indemnifying party does not choose to participate, then the indemnified party shall assume the defense thereof and upon written notice by the indemnified party requesting advance payment of a stated amount for its reasonable defense costs and expenses, the indemnifying party shall advance payment for such reasonable defense costs and expenses (the “</w:t>
      </w:r>
      <w:r>
        <w:rPr>
          <w:rFonts w:ascii="Arial" w:cs="Arial" w:eastAsia="Arial" w:hAnsi="Arial"/>
          <w:sz w:val="18"/>
          <w:szCs w:val="18"/>
          <w:b w:val="1"/>
          <w:bCs w:val="1"/>
          <w:color w:val="auto"/>
        </w:rPr>
        <w:t>Advance Indemnification Payment</w:t>
      </w:r>
      <w:r>
        <w:rPr>
          <w:rFonts w:ascii="Arial" w:cs="Arial" w:eastAsia="Arial" w:hAnsi="Arial"/>
          <w:sz w:val="18"/>
          <w:szCs w:val="18"/>
          <w:color w:val="auto"/>
        </w:rPr>
        <w:t>”) to the indemnified party. In the event that the indemnified party’s actual defense costs and expenses exceed the amount of the Advance Indemnification Payment, then upon written request by the indemnified party, the indemnifying party shall reimburse the indemnified party for such difference; in the event that the Advance Indemnification Payment exceeds the indemnified party’s actual costs and expenses, the indemnified party shall promptly remit payment of such difference to the indemnifying party.</w:t>
      </w:r>
    </w:p>
    <w:p>
      <w:pPr>
        <w:spacing w:after="0" w:line="191" w:lineRule="exact"/>
        <w:rPr>
          <w:rFonts w:ascii="Arial" w:cs="Arial" w:eastAsia="Arial" w:hAnsi="Arial"/>
          <w:sz w:val="18"/>
          <w:szCs w:val="18"/>
          <w:color w:val="auto"/>
        </w:rPr>
      </w:pPr>
    </w:p>
    <w:p>
      <w:pPr>
        <w:ind w:left="-460" w:right="20" w:firstLine="644"/>
        <w:spacing w:after="0" w:line="254" w:lineRule="auto"/>
        <w:tabs>
          <w:tab w:leader="none" w:pos="4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indemnification provided for in this Section 4(y)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as well as any other relevant equitable considerations; provided, that in no event shall any contribution by an indemnifying party hereunder be greater in amount than the dollar amount of the proceeds received by such indemnifying party upon the sale of such Registrable Shares.</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5" w:name="page96"/>
    <w:bookmarkEnd w:id="95"/>
    <w:p>
      <w:pPr>
        <w:ind w:left="-8" w:right="40" w:firstLine="656"/>
        <w:spacing w:after="0" w:line="269" w:lineRule="auto"/>
        <w:tabs>
          <w:tab w:leader="none" w:pos="884"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Suspensions</w:t>
      </w:r>
      <w:r>
        <w:rPr>
          <w:rFonts w:ascii="Arial" w:cs="Arial" w:eastAsia="Arial" w:hAnsi="Arial"/>
          <w:sz w:val="17"/>
          <w:szCs w:val="17"/>
          <w:color w:val="auto"/>
        </w:rPr>
        <w:t>. The Buyers acknowledge that there may be times when the Company must suspend the use of the prospectus forming a part of a Resale Registration Statement until such time as an amendment to such Resale Registration Statement has been filed by the Company and declared effective by the SEC, or until such time as the Company has filed an appropriate report with the SEC pursuant to the Exchange Act. The Buyers hereby covenant that they will not sell any Registrable Shares pursuant to said prospectus during the period commencing at the time at which the Company gives the Buyers notice of the suspension of the use of said prospectus and ending at the time the Company gives the Buyers notice that the Buyers may thereafter effect sales pursuant to said prospectus; provided, that such suspension periods shall in no event exceed 30 days in any 12 month period and that, in the good faith judgment of the Board of Directors, the Company would, in the absence of such delay or suspension hereunder, be required under state or federal securities laws to disclose any corporate development, a potentially significant transaction or event involving the Company, or any negotiations, discussions, or proposals directly relating thereto, in either case the disclosure of which would reasonably be expected to have a Material Adverse Effect upon the Company or its stockholders.</w:t>
      </w:r>
    </w:p>
    <w:p>
      <w:pPr>
        <w:spacing w:after="0" w:line="185" w:lineRule="exact"/>
        <w:rPr>
          <w:sz w:val="20"/>
          <w:szCs w:val="20"/>
          <w:color w:val="auto"/>
        </w:rPr>
      </w:pPr>
    </w:p>
    <w:p>
      <w:pPr>
        <w:ind w:left="-8" w:right="20" w:firstLine="656"/>
        <w:spacing w:after="0" w:line="308" w:lineRule="auto"/>
        <w:tabs>
          <w:tab w:leader="none" w:pos="964"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Termination of Registration Rights</w:t>
      </w:r>
      <w:r>
        <w:rPr>
          <w:rFonts w:ascii="Arial" w:cs="Arial" w:eastAsia="Arial" w:hAnsi="Arial"/>
          <w:sz w:val="17"/>
          <w:szCs w:val="17"/>
          <w:color w:val="auto"/>
        </w:rPr>
        <w:t>. The obligations of the Company pursuant to Section 4(x) hereof shall cease and terminate, with respect to any Registrable Shares, upon such time as such Registrable Shares have been resold.</w:t>
      </w:r>
    </w:p>
    <w:p>
      <w:pPr>
        <w:spacing w:after="0" w:line="146" w:lineRule="exact"/>
        <w:rPr>
          <w:rFonts w:ascii="Arial" w:cs="Arial" w:eastAsia="Arial" w:hAnsi="Arial"/>
          <w:sz w:val="17"/>
          <w:szCs w:val="17"/>
          <w:color w:val="auto"/>
        </w:rPr>
      </w:pPr>
    </w:p>
    <w:p>
      <w:pPr>
        <w:ind w:left="652" w:hanging="652"/>
        <w:spacing w:after="0"/>
        <w:tabs>
          <w:tab w:leader="none" w:pos="6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REGISTER; TRANSFER AGENT INSTRUCTIONS.</w:t>
      </w:r>
    </w:p>
    <w:p>
      <w:pPr>
        <w:spacing w:after="0" w:line="225" w:lineRule="exact"/>
        <w:rPr>
          <w:rFonts w:ascii="Arial" w:cs="Arial" w:eastAsia="Arial" w:hAnsi="Arial"/>
          <w:sz w:val="18"/>
          <w:szCs w:val="18"/>
          <w:color w:val="auto"/>
        </w:rPr>
      </w:pPr>
    </w:p>
    <w:p>
      <w:pPr>
        <w:ind w:left="-8" w:firstLine="656"/>
        <w:spacing w:after="0" w:line="291" w:lineRule="auto"/>
        <w:tabs>
          <w:tab w:leader="none" w:pos="884"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Company shall maintain at its principal executive offices (or such other office or agency of the Company as it may designate by notice to each holder of Securities), a register for the registration of the Securities in which the Company shall record the name and address of the Person in whose name the Purchased Securities have been issued (including the name and address of each transferee), the aggregate amount of the Notes and the Warrants held by such Person, and the number of Warrant Shares issuable pursuant to the terms of the Warrants held by such Person. The Company shall keep the register open and available at all times during business hours for inspection of any Buyer or its legal representatives. This provision shall be construed such that the Securities, the Notes, and the Warrants are at all times maintained in “registered form” within the meanings of Sections 163(f), 871(h)(2) and 881(c)(2) of the Code and any Treasury Regulations promulgated thereunder.</w:t>
      </w:r>
    </w:p>
    <w:p>
      <w:pPr>
        <w:spacing w:after="0" w:line="37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96" w:name="page97"/>
    <w:bookmarkEnd w:id="96"/>
    <w:p>
      <w:pPr>
        <w:ind w:right="20" w:firstLine="656"/>
        <w:spacing w:after="0" w:line="282" w:lineRule="auto"/>
        <w:tabs>
          <w:tab w:leader="none" w:pos="90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Transfer Agent Instructions</w:t>
      </w:r>
      <w:r>
        <w:rPr>
          <w:rFonts w:ascii="Arial" w:cs="Arial" w:eastAsia="Arial" w:hAnsi="Arial"/>
          <w:sz w:val="16"/>
          <w:szCs w:val="16"/>
          <w:color w:val="auto"/>
        </w:rPr>
        <w:t>. The Company shall issue irrevocable instructions to its transfer agent and any subsequent transfer agent (as applicable) (the “</w:t>
      </w:r>
      <w:r>
        <w:rPr>
          <w:rFonts w:ascii="Arial" w:cs="Arial" w:eastAsia="Arial" w:hAnsi="Arial"/>
          <w:sz w:val="16"/>
          <w:szCs w:val="16"/>
          <w:b w:val="1"/>
          <w:bCs w:val="1"/>
          <w:color w:val="auto"/>
        </w:rPr>
        <w:t>Transfer Agent</w:t>
      </w:r>
      <w:r>
        <w:rPr>
          <w:rFonts w:ascii="Arial" w:cs="Arial" w:eastAsia="Arial" w:hAnsi="Arial"/>
          <w:sz w:val="16"/>
          <w:szCs w:val="16"/>
          <w:color w:val="auto"/>
        </w:rPr>
        <w:t>”) in a form acceptable to each of the Buyers (the “</w:t>
      </w:r>
      <w:r>
        <w:rPr>
          <w:rFonts w:ascii="Arial" w:cs="Arial" w:eastAsia="Arial" w:hAnsi="Arial"/>
          <w:sz w:val="16"/>
          <w:szCs w:val="16"/>
          <w:b w:val="1"/>
          <w:bCs w:val="1"/>
          <w:color w:val="auto"/>
        </w:rPr>
        <w:t>Irrevocable Transfer Agent Instructions</w:t>
      </w:r>
      <w:r>
        <w:rPr>
          <w:rFonts w:ascii="Arial" w:cs="Arial" w:eastAsia="Arial" w:hAnsi="Arial"/>
          <w:sz w:val="16"/>
          <w:szCs w:val="16"/>
          <w:color w:val="auto"/>
        </w:rPr>
        <w:t>”) to credit shares to each such Buyer’s (or its designee’s) account at DTC through its Deposit/Withdrawal At Custodian (“</w:t>
      </w:r>
      <w:r>
        <w:rPr>
          <w:rFonts w:ascii="Arial" w:cs="Arial" w:eastAsia="Arial" w:hAnsi="Arial"/>
          <w:sz w:val="16"/>
          <w:szCs w:val="16"/>
          <w:b w:val="1"/>
          <w:bCs w:val="1"/>
          <w:color w:val="auto"/>
        </w:rPr>
        <w:t>DWAC</w:t>
      </w:r>
      <w:r>
        <w:rPr>
          <w:rFonts w:ascii="Arial" w:cs="Arial" w:eastAsia="Arial" w:hAnsi="Arial"/>
          <w:sz w:val="16"/>
          <w:szCs w:val="16"/>
          <w:color w:val="auto"/>
        </w:rPr>
        <w:t>”) System, provided that the Transfer Agent is participating in the DTC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and the shares are then eligible for transfer through the DWAC System, or, if the Transfer Agent is not participating in FAST or if the shares are not then eligible for transfer through the DWAC system, issue and dispatch by overnight courier to the address as specified in the exercise notice of the Warrant a certificate, registered in the name of such Buyer or its designee, for the number of Warrant Shares to which the Buyer is entitled pursuant to such exercise, , for the Underlying Shares in such amounts as specified from time to time by each Buyer to the Company pursuant to the Warrants, and that if such Underlying Shares shall be issued on or after the date that is six (6) months following the (i) Initial Closing Date with respect to the Initial Purchased Securities, (ii) First Subsequent Closing Date with respect to the First Subsequently Purchased Securities and (iii) Second Subsequent Closing Date with respect to the Second Subsequently Purchased Securities, and the Company is then in compliance with its obligations under Section 4(c) hereof (or if such Underlying Shares shall be issued on or after the date that is twelve (12) months following the (i) Initial Closing Date with respect to the Initial Purchased Securities, (ii) First Subsequent Closing Date with respect to the First Subsequently Purchased Securities and (iii) Second Subsequent Closing Date with respect to the Second Subsequently Purchased Securities, regardless of whether the Company is then in compliance with its obligations under Section 4(c) hereof) such shares shall not bear any legend referring to transfer restrictions under the Securities Act or other securities law. The Company represents and warrants that no instruction other than the Irrevocable Transfer Agent Instructions referred to in this Section 5(b), and stop transfer instructions to give effect to Section 2(g) hereof, will be given by the Company to the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the Securities in accordance with Section 2(g), the Company shall permit the transfer and shall promptly instruct the Transfer Agent to issue one or more certificates or credit shares to the applicable balance accounts at DTC in such name and in such denominations as specified by such Buyer to effect such sale, transfer or assignment. In the event that such sale, assignment or transfer involves Underlying Shares sold, assigned or transferred pursuant to an effective registration statement or in compliance with Rule 144, the Transfer Agent shall issue such shares to such Buyer, assignee or transferee (as the case may be) without any restrictive legend in accordance with Section 5(d). The Company acknowledges that a breach by it of its obligations hereunder will cause irreparable harm to a Buyer. Accordingly, the Company acknowledges that the remedy at law for a breach of its obligations under this</w:t>
      </w:r>
    </w:p>
    <w:p>
      <w:pPr>
        <w:spacing w:after="0" w:line="9"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Any fees (with respect to the Transfer Agent, counsel to the Company or otherwise) associated with the removal of any legends on any of the Securities shall be borne by the Company.</w:t>
      </w:r>
    </w:p>
    <w:p>
      <w:pPr>
        <w:spacing w:after="0" w:line="161" w:lineRule="exact"/>
        <w:rPr>
          <w:rFonts w:ascii="Arial" w:cs="Arial" w:eastAsia="Arial" w:hAnsi="Arial"/>
          <w:sz w:val="16"/>
          <w:szCs w:val="16"/>
          <w:color w:val="auto"/>
        </w:rPr>
      </w:pPr>
    </w:p>
    <w:p>
      <w:pPr>
        <w:ind w:right="80" w:firstLine="656"/>
        <w:spacing w:after="0" w:line="259" w:lineRule="auto"/>
        <w:tabs>
          <w:tab w:leader="none" w:pos="89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Each Buyer understands that the Securities have been issued (or will be issued in the case of the Underlying Shares) pursuant to an exemption from registration or qualification under the 1933 Act and applicable state securities laws, and except as set forth herein, the Securities shall bear any legend as required by the “blue sky” laws of any state and a restrictive legend in substantially the following form (and a stop-transfer order may be placed against transfer of such stock certificates):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Legend</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ISSUANCE AND SALE OF THE SECURITIES REPRESENTED BY THIS CERTIFICATE HAVE BEEN REGISTERED UNDER THE SECURITIES ACT OF 1933, AS AMENDED (THE “SECURITIES ACT”), OR APPLICABLE STATE SECURITIES LAWS. UNTIL THE DATE THAT IS ONE (1) YEAR AFTER THE ISSUE DATE (AS DEFINED ON THE REVERSE OF THIS NOTE),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Underlying Shares Legend</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Legend</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SECURITIES REPRESENTED BY THIS WARRANT, AND THE SECURITIES ISSUABLE UPON EXERCISE HEREOF,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OR AN OPINION OF COUNSEL IN A FORM REASONABLY SATISFACTORY TO THE ISSUER THAT REGISTRATION IS NOT REQUIRED UNDER SAID ACT OR APPLICABLE STATE SECURITIES LAWS.</w:t>
      </w:r>
    </w:p>
    <w:p>
      <w:pPr>
        <w:spacing w:after="0" w:line="200" w:lineRule="exact"/>
        <w:rPr>
          <w:sz w:val="20"/>
          <w:szCs w:val="20"/>
          <w:color w:val="auto"/>
        </w:rPr>
      </w:pPr>
    </w:p>
    <w:p>
      <w:pPr>
        <w:spacing w:after="0" w:line="203"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904" w:right="459" w:bottom="1440" w:gutter="0" w:footer="0" w:header="0"/>
        </w:sectPr>
      </w:pPr>
    </w:p>
    <w:bookmarkStart w:id="98" w:name="page99"/>
    <w:bookmarkEnd w:id="98"/>
    <w:p>
      <w:pPr>
        <w:ind w:left="912" w:hanging="264"/>
        <w:spacing w:after="0"/>
        <w:tabs>
          <w:tab w:leader="none" w:pos="912"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Removal of Legends</w:t>
      </w:r>
      <w:r>
        <w:rPr>
          <w:rFonts w:ascii="Arial" w:cs="Arial" w:eastAsia="Arial" w:hAnsi="Arial"/>
          <w:sz w:val="16"/>
          <w:szCs w:val="16"/>
          <w:color w:val="auto"/>
        </w:rPr>
        <w:t>. Certificates evidencing Securities shall not be required to contain the legend set forth in Section 5(c) or any other legend</w:t>
      </w:r>
    </w:p>
    <w:p>
      <w:pPr>
        <w:spacing w:after="0" w:line="46" w:lineRule="exact"/>
        <w:rPr>
          <w:rFonts w:ascii="Arial" w:cs="Arial" w:eastAsia="Arial" w:hAnsi="Arial"/>
          <w:sz w:val="16"/>
          <w:szCs w:val="16"/>
          <w:color w:val="auto"/>
        </w:rPr>
      </w:pPr>
    </w:p>
    <w:p>
      <w:pPr>
        <w:ind w:left="-8" w:right="20" w:firstLine="8"/>
        <w:spacing w:after="0" w:line="284" w:lineRule="auto"/>
        <w:tabs>
          <w:tab w:leader="none" w:pos="20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while a registration statement covering the resale of such Securities is effective under the 1933 Act, (ii) following any sale of such Securities pursuant to Rule 144 (assuming the transferor is not an affiliate of the Company), provided that a Buyer furnishes the Company with reasonable assurances that such Securities are eligible for sale, assignment or transfer under Rule 144, which shall not include an opinion of Buyer’s counsel, (iii) if such Securities are eligible to be sold, assigned or transferred under Rule 144 free of the current public information reporting requirement contained in Rule 144(c)(1), (iv) in connection with a sale, assignment or other transfer (other than under Rule 144), provided that such Buyer provides the Company with an opinion of counsel to such Buyer, in a generally acceptable form, to the effect that such sale, assignment or transfer of the Securities may be made without registration under the applicable provisions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two (2) Business Days (or such earlier date as required pursuant to the 1934 Act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Buyer as may be reasonably required above in this Section 5(d) (such date, the “</w:t>
      </w:r>
      <w:r>
        <w:rPr>
          <w:rFonts w:ascii="Arial" w:cs="Arial" w:eastAsia="Arial" w:hAnsi="Arial"/>
          <w:sz w:val="16"/>
          <w:szCs w:val="16"/>
          <w:b w:val="1"/>
          <w:bCs w:val="1"/>
          <w:color w:val="auto"/>
        </w:rPr>
        <w:t>Legend Removal Date</w:t>
      </w:r>
      <w:r>
        <w:rPr>
          <w:rFonts w:ascii="Arial" w:cs="Arial" w:eastAsia="Arial" w:hAnsi="Arial"/>
          <w:sz w:val="16"/>
          <w:szCs w:val="16"/>
          <w:color w:val="auto"/>
        </w:rPr>
        <w:t>”), as directed by such Buyer, either: (A) provided that the Transfer Agent is participating in FAST, credit the applicable number of shares of Common Stock to which such Buyer shall be entitled to such Buyer’s or its designee’s balance account with DTC through its DWAC system or (B) if the Transfer Agent is not participating in FAST, issue and deliver (via reputable overnight courier) to such Buyer, a certificate representing such Securities that is free from all restrictive and other legends, registered in the name of such Buyer or its designee. The Company shall be responsible for any transfer agent fees or DTC fees with respect to any issuance of Securities or the removal of any legends with respect to any Securities in accordance herewith and the Buyer shall not be required to deliver or cause to be delivered a legal opinion in connection with a sale of such Securities pursuant to Rule 144.</w:t>
      </w:r>
    </w:p>
    <w:p>
      <w:pPr>
        <w:spacing w:after="0" w:line="169" w:lineRule="exact"/>
        <w:rPr>
          <w:rFonts w:ascii="Arial" w:cs="Arial" w:eastAsia="Arial" w:hAnsi="Arial"/>
          <w:sz w:val="16"/>
          <w:szCs w:val="16"/>
          <w:color w:val="auto"/>
        </w:rPr>
      </w:pPr>
    </w:p>
    <w:p>
      <w:pPr>
        <w:ind w:left="-8" w:firstLine="656"/>
        <w:spacing w:after="0" w:line="285" w:lineRule="auto"/>
        <w:tabs>
          <w:tab w:leader="none" w:pos="88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the Company or the Transfer Agent fails to deliver shares to a Buyer or an applicable assignee or transferee (as the case may be) without any restrictive legend in accordance with Section 5(b) or Section 5(d), then in addition to such Buyer’s other available remedies hereunder, the Company shall pay to such Buyer, in cash, (1) as partial liquidated damages and not as a penalty, for each $1,000 of Underlying Shares (based on the Weighted Average Price (as defined in the Warrants) of the Common Stock on the date such Buyer delivers notice or a legended certificate, as applicable, to the Company or the Transfer Agent) for which the Company or the Transfer Agent fails to deliver shares without any restrictive legend an amount equal to $10 per Trading Day (increasing to $20 per Trading Day five (5) Trading Days after such damages have begun to accrue) for each Trading Day after the Legend Removal Date until such undelivered shares are delivered without a legend; and (2) if the Company is obligated to remove the restrictive legends pursuant to Section 5(d) but fails to (a) issue and deliver (or cause to be delivered) shares to a Buyer by the Legend Removal Date that are free from all restrictive and other legends and (b) if after the Legend Removal Date a Buyer purchases (in an open market transaction or otherwise) shares of Common Stock to deliver in settlement of a sale by the Buyer of all or any portion of the number of shares of Common Stock, or a sale of a number of shares of Common Stock equal to all or any portion of the number of shares of Common Stock, that the Buyer anticipated receiving from the Company without any restrictive legend, then an amount equal to the excess of the Buyer’s total purchase price (including brokerage commissions and other out-of-pocket expenses, if any) for the shares of Common Stock so purchased (including brokerage commissions and other out-of-pocket expenses, if any) over the product of (A) such number of shares of Common Stock that the Company was required to deliver to the Buyer by the Legend Removal Date multiplied by (B) the price at which the sell order giving rise to such purchase obligation was executed. For avoidance of doubt, this Section 5(e) shall not be duplicative with any provisions in the Notes or the Warrants addressing any failure to deliver shares without restrictive legends.</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99" w:name="page100"/>
    <w:bookmarkEnd w:id="99"/>
    <w:p>
      <w:pPr>
        <w:ind w:left="872" w:hanging="224"/>
        <w:spacing w:after="0"/>
        <w:tabs>
          <w:tab w:leader="none" w:pos="872"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FAST Compliance</w:t>
      </w:r>
      <w:r>
        <w:rPr>
          <w:rFonts w:ascii="Arial" w:cs="Arial" w:eastAsia="Arial" w:hAnsi="Arial"/>
          <w:sz w:val="16"/>
          <w:szCs w:val="16"/>
          <w:color w:val="auto"/>
        </w:rPr>
        <w:t>. While any Notes or Warrants remain outstanding, the Company shall maintain a transfer agent that participates in FAST.</w:t>
      </w:r>
    </w:p>
    <w:p>
      <w:pPr>
        <w:spacing w:after="0" w:line="244" w:lineRule="exact"/>
        <w:rPr>
          <w:rFonts w:ascii="Arial" w:cs="Arial" w:eastAsia="Arial" w:hAnsi="Arial"/>
          <w:sz w:val="16"/>
          <w:szCs w:val="16"/>
          <w:color w:val="auto"/>
        </w:rPr>
      </w:pPr>
    </w:p>
    <w:p>
      <w:pPr>
        <w:ind w:left="652" w:hanging="652"/>
        <w:spacing w:after="0"/>
        <w:tabs>
          <w:tab w:leader="none" w:pos="65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OBLIGATION TO SELL THE PURCHASED SECURITIES.</w:t>
      </w:r>
    </w:p>
    <w:p>
      <w:pPr>
        <w:spacing w:after="0" w:line="229" w:lineRule="exact"/>
        <w:rPr>
          <w:rFonts w:ascii="Arial" w:cs="Arial" w:eastAsia="Arial" w:hAnsi="Arial"/>
          <w:sz w:val="18"/>
          <w:szCs w:val="18"/>
          <w:b w:val="1"/>
          <w:bCs w:val="1"/>
          <w:color w:val="auto"/>
        </w:rPr>
      </w:pPr>
    </w:p>
    <w:p>
      <w:pPr>
        <w:jc w:val="both"/>
        <w:ind w:left="-8" w:firstLine="656"/>
        <w:spacing w:after="0" w:line="279" w:lineRule="auto"/>
        <w:tabs>
          <w:tab w:leader="none" w:pos="885"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obligation of the Company hereunder to issue and sell the Purchased Securities to each Buyer at the Initial Closing, the First Subsequent Closing and the Second Subsequent Closing is subject to the satisfaction, at or before the Initial Closing Date, the First Subsequent Closing Date and the Second Subsequent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1" w:lineRule="exact"/>
        <w:rPr>
          <w:rFonts w:ascii="Arial" w:cs="Arial" w:eastAsia="Arial" w:hAnsi="Arial"/>
          <w:sz w:val="17"/>
          <w:szCs w:val="17"/>
          <w:color w:val="auto"/>
        </w:rPr>
      </w:pPr>
    </w:p>
    <w:p>
      <w:pPr>
        <w:ind w:left="1512" w:hanging="216"/>
        <w:spacing w:after="0"/>
        <w:tabs>
          <w:tab w:leader="none" w:pos="1512" w:val="left"/>
        </w:tabs>
        <w:numPr>
          <w:ilvl w:val="2"/>
          <w:numId w:val="126"/>
        </w:numPr>
        <w:rPr>
          <w:rFonts w:ascii="Arial" w:cs="Arial" w:eastAsia="Arial" w:hAnsi="Arial"/>
          <w:sz w:val="17"/>
          <w:szCs w:val="17"/>
          <w:color w:val="auto"/>
        </w:rPr>
      </w:pPr>
      <w:r>
        <w:rPr>
          <w:rFonts w:ascii="Arial" w:cs="Arial" w:eastAsia="Arial" w:hAnsi="Arial"/>
          <w:sz w:val="17"/>
          <w:szCs w:val="17"/>
          <w:color w:val="auto"/>
        </w:rPr>
        <w:t>Such Buyer shall have executed each of the other Transaction Documents to which it is a party and delivered the same to the</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652" w:right="140" w:firstLine="644"/>
        <w:spacing w:after="0" w:line="263" w:lineRule="auto"/>
        <w:tabs>
          <w:tab w:leader="none" w:pos="1565" w:val="left"/>
        </w:tabs>
        <w:numPr>
          <w:ilvl w:val="2"/>
          <w:numId w:val="126"/>
        </w:numPr>
        <w:rPr>
          <w:rFonts w:ascii="Arial" w:cs="Arial" w:eastAsia="Arial" w:hAnsi="Arial"/>
          <w:sz w:val="18"/>
          <w:szCs w:val="18"/>
          <w:color w:val="auto"/>
        </w:rPr>
      </w:pPr>
      <w:r>
        <w:rPr>
          <w:rFonts w:ascii="Arial" w:cs="Arial" w:eastAsia="Arial" w:hAnsi="Arial"/>
          <w:sz w:val="18"/>
          <w:szCs w:val="18"/>
          <w:color w:val="auto"/>
        </w:rPr>
        <w:t>Such Buyer and each other Buyer shall have delivered to the Company the Purchase Price for the Purchased Securities being purchased by such Buyer at such Closing by wire transfer of immediately available funds in accordance with a Flow of Funds Letter with respect to the Purchased Securities to be purchased at such Closing.</w:t>
      </w:r>
    </w:p>
    <w:p>
      <w:pPr>
        <w:spacing w:after="0" w:line="183" w:lineRule="exact"/>
        <w:rPr>
          <w:rFonts w:ascii="Arial" w:cs="Arial" w:eastAsia="Arial" w:hAnsi="Arial"/>
          <w:sz w:val="18"/>
          <w:szCs w:val="18"/>
          <w:color w:val="auto"/>
        </w:rPr>
      </w:pPr>
    </w:p>
    <w:p>
      <w:pPr>
        <w:ind w:left="652" w:right="40" w:firstLine="644"/>
        <w:spacing w:after="0" w:line="255" w:lineRule="auto"/>
        <w:tabs>
          <w:tab w:leader="none" w:pos="1615"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representations and warranties of such Buyer shall be true and correct in all material respects (except for such representations and warranties that are qualified by materiality or material adverse effect, which shall be true and correct in all respects) as of the date when made and as of the date of such Closing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date of such Closing.</w:t>
      </w:r>
    </w:p>
    <w:p>
      <w:pPr>
        <w:spacing w:after="0" w:line="192" w:lineRule="exact"/>
        <w:rPr>
          <w:rFonts w:ascii="Arial" w:cs="Arial" w:eastAsia="Arial" w:hAnsi="Arial"/>
          <w:sz w:val="18"/>
          <w:szCs w:val="18"/>
          <w:color w:val="auto"/>
        </w:rPr>
      </w:pPr>
    </w:p>
    <w:p>
      <w:pPr>
        <w:ind w:left="652" w:right="220" w:firstLine="644"/>
        <w:spacing w:after="0" w:line="277" w:lineRule="auto"/>
        <w:tabs>
          <w:tab w:leader="none" w:pos="1605"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Buyers and the Company shall have mutually agreed to the allocation of the issue price between the Notes and the Warrants in accordance with Section 1(b).</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00" w:name="page101"/>
    <w:bookmarkEnd w:id="100"/>
    <w:p>
      <w:pPr>
        <w:ind w:left="652" w:hanging="652"/>
        <w:spacing w:after="0"/>
        <w:tabs>
          <w:tab w:leader="none" w:pos="65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EACH BUYER’S OBLIGATION TO PURCHASE THE PURCHASED SECURITIES.</w:t>
      </w:r>
    </w:p>
    <w:p>
      <w:pPr>
        <w:spacing w:after="0" w:line="229" w:lineRule="exact"/>
        <w:rPr>
          <w:rFonts w:ascii="Arial" w:cs="Arial" w:eastAsia="Arial" w:hAnsi="Arial"/>
          <w:sz w:val="18"/>
          <w:szCs w:val="18"/>
          <w:b w:val="1"/>
          <w:bCs w:val="1"/>
          <w:color w:val="auto"/>
        </w:rPr>
      </w:pPr>
    </w:p>
    <w:p>
      <w:pPr>
        <w:ind w:left="-8" w:firstLine="656"/>
        <w:spacing w:after="0" w:line="263" w:lineRule="auto"/>
        <w:tabs>
          <w:tab w:leader="none" w:pos="88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obligation of each Buyer hereunder to purchase its Purchased Securities at the Initial Closing is subject to the satisfaction, at or before the Initial Closing Date, of each of the following conditions, provided that these conditions are for each Buyer’s sole benefit and may be waived by such Buyer at any time in its sole discretion by providing the Company with prior written notice thereof:</w:t>
      </w:r>
    </w:p>
    <w:p>
      <w:pPr>
        <w:spacing w:after="0" w:line="183" w:lineRule="exact"/>
        <w:rPr>
          <w:rFonts w:ascii="Arial" w:cs="Arial" w:eastAsia="Arial" w:hAnsi="Arial"/>
          <w:sz w:val="18"/>
          <w:szCs w:val="18"/>
          <w:color w:val="auto"/>
        </w:rPr>
      </w:pPr>
    </w:p>
    <w:p>
      <w:pPr>
        <w:jc w:val="both"/>
        <w:ind w:left="652" w:right="60" w:firstLine="644"/>
        <w:spacing w:after="0" w:line="286" w:lineRule="auto"/>
        <w:tabs>
          <w:tab w:leader="none" w:pos="1515" w:val="left"/>
        </w:tabs>
        <w:numPr>
          <w:ilvl w:val="2"/>
          <w:numId w:val="127"/>
        </w:numPr>
        <w:rPr>
          <w:rFonts w:ascii="Arial" w:cs="Arial" w:eastAsia="Arial" w:hAnsi="Arial"/>
          <w:sz w:val="17"/>
          <w:szCs w:val="17"/>
          <w:color w:val="auto"/>
        </w:rPr>
      </w:pPr>
      <w:r>
        <w:rPr>
          <w:rFonts w:ascii="Arial" w:cs="Arial" w:eastAsia="Arial" w:hAnsi="Arial"/>
          <w:sz w:val="17"/>
          <w:szCs w:val="17"/>
          <w:color w:val="auto"/>
        </w:rPr>
        <w:t>The Company and each Subsidiary (as the case may be) shall have duly executed and delivered to such Buyer each of the Transaction Documents to which it is a party and the Company shall have duly executed and delivered to such Buyer the Initial Purchased Securities set forth across from such Buyer’s name on the Schedule of Buyers at the Initial Closing pursuant to this Agreement.</w:t>
      </w:r>
    </w:p>
    <w:p>
      <w:pPr>
        <w:spacing w:after="0" w:line="165" w:lineRule="exact"/>
        <w:rPr>
          <w:rFonts w:ascii="Arial" w:cs="Arial" w:eastAsia="Arial" w:hAnsi="Arial"/>
          <w:sz w:val="17"/>
          <w:szCs w:val="17"/>
          <w:color w:val="auto"/>
        </w:rPr>
      </w:pPr>
    </w:p>
    <w:p>
      <w:pPr>
        <w:ind w:left="652" w:firstLine="644"/>
        <w:spacing w:after="0" w:line="277" w:lineRule="auto"/>
        <w:tabs>
          <w:tab w:leader="none" w:pos="1565" w:val="left"/>
        </w:tabs>
        <w:numPr>
          <w:ilvl w:val="2"/>
          <w:numId w:val="127"/>
        </w:numPr>
        <w:rPr>
          <w:rFonts w:ascii="Arial" w:cs="Arial" w:eastAsia="Arial" w:hAnsi="Arial"/>
          <w:sz w:val="18"/>
          <w:szCs w:val="18"/>
          <w:color w:val="auto"/>
        </w:rPr>
      </w:pPr>
      <w:r>
        <w:rPr>
          <w:rFonts w:ascii="Arial" w:cs="Arial" w:eastAsia="Arial" w:hAnsi="Arial"/>
          <w:sz w:val="18"/>
          <w:szCs w:val="18"/>
          <w:color w:val="auto"/>
        </w:rPr>
        <w:t>Such Buyer shall have received the opinion of Burns &amp; Levinson LLP, the Company’s counsel, dated as of the Initial Closing Date, in the form acceptable to such Buyer.</w:t>
      </w:r>
    </w:p>
    <w:p>
      <w:pPr>
        <w:spacing w:after="0" w:line="170" w:lineRule="exact"/>
        <w:rPr>
          <w:rFonts w:ascii="Arial" w:cs="Arial" w:eastAsia="Arial" w:hAnsi="Arial"/>
          <w:sz w:val="18"/>
          <w:szCs w:val="18"/>
          <w:color w:val="auto"/>
        </w:rPr>
      </w:pPr>
    </w:p>
    <w:p>
      <w:pPr>
        <w:ind w:left="652" w:right="100" w:firstLine="644"/>
        <w:spacing w:after="0" w:line="277" w:lineRule="auto"/>
        <w:tabs>
          <w:tab w:leader="none" w:pos="1615" w:val="left"/>
        </w:tabs>
        <w:numPr>
          <w:ilvl w:val="2"/>
          <w:numId w:val="127"/>
        </w:numPr>
        <w:rPr>
          <w:rFonts w:ascii="Arial" w:cs="Arial" w:eastAsia="Arial" w:hAnsi="Arial"/>
          <w:sz w:val="18"/>
          <w:szCs w:val="18"/>
          <w:color w:val="auto"/>
        </w:rPr>
      </w:pPr>
      <w:r>
        <w:rPr>
          <w:rFonts w:ascii="Arial" w:cs="Arial" w:eastAsia="Arial" w:hAnsi="Arial"/>
          <w:sz w:val="18"/>
          <w:szCs w:val="18"/>
          <w:color w:val="auto"/>
        </w:rPr>
        <w:t>Such Buyer shall have received the opinion of Sherman &amp; Howard LLC, in its capacity as the Company’s Nevada counsel, dated as of the Initial Closing Date, in the form acceptable to such Buyer.</w:t>
      </w:r>
    </w:p>
    <w:p>
      <w:pPr>
        <w:spacing w:after="0" w:line="170" w:lineRule="exact"/>
        <w:rPr>
          <w:rFonts w:ascii="Arial" w:cs="Arial" w:eastAsia="Arial" w:hAnsi="Arial"/>
          <w:sz w:val="18"/>
          <w:szCs w:val="18"/>
          <w:color w:val="auto"/>
        </w:rPr>
      </w:pPr>
    </w:p>
    <w:p>
      <w:pPr>
        <w:ind w:left="652" w:firstLine="644"/>
        <w:spacing w:after="0" w:line="277" w:lineRule="auto"/>
        <w:tabs>
          <w:tab w:leader="none" w:pos="1605" w:val="left"/>
        </w:tabs>
        <w:numPr>
          <w:ilvl w:val="2"/>
          <w:numId w:val="127"/>
        </w:numPr>
        <w:rPr>
          <w:rFonts w:ascii="Arial" w:cs="Arial" w:eastAsia="Arial" w:hAnsi="Arial"/>
          <w:sz w:val="18"/>
          <w:szCs w:val="18"/>
          <w:color w:val="auto"/>
        </w:rPr>
      </w:pPr>
      <w:r>
        <w:rPr>
          <w:rFonts w:ascii="Arial" w:cs="Arial" w:eastAsia="Arial" w:hAnsi="Arial"/>
          <w:sz w:val="18"/>
          <w:szCs w:val="18"/>
          <w:color w:val="auto"/>
        </w:rPr>
        <w:t>Such Buyer shall have received the opinion of Sherman &amp; Howard LLC, in its capacity as the Company’s Colorado counsel, dated as of the Initial Closing Date, in the form acceptable to such Buyer.</w:t>
      </w:r>
    </w:p>
    <w:p>
      <w:pPr>
        <w:spacing w:after="0" w:line="170" w:lineRule="exact"/>
        <w:rPr>
          <w:rFonts w:ascii="Arial" w:cs="Arial" w:eastAsia="Arial" w:hAnsi="Arial"/>
          <w:sz w:val="18"/>
          <w:szCs w:val="18"/>
          <w:color w:val="auto"/>
        </w:rPr>
      </w:pPr>
    </w:p>
    <w:p>
      <w:pPr>
        <w:ind w:left="652" w:firstLine="644"/>
        <w:spacing w:after="0" w:line="342" w:lineRule="auto"/>
        <w:tabs>
          <w:tab w:leader="none" w:pos="1555" w:val="left"/>
        </w:tabs>
        <w:numPr>
          <w:ilvl w:val="2"/>
          <w:numId w:val="127"/>
        </w:numPr>
        <w:rPr>
          <w:rFonts w:ascii="Arial" w:cs="Arial" w:eastAsia="Arial" w:hAnsi="Arial"/>
          <w:sz w:val="16"/>
          <w:szCs w:val="16"/>
          <w:color w:val="auto"/>
        </w:rPr>
      </w:pPr>
      <w:r>
        <w:rPr>
          <w:rFonts w:ascii="Arial" w:cs="Arial" w:eastAsia="Arial" w:hAnsi="Arial"/>
          <w:sz w:val="16"/>
          <w:szCs w:val="16"/>
          <w:color w:val="auto"/>
        </w:rPr>
        <w:t>The Company shall have delivered to such Buyer a copy of the Irrevocable Transfer Agent Instructions, dated as of the Initial Closing Date, in the form acceptable to such Buyer, which instructions shall have been delivered to and acknowledged in writing by the Transfer Agent.</w:t>
      </w:r>
    </w:p>
    <w:p>
      <w:pPr>
        <w:spacing w:after="0" w:line="123" w:lineRule="exact"/>
        <w:rPr>
          <w:rFonts w:ascii="Arial" w:cs="Arial" w:eastAsia="Arial" w:hAnsi="Arial"/>
          <w:sz w:val="16"/>
          <w:szCs w:val="16"/>
          <w:color w:val="auto"/>
        </w:rPr>
      </w:pPr>
    </w:p>
    <w:p>
      <w:pPr>
        <w:ind w:left="652" w:right="40" w:firstLine="644"/>
        <w:spacing w:after="0" w:line="263" w:lineRule="auto"/>
        <w:tabs>
          <w:tab w:leader="none" w:pos="1605"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Initial Closing Date.</w:t>
      </w:r>
    </w:p>
    <w:p>
      <w:pPr>
        <w:spacing w:after="0" w:line="183" w:lineRule="exact"/>
        <w:rPr>
          <w:rFonts w:ascii="Arial" w:cs="Arial" w:eastAsia="Arial" w:hAnsi="Arial"/>
          <w:sz w:val="18"/>
          <w:szCs w:val="18"/>
          <w:color w:val="auto"/>
        </w:rPr>
      </w:pPr>
    </w:p>
    <w:p>
      <w:pPr>
        <w:ind w:left="652" w:firstLine="644"/>
        <w:spacing w:after="0" w:line="277" w:lineRule="auto"/>
        <w:tabs>
          <w:tab w:leader="none" w:pos="1655"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certified copy of the Articles of Incorporation of the Company as certified by the Nevada Secretary of State within ten (10) days of the Initial Closing Date.</w:t>
      </w:r>
    </w:p>
    <w:p>
      <w:pPr>
        <w:spacing w:after="0" w:line="170" w:lineRule="exact"/>
        <w:rPr>
          <w:rFonts w:ascii="Arial" w:cs="Arial" w:eastAsia="Arial" w:hAnsi="Arial"/>
          <w:sz w:val="18"/>
          <w:szCs w:val="18"/>
          <w:color w:val="auto"/>
        </w:rPr>
      </w:pPr>
    </w:p>
    <w:p>
      <w:pPr>
        <w:ind w:left="652" w:right="80" w:firstLine="644"/>
        <w:spacing w:after="0" w:line="259" w:lineRule="auto"/>
        <w:tabs>
          <w:tab w:leader="none" w:pos="1705"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certificate, in the form acceptable to such Buyer, executed by the Secretary of the Company and dated as of the Initial Closing Date, as to (i) the resolutions consistent with Section 3(b) as adopted by the Company’s Board of Directors or a committee thereof in a form reasonably acceptable to such Buyer, (ii) the Articles of Incorporation of the Company and (iii) the Bylaws of the Company, each as in effect at the Initial Closing.</w:t>
      </w:r>
    </w:p>
    <w:p>
      <w:pPr>
        <w:spacing w:after="0" w:line="39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101" w:name="page102"/>
    <w:bookmarkEnd w:id="101"/>
    <w:p>
      <w:pPr>
        <w:ind w:left="4" w:right="140" w:firstLine="644"/>
        <w:spacing w:after="0" w:line="271" w:lineRule="auto"/>
        <w:tabs>
          <w:tab w:leader="none" w:pos="95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Each and every representation and warranty of the Company shall be true and correct in all material respects (except for such representations and warranties that are qualified by materiality or material adverse effect, which shall be true and correct in all respects) as of the date when made and as of the Initial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Initial Closing Date. Such Buyer shall have received a certificate, duly executed by the Chief Executive Officer or Chief Financial Officer of the Company, dated as of the Initial Closing Date, to the foregoing effect and as to such other matters as may be reasonably requested by such Buyer in the form acceptable to such Buyer.</w:t>
      </w:r>
    </w:p>
    <w:p>
      <w:pPr>
        <w:spacing w:after="0" w:line="178" w:lineRule="exact"/>
        <w:rPr>
          <w:rFonts w:ascii="Arial" w:cs="Arial" w:eastAsia="Arial" w:hAnsi="Arial"/>
          <w:sz w:val="17"/>
          <w:szCs w:val="17"/>
          <w:color w:val="auto"/>
        </w:rPr>
      </w:pPr>
    </w:p>
    <w:p>
      <w:pPr>
        <w:ind w:left="4" w:right="140" w:firstLine="644"/>
        <w:spacing w:after="0" w:line="277" w:lineRule="auto"/>
        <w:tabs>
          <w:tab w:leader="none" w:pos="90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Company shall have delivered to such Buyer a letter from the Transfer Agent certifying the number of shares of Common Stock outstanding on the Initial Closing Date immediately prior to the Initial Closing.</w:t>
      </w:r>
    </w:p>
    <w:p>
      <w:pPr>
        <w:spacing w:after="0" w:line="170" w:lineRule="exact"/>
        <w:rPr>
          <w:rFonts w:ascii="Arial" w:cs="Arial" w:eastAsia="Arial" w:hAnsi="Arial"/>
          <w:sz w:val="18"/>
          <w:szCs w:val="18"/>
          <w:color w:val="auto"/>
        </w:rPr>
      </w:pPr>
    </w:p>
    <w:p>
      <w:pPr>
        <w:ind w:left="4" w:right="220" w:firstLine="644"/>
        <w:spacing w:after="0" w:line="287" w:lineRule="auto"/>
        <w:tabs>
          <w:tab w:leader="none" w:pos="95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Common Stock (A) shall be designated for quotation or listed (as applicable) on the Principal Market and (B) shall not have been suspended, as of the Initial Closing Date, by the SEC or the Principal Market from trading on the Principal Market nor shall suspension by the SEC or the Principal Market have been threatened, as of the Initial Closing Date, either (1) in writing by the SEC or the Principal Market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falling below the minimum maintenance requirements of the Principal Market.</w:t>
      </w:r>
    </w:p>
    <w:p>
      <w:pPr>
        <w:spacing w:after="0" w:line="210" w:lineRule="exact"/>
        <w:rPr>
          <w:rFonts w:ascii="Arial" w:cs="Arial" w:eastAsia="Arial" w:hAnsi="Arial"/>
          <w:sz w:val="18"/>
          <w:szCs w:val="18"/>
          <w:color w:val="auto"/>
        </w:rPr>
      </w:pPr>
    </w:p>
    <w:p>
      <w:pPr>
        <w:ind w:left="4" w:firstLine="644"/>
        <w:spacing w:after="0" w:line="277" w:lineRule="auto"/>
        <w:tabs>
          <w:tab w:leader="none" w:pos="100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Company shall have obtained all governmental, regulatory or third party consents and approvals, if any, necessary for the sale of the Initial Purchased Securities, including without limitation, those required by the Principal Market, if any.</w:t>
      </w:r>
    </w:p>
    <w:p>
      <w:pPr>
        <w:spacing w:after="0" w:line="170" w:lineRule="exact"/>
        <w:rPr>
          <w:rFonts w:ascii="Arial" w:cs="Arial" w:eastAsia="Arial" w:hAnsi="Arial"/>
          <w:sz w:val="18"/>
          <w:szCs w:val="18"/>
          <w:color w:val="auto"/>
        </w:rPr>
      </w:pPr>
    </w:p>
    <w:p>
      <w:pPr>
        <w:ind w:left="4" w:right="100" w:firstLine="644"/>
        <w:spacing w:after="0" w:line="263" w:lineRule="auto"/>
        <w:tabs>
          <w:tab w:leader="none" w:pos="105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83" w:lineRule="exact"/>
        <w:rPr>
          <w:rFonts w:ascii="Arial" w:cs="Arial" w:eastAsia="Arial" w:hAnsi="Arial"/>
          <w:sz w:val="18"/>
          <w:szCs w:val="18"/>
          <w:color w:val="auto"/>
        </w:rPr>
      </w:pPr>
    </w:p>
    <w:p>
      <w:pPr>
        <w:ind w:left="4" w:right="600" w:firstLine="644"/>
        <w:spacing w:after="0" w:line="277" w:lineRule="auto"/>
        <w:tabs>
          <w:tab w:leader="none" w:pos="10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Since the date of execution of this Agreement, no event or series of events shall have occurred that would have or result in a Material Adverse Effect.</w:t>
      </w:r>
    </w:p>
    <w:p>
      <w:pPr>
        <w:spacing w:after="0" w:line="170" w:lineRule="exact"/>
        <w:rPr>
          <w:rFonts w:ascii="Arial" w:cs="Arial" w:eastAsia="Arial" w:hAnsi="Arial"/>
          <w:sz w:val="18"/>
          <w:szCs w:val="18"/>
          <w:color w:val="auto"/>
        </w:rPr>
      </w:pPr>
    </w:p>
    <w:p>
      <w:pPr>
        <w:ind w:left="4" w:right="320" w:firstLine="644"/>
        <w:spacing w:after="0" w:line="311" w:lineRule="auto"/>
        <w:tabs>
          <w:tab w:leader="none" w:pos="99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Company shall have obtained approval of the Principal Market to list or designate for quotation (as the case may be) the Underlying Shares for the Initial Purchased Securities and confirmation from the Principal Market that no stockholder vote or other conditions under the rules of the Principal Market shall apply to the sale of the Initial Purchased Securities or the issuance of such Underlying Shares.</w:t>
      </w:r>
    </w:p>
    <w:p>
      <w:pPr>
        <w:spacing w:after="0" w:line="148" w:lineRule="exact"/>
        <w:rPr>
          <w:rFonts w:ascii="Arial" w:cs="Arial" w:eastAsia="Arial" w:hAnsi="Arial"/>
          <w:sz w:val="16"/>
          <w:szCs w:val="16"/>
          <w:color w:val="auto"/>
        </w:rPr>
      </w:pPr>
    </w:p>
    <w:p>
      <w:pPr>
        <w:jc w:val="both"/>
        <w:ind w:left="4" w:right="300" w:firstLine="644"/>
        <w:spacing w:after="0" w:line="263" w:lineRule="auto"/>
        <w:tabs>
          <w:tab w:leader="none" w:pos="10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Such Buyer shall have received a letter on the letterhead of the Company, duly executed by the Chief Executive Officer or Chief Financial Officer of the Company, setting forth the wire amounts of each Buyer and the wire transfer instructions of the Company (a “</w:t>
      </w:r>
      <w:r>
        <w:rPr>
          <w:rFonts w:ascii="Arial" w:cs="Arial" w:eastAsia="Arial" w:hAnsi="Arial"/>
          <w:sz w:val="18"/>
          <w:szCs w:val="18"/>
          <w:b w:val="1"/>
          <w:bCs w:val="1"/>
          <w:color w:val="auto"/>
        </w:rPr>
        <w:t>Flow of</w:t>
      </w:r>
      <w:r>
        <w:rPr>
          <w:rFonts w:ascii="Arial" w:cs="Arial" w:eastAsia="Arial" w:hAnsi="Arial"/>
          <w:sz w:val="18"/>
          <w:szCs w:val="18"/>
          <w:color w:val="auto"/>
        </w:rPr>
        <w:t xml:space="preserve"> </w:t>
      </w:r>
      <w:r>
        <w:rPr>
          <w:rFonts w:ascii="Arial" w:cs="Arial" w:eastAsia="Arial" w:hAnsi="Arial"/>
          <w:sz w:val="18"/>
          <w:szCs w:val="18"/>
          <w:b w:val="1"/>
          <w:bCs w:val="1"/>
          <w:color w:val="auto"/>
        </w:rPr>
        <w:t>Funds Letter</w:t>
      </w:r>
      <w:r>
        <w:rPr>
          <w:rFonts w:ascii="Arial" w:cs="Arial" w:eastAsia="Arial" w:hAnsi="Arial"/>
          <w:sz w:val="18"/>
          <w:szCs w:val="18"/>
          <w:color w:val="auto"/>
        </w:rPr>
        <w:t>”) with respect to the Initial Purchased Securities.</w:t>
      </w:r>
    </w:p>
    <w:p>
      <w:pPr>
        <w:spacing w:after="0" w:line="39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2" w:name="page103"/>
    <w:bookmarkEnd w:id="102"/>
    <w:p>
      <w:pPr>
        <w:ind w:left="640" w:right="380" w:firstLine="644"/>
        <w:spacing w:after="0" w:line="257" w:lineRule="auto"/>
        <w:tabs>
          <w:tab w:leader="none" w:pos="173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Company shall have delivered to such Buyer the results of a recent lien, bankruptcy and judgment search in each relevant jurisdiction with respect to the Company and its Subsidiaries and such search shall reveal no Liens on any of the Collateral (as such term is defined in the Security Agreements) or other assets of the Company and its Subsidiaries except, in the case of assets other than Collateral, for Permitted Liens (as such term is defined in the Notes) and except for Liens to be discharged on or prior to the Initial Closing Date pursuant to documentation reasonably satisfactory to the Buyer.</w:t>
      </w:r>
    </w:p>
    <w:p>
      <w:pPr>
        <w:spacing w:after="0" w:line="187" w:lineRule="exact"/>
        <w:rPr>
          <w:rFonts w:ascii="Arial" w:cs="Arial" w:eastAsia="Arial" w:hAnsi="Arial"/>
          <w:sz w:val="18"/>
          <w:szCs w:val="18"/>
          <w:color w:val="auto"/>
        </w:rPr>
      </w:pPr>
    </w:p>
    <w:p>
      <w:pPr>
        <w:ind w:left="640" w:right="260" w:firstLine="644"/>
        <w:spacing w:after="0" w:line="277" w:lineRule="auto"/>
        <w:tabs>
          <w:tab w:leader="none" w:pos="178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Buyer a duly completed and executed perfection certificate dated no earlier than three (3) days prior to the Initial Closing Date, in the form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40" w:right="260" w:firstLine="644"/>
        <w:spacing w:after="0" w:line="263" w:lineRule="auto"/>
        <w:tabs>
          <w:tab w:leader="none" w:pos="168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costs, fees, expenses (including, without limitation legal fees and expenses) contemplated hereby to be payable to the Buyers shall have been paid to the extent due and, in the case of expenses of the Buyers that are reimbursable in accordance herewith, invoiced at least one day prior to the Initial Closing Date.</w:t>
      </w:r>
    </w:p>
    <w:p>
      <w:pPr>
        <w:spacing w:after="0" w:line="183" w:lineRule="exact"/>
        <w:rPr>
          <w:rFonts w:ascii="Arial" w:cs="Arial" w:eastAsia="Arial" w:hAnsi="Arial"/>
          <w:sz w:val="18"/>
          <w:szCs w:val="18"/>
          <w:color w:val="auto"/>
        </w:rPr>
      </w:pPr>
    </w:p>
    <w:p>
      <w:pPr>
        <w:ind w:left="640" w:right="20" w:firstLine="644"/>
        <w:spacing w:after="0" w:line="277" w:lineRule="auto"/>
        <w:tabs>
          <w:tab w:leader="none" w:pos="163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such Buyer executed copies of the Stockholder Agreements executed by each of the parties set forth on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right="100" w:firstLine="644"/>
        <w:spacing w:after="0" w:line="277" w:lineRule="auto"/>
        <w:tabs>
          <w:tab w:leader="none" w:pos="168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Buyers and the Company shall have mutually agreed to the allocation of the issue price between the Notes and the Warrants in accordance with Section 1(b).</w:t>
      </w:r>
    </w:p>
    <w:p>
      <w:pPr>
        <w:spacing w:after="0" w:line="170" w:lineRule="exact"/>
        <w:rPr>
          <w:rFonts w:ascii="Arial" w:cs="Arial" w:eastAsia="Arial" w:hAnsi="Arial"/>
          <w:sz w:val="18"/>
          <w:szCs w:val="18"/>
          <w:color w:val="auto"/>
        </w:rPr>
      </w:pPr>
    </w:p>
    <w:p>
      <w:pPr>
        <w:ind w:left="640" w:right="120" w:firstLine="644"/>
        <w:spacing w:after="0" w:line="308" w:lineRule="auto"/>
        <w:tabs>
          <w:tab w:leader="none" w:pos="1733"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Company and its Subsidiaries shall have delivered to such Buyer such other documents, instruments or certificates relating to the transactions contemplated by the Transaction Documents as such Buyer or its counsel may reasonably request.</w:t>
      </w:r>
    </w:p>
    <w:p>
      <w:pPr>
        <w:spacing w:after="0" w:line="146" w:lineRule="exact"/>
        <w:rPr>
          <w:rFonts w:ascii="Arial" w:cs="Arial" w:eastAsia="Arial" w:hAnsi="Arial"/>
          <w:sz w:val="17"/>
          <w:szCs w:val="17"/>
          <w:color w:val="auto"/>
        </w:rPr>
      </w:pPr>
    </w:p>
    <w:p>
      <w:pPr>
        <w:ind w:left="-20" w:firstLine="656"/>
        <w:spacing w:after="0" w:line="311" w:lineRule="auto"/>
        <w:tabs>
          <w:tab w:leader="none" w:pos="8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obligation of each Buyer hereunder to purchase its First Subsequently Purchased Securities at the First Subsequent Closing is subject to the satisfaction, at or before the First Subsequent Closing Date, of each of the following conditions, provided that these conditions are for each Buyer’s sole benefit and may be waived by such Buyer at any time in its sole discretion by providing the Company with prior written notice thereof:</w:t>
      </w:r>
    </w:p>
    <w:p>
      <w:pPr>
        <w:spacing w:after="0" w:line="148" w:lineRule="exact"/>
        <w:rPr>
          <w:rFonts w:ascii="Arial" w:cs="Arial" w:eastAsia="Arial" w:hAnsi="Arial"/>
          <w:sz w:val="16"/>
          <w:szCs w:val="16"/>
          <w:color w:val="auto"/>
        </w:rPr>
      </w:pPr>
    </w:p>
    <w:p>
      <w:pPr>
        <w:ind w:left="640" w:right="80" w:firstLine="644"/>
        <w:spacing w:after="0" w:line="269" w:lineRule="auto"/>
        <w:tabs>
          <w:tab w:leader="none" w:pos="150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The Equity Conditions shall be then satisfied and the Buyers shall have received a certificate, duly executed by the Chief Executive Officer or Chief Financial Officer of the Company, dated as of the First Subsequent Closing Date, to the foregoing effect. “</w:t>
      </w:r>
      <w:r>
        <w:rPr>
          <w:rFonts w:ascii="Arial" w:cs="Arial" w:eastAsia="Arial" w:hAnsi="Arial"/>
          <w:sz w:val="17"/>
          <w:szCs w:val="17"/>
          <w:b w:val="1"/>
          <w:bCs w:val="1"/>
          <w:color w:val="auto"/>
        </w:rPr>
        <w:t>Equity Conditions</w:t>
      </w:r>
      <w:r>
        <w:rPr>
          <w:rFonts w:ascii="Arial" w:cs="Arial" w:eastAsia="Arial" w:hAnsi="Arial"/>
          <w:sz w:val="17"/>
          <w:szCs w:val="17"/>
          <w:color w:val="auto"/>
        </w:rPr>
        <w:t>” will be deemed to be satisfied as of any date if all of the following conditions are satisfied as of such date and on each of the twenty (20) previous Trading Days: (i) the Buyers are not in possession of any material non-public information provided by or on behalf of the Company; (ii) the issuance of shares issuable upon conversion of the Warrants will not be limited by Section 1(i) of the Warrants; (iii) no public announcement of a pending, proposed or intended Fundamental Change (as defined in the Notes) has occurred that has not been abandoned, terminated or consummated; (iv) the Daily VWAP (as defined in the Notes) per share of Common Stock on the Nasdaq Stock Market is not less than $10.00 subject to proportionate adjustments for stock dividends, splits or combinations and the like occurring after the date of this Agreement; (v) the daily dollar trading volume (as reported on Bloomberg) of the Common Stock on the Nasdaq Stock Market is not less than two million dollars ($2,000,000); (vi) no Default or Event of Default (as defined in the Notes) will have occurred or be continuing; and (vii) there shall be no limitations on issuance of the Underlying Shares under the Company’s organizational documents, stock exchange rules or other applicable regulatory requirements.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03" w:name="page104"/>
    <w:bookmarkEnd w:id="103"/>
    <w:p>
      <w:pPr>
        <w:ind w:left="4" w:firstLine="644"/>
        <w:spacing w:after="0" w:line="257" w:lineRule="auto"/>
        <w:tabs>
          <w:tab w:leader="none" w:pos="91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Company and each Subsidiary (as the case may be) shall have duly executed and delivered to such Buyer each of the Transaction Documents to which it is a party and the Company shall have duly executed and delivered to such Buyer the First Subsequently Purchased Securities set forth across from such Buyer’s name on the Schedule of Buyers (reduced, proportionately, if applicable, to the extent that the Buyers approved the First Subsequent Closing in part pursuant to Section 1(a)(vi)(B) hereof) at the First Subsequent Closing Date pursuant to this Agreement.</w:t>
      </w:r>
    </w:p>
    <w:p>
      <w:pPr>
        <w:spacing w:after="0" w:line="187" w:lineRule="exact"/>
        <w:rPr>
          <w:rFonts w:ascii="Arial" w:cs="Arial" w:eastAsia="Arial" w:hAnsi="Arial"/>
          <w:sz w:val="18"/>
          <w:szCs w:val="18"/>
          <w:color w:val="auto"/>
        </w:rPr>
      </w:pPr>
    </w:p>
    <w:p>
      <w:pPr>
        <w:ind w:left="4" w:right="400" w:firstLine="644"/>
        <w:spacing w:after="0" w:line="277" w:lineRule="auto"/>
        <w:tabs>
          <w:tab w:leader="none" w:pos="96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Buyer shall have received the opinion of Burns &amp; Levinson LLP, the Company’s counsel, dated as of the First Subsequent Closing Date, in the form acceptable to such Buyer.</w:t>
      </w:r>
    </w:p>
    <w:p>
      <w:pPr>
        <w:spacing w:after="0" w:line="170" w:lineRule="exact"/>
        <w:rPr>
          <w:rFonts w:ascii="Arial" w:cs="Arial" w:eastAsia="Arial" w:hAnsi="Arial"/>
          <w:sz w:val="18"/>
          <w:szCs w:val="18"/>
          <w:color w:val="auto"/>
        </w:rPr>
      </w:pPr>
    </w:p>
    <w:p>
      <w:pPr>
        <w:ind w:left="4" w:right="540" w:firstLine="644"/>
        <w:spacing w:after="0" w:line="277" w:lineRule="auto"/>
        <w:tabs>
          <w:tab w:leader="none" w:pos="95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Buyer shall have received the opinion of Sherman &amp; Howard LLC, the Company’s Nevada counsel, dated as of the First Subsequent Closing Date, in the form acceptable to such Buyer.</w:t>
      </w:r>
    </w:p>
    <w:p>
      <w:pPr>
        <w:spacing w:after="0" w:line="170" w:lineRule="exact"/>
        <w:rPr>
          <w:rFonts w:ascii="Arial" w:cs="Arial" w:eastAsia="Arial" w:hAnsi="Arial"/>
          <w:sz w:val="18"/>
          <w:szCs w:val="18"/>
          <w:color w:val="auto"/>
        </w:rPr>
      </w:pPr>
    </w:p>
    <w:p>
      <w:pPr>
        <w:ind w:left="4" w:right="180" w:firstLine="644"/>
        <w:spacing w:after="0" w:line="263" w:lineRule="auto"/>
        <w:tabs>
          <w:tab w:leader="none" w:pos="90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copy of the Irrevocable Transfer Agent Instructions, dated as of the First Subsequent Closing Date, in the form acceptable to such Buyer, which instructions shall have been delivered to and acknowledged in writing by the Transfer Agent.</w:t>
      </w:r>
    </w:p>
    <w:p>
      <w:pPr>
        <w:spacing w:after="0" w:line="183" w:lineRule="exact"/>
        <w:rPr>
          <w:rFonts w:ascii="Arial" w:cs="Arial" w:eastAsia="Arial" w:hAnsi="Arial"/>
          <w:sz w:val="18"/>
          <w:szCs w:val="18"/>
          <w:color w:val="auto"/>
        </w:rPr>
      </w:pPr>
    </w:p>
    <w:p>
      <w:pPr>
        <w:ind w:left="4" w:right="60" w:firstLine="644"/>
        <w:spacing w:after="0" w:line="263" w:lineRule="auto"/>
        <w:tabs>
          <w:tab w:leader="none" w:pos="95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First Subsequent Closing Date.</w:t>
      </w:r>
    </w:p>
    <w:p>
      <w:pPr>
        <w:spacing w:after="0" w:line="183" w:lineRule="exact"/>
        <w:rPr>
          <w:rFonts w:ascii="Arial" w:cs="Arial" w:eastAsia="Arial" w:hAnsi="Arial"/>
          <w:sz w:val="18"/>
          <w:szCs w:val="18"/>
          <w:color w:val="auto"/>
        </w:rPr>
      </w:pPr>
    </w:p>
    <w:p>
      <w:pPr>
        <w:ind w:left="4" w:right="20" w:firstLine="644"/>
        <w:spacing w:after="0" w:line="277" w:lineRule="auto"/>
        <w:tabs>
          <w:tab w:leader="none" w:pos="100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certified copy of the Articles of Incorporation of the Company as certified by the Nevada Secretary of State within ten (10) days of the First Subsequent Closing Date.</w:t>
      </w:r>
    </w:p>
    <w:p>
      <w:pPr>
        <w:spacing w:after="0" w:line="170" w:lineRule="exact"/>
        <w:rPr>
          <w:rFonts w:ascii="Arial" w:cs="Arial" w:eastAsia="Arial" w:hAnsi="Arial"/>
          <w:sz w:val="18"/>
          <w:szCs w:val="18"/>
          <w:color w:val="auto"/>
        </w:rPr>
      </w:pPr>
    </w:p>
    <w:p>
      <w:pPr>
        <w:ind w:left="4" w:firstLine="644"/>
        <w:spacing w:after="0" w:line="287" w:lineRule="auto"/>
        <w:tabs>
          <w:tab w:leader="none" w:pos="105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Company shall have delivered to such Buyer a certificate, in the form acceptable to such Buyer, executed by the Secretary of the Company and dated as of the First Subsequent Closing Date, as to (i) the resolutions consistent with Section 3(b) as adopted by the Company’s Board of Directors or a committee thereof in a form reasonably acceptable to such Buyer, (ii) the Articles of Incorporation of the Company and</w:t>
      </w:r>
    </w:p>
    <w:p>
      <w:pPr>
        <w:spacing w:after="0" w:line="2" w:lineRule="exact"/>
        <w:rPr>
          <w:rFonts w:ascii="Arial" w:cs="Arial" w:eastAsia="Arial" w:hAnsi="Arial"/>
          <w:sz w:val="16"/>
          <w:szCs w:val="16"/>
          <w:color w:val="auto"/>
        </w:rPr>
      </w:pPr>
    </w:p>
    <w:p>
      <w:pPr>
        <w:ind w:left="324" w:hanging="324"/>
        <w:spacing w:after="0"/>
        <w:tabs>
          <w:tab w:leader="none" w:pos="32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Bylaws of the Company, each as in effect at the First Subsequent Closing Date.</w:t>
      </w:r>
    </w:p>
    <w:p>
      <w:pPr>
        <w:spacing w:after="0" w:line="200" w:lineRule="exact"/>
        <w:rPr>
          <w:sz w:val="20"/>
          <w:szCs w:val="20"/>
          <w:color w:val="auto"/>
        </w:rPr>
      </w:pPr>
    </w:p>
    <w:p>
      <w:pPr>
        <w:spacing w:after="0" w:line="22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04" w:name="page105"/>
    <w:bookmarkEnd w:id="104"/>
    <w:p>
      <w:pPr>
        <w:ind w:left="-460" w:right="40" w:firstLine="644"/>
        <w:spacing w:after="0" w:line="271" w:lineRule="auto"/>
        <w:tabs>
          <w:tab w:leader="none" w:pos="49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and every representation and warranty of the Company shall be true and correct in all material respects (except for such representations and warranties that are qualified by materiality or material adverse effect, which shall be true and correct in all respects) as of the date when made and as of the First Subsequent Closing Date as though originally made at that time (except for representations and warranties that speak as of a specific date, which shall be true and correct as of such specific date) and the Company shall have performed, satisfied and complied in all material respects with the covenants, agreements and conditions required to be performed, satisfied or complied with by the Company at or prior to the First Subsequent Closing Date. Such Buyer shall have received a certificate, duly executed by the Chief Executive Officer or Chief Financial Officer of the Company, dated as of the First Subsequent Closing Date, to the foregoing effect and as to such other matters as may be reasonably requested by such Buyer in the form acceptable to such Buyer.</w:t>
      </w:r>
    </w:p>
    <w:p>
      <w:pPr>
        <w:spacing w:after="0" w:line="178" w:lineRule="exact"/>
        <w:rPr>
          <w:rFonts w:ascii="Arial" w:cs="Arial" w:eastAsia="Arial" w:hAnsi="Arial"/>
          <w:sz w:val="17"/>
          <w:szCs w:val="17"/>
          <w:color w:val="auto"/>
        </w:rPr>
      </w:pPr>
    </w:p>
    <w:p>
      <w:pPr>
        <w:ind w:left="-460" w:right="140" w:firstLine="644"/>
        <w:spacing w:after="0" w:line="277" w:lineRule="auto"/>
        <w:tabs>
          <w:tab w:leader="none" w:pos="44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shall have delivered to such Buyer a letter from the Transfer Agent certifying the number of shares of Common Stock outstanding on the First Subsequent Closing Date immediately prior to the First Subsequent Closing.</w:t>
      </w:r>
    </w:p>
    <w:p>
      <w:pPr>
        <w:spacing w:after="0" w:line="170" w:lineRule="exact"/>
        <w:rPr>
          <w:rFonts w:ascii="Arial" w:cs="Arial" w:eastAsia="Arial" w:hAnsi="Arial"/>
          <w:sz w:val="18"/>
          <w:szCs w:val="18"/>
          <w:color w:val="auto"/>
        </w:rPr>
      </w:pPr>
    </w:p>
    <w:p>
      <w:pPr>
        <w:ind w:left="-460" w:right="140" w:firstLine="644"/>
        <w:spacing w:after="0" w:line="279" w:lineRule="auto"/>
        <w:tabs>
          <w:tab w:leader="none" w:pos="49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Common Stock (A) shall be designated for quotation or listed (as applicable) on the Principal Market and (B) shall not have been suspended, as of the First Subsequent Closing Date, by the SEC or the Principal Market from trading on the Principal Market nor shall suspension by the SEC or the Principal Market have been threatened, as of the First Subsequent Closing Date, either (1) in writing by the SEC or the Principal Market or (2) by falling below the minimum maintenance requirements of the Principal Market.</w:t>
      </w:r>
    </w:p>
    <w:p>
      <w:pPr>
        <w:spacing w:after="0" w:line="171" w:lineRule="exact"/>
        <w:rPr>
          <w:rFonts w:ascii="Arial" w:cs="Arial" w:eastAsia="Arial" w:hAnsi="Arial"/>
          <w:sz w:val="17"/>
          <w:szCs w:val="17"/>
          <w:color w:val="auto"/>
        </w:rPr>
      </w:pPr>
    </w:p>
    <w:p>
      <w:pPr>
        <w:ind w:left="-460" w:firstLine="644"/>
        <w:spacing w:after="0" w:line="308" w:lineRule="auto"/>
        <w:tabs>
          <w:tab w:leader="none" w:pos="54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 shall have obtained all governmental, regulatory or third party consents and approvals, if any, necessary for the sale of the First Subsequently Purchased Securities, including without limitation, those required by the Principal Market, if any.</w:t>
      </w:r>
    </w:p>
    <w:p>
      <w:pPr>
        <w:spacing w:after="0" w:line="146" w:lineRule="exact"/>
        <w:rPr>
          <w:rFonts w:ascii="Arial" w:cs="Arial" w:eastAsia="Arial" w:hAnsi="Arial"/>
          <w:sz w:val="17"/>
          <w:szCs w:val="17"/>
          <w:color w:val="auto"/>
        </w:rPr>
      </w:pPr>
    </w:p>
    <w:p>
      <w:pPr>
        <w:ind w:left="-460" w:right="100" w:firstLine="644"/>
        <w:spacing w:after="0" w:line="263" w:lineRule="auto"/>
        <w:tabs>
          <w:tab w:leader="none" w:pos="59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83" w:lineRule="exact"/>
        <w:rPr>
          <w:rFonts w:ascii="Arial" w:cs="Arial" w:eastAsia="Arial" w:hAnsi="Arial"/>
          <w:sz w:val="18"/>
          <w:szCs w:val="18"/>
          <w:color w:val="auto"/>
        </w:rPr>
      </w:pPr>
    </w:p>
    <w:p>
      <w:pPr>
        <w:ind w:left="-460" w:right="600" w:firstLine="644"/>
        <w:spacing w:after="0" w:line="277" w:lineRule="auto"/>
        <w:tabs>
          <w:tab w:leader="none" w:pos="58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Since the date of execution of this Agreement, no event or series of events shall have occurred that would have or result in a Material Adverse Effect.</w:t>
      </w:r>
    </w:p>
    <w:p>
      <w:pPr>
        <w:spacing w:after="0" w:line="170" w:lineRule="exact"/>
        <w:rPr>
          <w:rFonts w:ascii="Arial" w:cs="Arial" w:eastAsia="Arial" w:hAnsi="Arial"/>
          <w:sz w:val="18"/>
          <w:szCs w:val="18"/>
          <w:color w:val="auto"/>
        </w:rPr>
      </w:pPr>
    </w:p>
    <w:p>
      <w:pPr>
        <w:ind w:left="-460" w:right="200" w:firstLine="644"/>
        <w:spacing w:after="0" w:line="259" w:lineRule="auto"/>
        <w:tabs>
          <w:tab w:leader="none" w:pos="53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shall have obtained approval of the Principal Market to list or designate for quotation (as the case may be) the Underlying Shares for the First Subsequently Purchased Securities and confirmation from the Principal Market that no stockholder vote or other conditions under the rules of the Principal Market shall apply to the sale of the First Subsequently Purchased Securities or the issuance of such Underlying Shares.</w:t>
      </w:r>
    </w:p>
    <w:p>
      <w:pPr>
        <w:spacing w:after="0" w:line="186" w:lineRule="exact"/>
        <w:rPr>
          <w:rFonts w:ascii="Arial" w:cs="Arial" w:eastAsia="Arial" w:hAnsi="Arial"/>
          <w:sz w:val="18"/>
          <w:szCs w:val="18"/>
          <w:color w:val="auto"/>
        </w:rPr>
      </w:pPr>
    </w:p>
    <w:p>
      <w:pPr>
        <w:ind w:left="580" w:hanging="396"/>
        <w:spacing w:after="0"/>
        <w:tabs>
          <w:tab w:leader="none" w:pos="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Buyer shall have received a Flow of Funds Letter with respect to the First Subsequently Purchased Securities.</w:t>
      </w: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5" w:name="page106"/>
    <w:bookmarkEnd w:id="105"/>
    <w:p>
      <w:pPr>
        <w:ind w:left="640" w:right="380" w:firstLine="644"/>
        <w:spacing w:after="0" w:line="259" w:lineRule="auto"/>
        <w:tabs>
          <w:tab w:leader="none" w:pos="173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Company shall have delivered to such Buyer the results of a recent lien, bankruptcy and judgment search in each relevant jurisdiction with respect to the Company and its Subsidiaries and such search shall reveal no Liens on any of the Collateral (as such term is defined in the Security Agreements) or other assets of the Company and its Subsidiaries except, in the case of assets other than Collateral, for Permitted Liens (as such term is defined in the Notes).</w:t>
      </w:r>
    </w:p>
    <w:p>
      <w:pPr>
        <w:spacing w:after="0" w:line="186" w:lineRule="exact"/>
        <w:rPr>
          <w:rFonts w:ascii="Arial" w:cs="Arial" w:eastAsia="Arial" w:hAnsi="Arial"/>
          <w:sz w:val="18"/>
          <w:szCs w:val="18"/>
          <w:color w:val="auto"/>
        </w:rPr>
      </w:pPr>
    </w:p>
    <w:p>
      <w:pPr>
        <w:ind w:left="640" w:right="260" w:firstLine="644"/>
        <w:spacing w:after="0" w:line="277" w:lineRule="auto"/>
        <w:tabs>
          <w:tab w:leader="none" w:pos="178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Buyer a duly completed and executed perfection certificate dated no earlier than three (3) days prior to the First Subsequent Closing Date, in the form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40" w:right="260" w:firstLine="644"/>
        <w:spacing w:after="0" w:line="263" w:lineRule="auto"/>
        <w:tabs>
          <w:tab w:leader="none" w:pos="168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costs, fees, expenses (including, without limitation legal fees and expenses) contemplated hereby to be payable to the Buyers shall have been paid to the extent due and, in the case of expenses of the Buyers that are reimbursable in accordance herewith, invoiced at least one day prior to the First Subsequent Closing Date.</w:t>
      </w:r>
    </w:p>
    <w:p>
      <w:pPr>
        <w:spacing w:after="0" w:line="183" w:lineRule="exact"/>
        <w:rPr>
          <w:rFonts w:ascii="Arial" w:cs="Arial" w:eastAsia="Arial" w:hAnsi="Arial"/>
          <w:sz w:val="18"/>
          <w:szCs w:val="18"/>
          <w:color w:val="auto"/>
        </w:rPr>
      </w:pPr>
    </w:p>
    <w:p>
      <w:pPr>
        <w:ind w:left="640" w:right="340" w:firstLine="644"/>
        <w:spacing w:after="0" w:line="277" w:lineRule="auto"/>
        <w:tabs>
          <w:tab w:leader="none" w:pos="163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Buyers and the Company shall have mutually agreed to the allocation of the issue price between the Notes and the Warrants purchased in the First Subsequent Closing in accordance with Section 1(b).</w:t>
      </w:r>
    </w:p>
    <w:p>
      <w:pPr>
        <w:spacing w:after="0" w:line="170" w:lineRule="exact"/>
        <w:rPr>
          <w:rFonts w:ascii="Arial" w:cs="Arial" w:eastAsia="Arial" w:hAnsi="Arial"/>
          <w:sz w:val="18"/>
          <w:szCs w:val="18"/>
          <w:color w:val="auto"/>
        </w:rPr>
      </w:pPr>
    </w:p>
    <w:p>
      <w:pPr>
        <w:ind w:left="640" w:right="180" w:firstLine="644"/>
        <w:spacing w:after="0" w:line="308" w:lineRule="auto"/>
        <w:tabs>
          <w:tab w:leader="none" w:pos="1683"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Company and its Subsidiaries shall have delivered to such Buyer such other documents, instruments or certificates relating to the transactions contemplated by the Transaction Documents as such Buyer or its counsel may reasonably request.</w:t>
      </w:r>
    </w:p>
    <w:p>
      <w:pPr>
        <w:spacing w:after="0" w:line="146" w:lineRule="exact"/>
        <w:rPr>
          <w:rFonts w:ascii="Arial" w:cs="Arial" w:eastAsia="Arial" w:hAnsi="Arial"/>
          <w:sz w:val="17"/>
          <w:szCs w:val="17"/>
          <w:color w:val="auto"/>
        </w:rPr>
      </w:pPr>
    </w:p>
    <w:p>
      <w:pPr>
        <w:ind w:left="-20" w:right="20" w:firstLine="656"/>
        <w:spacing w:after="0" w:line="311" w:lineRule="auto"/>
        <w:tabs>
          <w:tab w:leader="none" w:pos="87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obligation of each Buyer hereunder to purchase its Second Subsequently Purchased Securities at the Second Subsequent Closing is subject to the satisfaction, at or before the Second Subsequent Closing Date, of each of the following conditions, provided that these conditions are for each Buyer’s sole benefit and may be waived by such Buyer at any time in its sole discretion by providing the Company with prior written notice thereof:</w:t>
      </w:r>
    </w:p>
    <w:p>
      <w:pPr>
        <w:spacing w:after="0" w:line="148" w:lineRule="exact"/>
        <w:rPr>
          <w:rFonts w:ascii="Arial" w:cs="Arial" w:eastAsia="Arial" w:hAnsi="Arial"/>
          <w:sz w:val="16"/>
          <w:szCs w:val="16"/>
          <w:color w:val="auto"/>
        </w:rPr>
      </w:pPr>
    </w:p>
    <w:p>
      <w:pPr>
        <w:ind w:left="640" w:right="240" w:firstLine="644"/>
        <w:spacing w:after="0" w:line="308" w:lineRule="auto"/>
        <w:tabs>
          <w:tab w:leader="none" w:pos="1503"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Equity Conditions shall be then satisfied and the Buyers shall have received a certificate, duly executed by the Chief Executive Officer or Chief Financial Officer of the Company, dated as of the Second Subsequent Closing Date, to the foregoing effect.</w:t>
      </w:r>
    </w:p>
    <w:p>
      <w:pPr>
        <w:spacing w:after="0" w:line="146" w:lineRule="exact"/>
        <w:rPr>
          <w:rFonts w:ascii="Arial" w:cs="Arial" w:eastAsia="Arial" w:hAnsi="Arial"/>
          <w:sz w:val="17"/>
          <w:szCs w:val="17"/>
          <w:color w:val="auto"/>
        </w:rPr>
      </w:pPr>
    </w:p>
    <w:p>
      <w:pPr>
        <w:ind w:left="640" w:firstLine="644"/>
        <w:spacing w:after="0" w:line="257" w:lineRule="auto"/>
        <w:tabs>
          <w:tab w:leader="none" w:pos="155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Company and each Subsidiary (as the case may be) shall have duly executed and delivered to such Buyer each of the Transaction Documents to which it is a party and the Company shall have duly executed and delivered to such Buyer the Second Subsequently Purchased Securities set forth across from such Buyer’s name on the Schedule of Buyers (reduced, proportionately, if applicable, to the extent that the Buyers approved the Second Subsequent Closing in part pursuant to Section 1(a)(x)(B) hereof) at the Second Subsequent Closing Date pursuant to this Agreement.</w:t>
      </w:r>
    </w:p>
    <w:p>
      <w:pPr>
        <w:spacing w:after="0" w:line="187" w:lineRule="exact"/>
        <w:rPr>
          <w:rFonts w:ascii="Arial" w:cs="Arial" w:eastAsia="Arial" w:hAnsi="Arial"/>
          <w:sz w:val="18"/>
          <w:szCs w:val="18"/>
          <w:color w:val="auto"/>
        </w:rPr>
      </w:pPr>
    </w:p>
    <w:p>
      <w:pPr>
        <w:ind w:left="640" w:right="200" w:firstLine="644"/>
        <w:spacing w:after="0" w:line="277" w:lineRule="auto"/>
        <w:tabs>
          <w:tab w:leader="none" w:pos="160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Such Buyer shall have received the opinion of Burns &amp; Levinson LLP, the Company’s counsel, dated as of the Second Subsequent Closing Date, in the form acceptable to such Buyer.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06" w:name="page107"/>
    <w:bookmarkEnd w:id="106"/>
    <w:p>
      <w:pPr>
        <w:ind w:left="-460" w:right="320" w:firstLine="644"/>
        <w:spacing w:after="0" w:line="277" w:lineRule="auto"/>
        <w:tabs>
          <w:tab w:leader="none" w:pos="49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Such Buyer shall have received the opinion of Sherman &amp; Howard LLC, the Company’s Nevada counsel, dated as of the Second Subsequent Closing Date, in the form acceptable to such Buyer.</w:t>
      </w:r>
    </w:p>
    <w:p>
      <w:pPr>
        <w:spacing w:after="0" w:line="170" w:lineRule="exact"/>
        <w:rPr>
          <w:rFonts w:ascii="Arial" w:cs="Arial" w:eastAsia="Arial" w:hAnsi="Arial"/>
          <w:sz w:val="18"/>
          <w:szCs w:val="18"/>
          <w:color w:val="auto"/>
        </w:rPr>
      </w:pPr>
    </w:p>
    <w:p>
      <w:pPr>
        <w:ind w:left="-460" w:right="160" w:firstLine="644"/>
        <w:spacing w:after="0" w:line="263" w:lineRule="auto"/>
        <w:tabs>
          <w:tab w:leader="none" w:pos="4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copy of the Irrevocable Transfer Agent Instructions, dated as of the Second Subsequent Closing Date, in the form acceptable to such Buyer, which instructions shall have been delivered to and acknowledged in writing by the Transfer Agent.</w:t>
      </w:r>
    </w:p>
    <w:p>
      <w:pPr>
        <w:spacing w:after="0" w:line="183" w:lineRule="exact"/>
        <w:rPr>
          <w:rFonts w:ascii="Arial" w:cs="Arial" w:eastAsia="Arial" w:hAnsi="Arial"/>
          <w:sz w:val="18"/>
          <w:szCs w:val="18"/>
          <w:color w:val="auto"/>
        </w:rPr>
      </w:pPr>
    </w:p>
    <w:p>
      <w:pPr>
        <w:ind w:left="-460" w:right="40" w:firstLine="644"/>
        <w:spacing w:after="0" w:line="263" w:lineRule="auto"/>
        <w:tabs>
          <w:tab w:leader="none" w:pos="49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Second Subsequent Closing Date.</w:t>
      </w:r>
    </w:p>
    <w:p>
      <w:pPr>
        <w:spacing w:after="0" w:line="183" w:lineRule="exact"/>
        <w:rPr>
          <w:rFonts w:ascii="Arial" w:cs="Arial" w:eastAsia="Arial" w:hAnsi="Arial"/>
          <w:sz w:val="18"/>
          <w:szCs w:val="18"/>
          <w:color w:val="auto"/>
        </w:rPr>
      </w:pPr>
    </w:p>
    <w:p>
      <w:pPr>
        <w:ind w:left="-460" w:firstLine="644"/>
        <w:spacing w:after="0" w:line="277" w:lineRule="auto"/>
        <w:tabs>
          <w:tab w:leader="none" w:pos="5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certified copy of the Articles of Incorporation of the Company as certified by the Nevada Secretary of State within ten (10) days of the Second Subsequent Closing Date.</w:t>
      </w:r>
    </w:p>
    <w:p>
      <w:pPr>
        <w:spacing w:after="0" w:line="170" w:lineRule="exact"/>
        <w:rPr>
          <w:rFonts w:ascii="Arial" w:cs="Arial" w:eastAsia="Arial" w:hAnsi="Arial"/>
          <w:sz w:val="18"/>
          <w:szCs w:val="18"/>
          <w:color w:val="auto"/>
        </w:rPr>
      </w:pPr>
    </w:p>
    <w:p>
      <w:pPr>
        <w:ind w:left="-460" w:right="180" w:firstLine="644"/>
        <w:spacing w:after="0" w:line="279" w:lineRule="auto"/>
        <w:tabs>
          <w:tab w:leader="none" w:pos="59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shall have delivered to such Buyer a certificate, in the form acceptable to such Buyer, executed by the Secretary of the Company and dated as of the Second Subsequent Closing Date, as to (i) the resolutions consistent with Section 3(b) as adopted by the Company’s Board of Directors or a committee thereof in a form reasonably acceptable to such Buyer, (ii) the Articles of Incorporation of the Company and (iii) the Bylaws of the Company, each as in effect at the Second Subsequent Closing Date.</w:t>
      </w:r>
    </w:p>
    <w:p>
      <w:pPr>
        <w:spacing w:after="0" w:line="171" w:lineRule="exact"/>
        <w:rPr>
          <w:rFonts w:ascii="Arial" w:cs="Arial" w:eastAsia="Arial" w:hAnsi="Arial"/>
          <w:sz w:val="17"/>
          <w:szCs w:val="17"/>
          <w:color w:val="auto"/>
        </w:rPr>
      </w:pPr>
    </w:p>
    <w:p>
      <w:pPr>
        <w:ind w:left="-460" w:right="100" w:firstLine="644"/>
        <w:spacing w:after="0" w:line="290" w:lineRule="auto"/>
        <w:tabs>
          <w:tab w:leader="none" w:pos="49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and every representation and warranty of the Company shall be true and correct in all material respects (except for such representations and warranties that are qualified by materiality or material adverse effect, which shall be true and correct in all respects) as of the date when made and as of the Second Subsequent Closing Date as though originally made at that time (except for representations and warranties that speak as of a specific date, which shall be true and correct as of such specific date) and the Company shall have performed, satisfied and complied in all material respects with the covenants, agreements and conditions required to be performed, satisfied or complied with by the Company at or prior to the Second Subsequent Closing Date. Such Buyer shall have received a certificate, duly executed by the Chief Executive Officer or Chief Financial Officer of the Company, dated as of the Second Subsequent Closing Date, to the foregoing effect and as to such other matters as may be reasonably requested by such Buyer in the form acceptable to such Buyer.</w:t>
      </w:r>
    </w:p>
    <w:p>
      <w:pPr>
        <w:spacing w:after="0" w:line="165" w:lineRule="exact"/>
        <w:rPr>
          <w:rFonts w:ascii="Arial" w:cs="Arial" w:eastAsia="Arial" w:hAnsi="Arial"/>
          <w:sz w:val="16"/>
          <w:szCs w:val="16"/>
          <w:color w:val="auto"/>
        </w:rPr>
      </w:pPr>
    </w:p>
    <w:p>
      <w:pPr>
        <w:ind w:left="-460" w:right="100" w:firstLine="644"/>
        <w:spacing w:after="0" w:line="277" w:lineRule="auto"/>
        <w:tabs>
          <w:tab w:leader="none" w:pos="4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have delivered to such Buyer a letter from the Transfer Agent certifying the number of shares of Common Stock outstanding on the Second Subsequent Closing Date immediately prior to the Second Subsequent Closing.</w:t>
      </w: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107" w:name="page108"/>
    <w:bookmarkEnd w:id="107"/>
    <w:p>
      <w:pPr>
        <w:ind w:left="-460" w:right="140" w:firstLine="644"/>
        <w:spacing w:after="0" w:line="279" w:lineRule="auto"/>
        <w:tabs>
          <w:tab w:leader="none" w:pos="49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Common Stock (A) shall be designated for quotation or listed (as applicable) on the Principal Market and (B) shall not have been suspended, as of the Second Subsequent Closing Date, by the SEC or the Principal Market from trading on the Principal Market nor shall suspension by the SEC or the Principal Market have been threatened, as of the Second Subsequent Closing Date, either (1) in writing by the SEC or the Principal Market or (2) by falling below the minimum maintenance requirements of the Principal Market.</w:t>
      </w:r>
    </w:p>
    <w:p>
      <w:pPr>
        <w:spacing w:after="0" w:line="171" w:lineRule="exact"/>
        <w:rPr>
          <w:rFonts w:ascii="Arial" w:cs="Arial" w:eastAsia="Arial" w:hAnsi="Arial"/>
          <w:sz w:val="17"/>
          <w:szCs w:val="17"/>
          <w:color w:val="auto"/>
        </w:rPr>
      </w:pPr>
    </w:p>
    <w:p>
      <w:pPr>
        <w:ind w:left="-460" w:firstLine="644"/>
        <w:spacing w:after="0" w:line="308" w:lineRule="auto"/>
        <w:tabs>
          <w:tab w:leader="none" w:pos="54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Company shall have obtained all governmental, regulatory or third party consents and approvals, if any, necessary for the sale of the Second Subsequently Purchased Securities, including without limitation, those required by the Principal Market, if any.</w:t>
      </w:r>
    </w:p>
    <w:p>
      <w:pPr>
        <w:spacing w:after="0" w:line="146" w:lineRule="exact"/>
        <w:rPr>
          <w:rFonts w:ascii="Arial" w:cs="Arial" w:eastAsia="Arial" w:hAnsi="Arial"/>
          <w:sz w:val="17"/>
          <w:szCs w:val="17"/>
          <w:color w:val="auto"/>
        </w:rPr>
      </w:pPr>
    </w:p>
    <w:p>
      <w:pPr>
        <w:ind w:left="-460" w:right="100" w:firstLine="644"/>
        <w:spacing w:after="0" w:line="263" w:lineRule="auto"/>
        <w:tabs>
          <w:tab w:leader="none" w:pos="59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83" w:lineRule="exact"/>
        <w:rPr>
          <w:rFonts w:ascii="Arial" w:cs="Arial" w:eastAsia="Arial" w:hAnsi="Arial"/>
          <w:sz w:val="18"/>
          <w:szCs w:val="18"/>
          <w:color w:val="auto"/>
        </w:rPr>
      </w:pPr>
    </w:p>
    <w:p>
      <w:pPr>
        <w:ind w:left="-460" w:right="600" w:firstLine="644"/>
        <w:spacing w:after="0" w:line="277" w:lineRule="auto"/>
        <w:tabs>
          <w:tab w:leader="none" w:pos="58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Since the date of execution of this Agreement, no event or series of events shall have occurred that would have or result in a Material Adverse Effect.</w:t>
      </w:r>
    </w:p>
    <w:p>
      <w:pPr>
        <w:spacing w:after="0" w:line="170" w:lineRule="exact"/>
        <w:rPr>
          <w:rFonts w:ascii="Arial" w:cs="Arial" w:eastAsia="Arial" w:hAnsi="Arial"/>
          <w:sz w:val="18"/>
          <w:szCs w:val="18"/>
          <w:color w:val="auto"/>
        </w:rPr>
      </w:pPr>
    </w:p>
    <w:p>
      <w:pPr>
        <w:ind w:left="-460" w:firstLine="644"/>
        <w:spacing w:after="0" w:line="259" w:lineRule="auto"/>
        <w:tabs>
          <w:tab w:leader="none" w:pos="5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have obtained approval of the Principal Market to list or designate for quotation (as the case may be) the Underlying Shares for the Second Subsequently Purchased Securities and confirmation from the Principal Market that no stockholder vote or other conditions under the rules of the Principal Market shall apply to the sale of the Second Subsequently Purchased Securities or the issuance of such Underlying Shares.</w:t>
      </w:r>
    </w:p>
    <w:p>
      <w:pPr>
        <w:spacing w:after="0" w:line="186" w:lineRule="exact"/>
        <w:rPr>
          <w:rFonts w:ascii="Arial" w:cs="Arial" w:eastAsia="Arial" w:hAnsi="Arial"/>
          <w:sz w:val="18"/>
          <w:szCs w:val="18"/>
          <w:color w:val="auto"/>
        </w:rPr>
      </w:pPr>
    </w:p>
    <w:p>
      <w:pPr>
        <w:ind w:left="580" w:hanging="396"/>
        <w:spacing w:after="0"/>
        <w:tabs>
          <w:tab w:leader="none" w:pos="5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Buyer shall have received a Flow of Funds Letter with respect to the Second Subsequently Purchased Securities.</w:t>
      </w:r>
    </w:p>
    <w:p>
      <w:pPr>
        <w:spacing w:after="0" w:line="225" w:lineRule="exact"/>
        <w:rPr>
          <w:rFonts w:ascii="Arial" w:cs="Arial" w:eastAsia="Arial" w:hAnsi="Arial"/>
          <w:sz w:val="18"/>
          <w:szCs w:val="18"/>
          <w:color w:val="auto"/>
        </w:rPr>
      </w:pPr>
    </w:p>
    <w:p>
      <w:pPr>
        <w:ind w:left="-460" w:right="400" w:firstLine="644"/>
        <w:spacing w:after="0" w:line="259" w:lineRule="auto"/>
        <w:tabs>
          <w:tab w:leader="none" w:pos="6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have delivered to such Buyer the results of a recent lien, bankruptcy and judgment search in each relevant jurisdiction with respect to the Company and its Subsidiaries and such search shall reveal no Liens on any of the Collateral (as such term is defined in the Security Agreements) or other assets of the Company and its Subsidiaries except, in the case of assets other than Collateral, for Permitted Liens (as such term is defined in the Notes).</w:t>
      </w:r>
    </w:p>
    <w:p>
      <w:pPr>
        <w:spacing w:after="0" w:line="186" w:lineRule="exact"/>
        <w:rPr>
          <w:rFonts w:ascii="Arial" w:cs="Arial" w:eastAsia="Arial" w:hAnsi="Arial"/>
          <w:sz w:val="18"/>
          <w:szCs w:val="18"/>
          <w:color w:val="auto"/>
        </w:rPr>
      </w:pPr>
    </w:p>
    <w:p>
      <w:pPr>
        <w:ind w:left="-460" w:right="280" w:firstLine="644"/>
        <w:spacing w:after="0" w:line="277" w:lineRule="auto"/>
        <w:tabs>
          <w:tab w:leader="none" w:pos="68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Buyer a duly completed and executed perfection certificate dated no earlier than three (3) days prior to the Second Subsequent Closing Date, in the form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60" w:right="220" w:firstLine="644"/>
        <w:spacing w:after="0" w:line="263" w:lineRule="auto"/>
        <w:tabs>
          <w:tab w:leader="none" w:pos="58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costs, fees, expenses (including, without limitation, legal fees and expenses) contemplated hereby to be payable to the Buyers shall have been paid to the extent due and, in the case of expenses of the Buyers that are reimbursable in accordance herewith, invoiced at least one day prior to the Second Subsequent Closing Date.</w:t>
      </w:r>
    </w:p>
    <w:p>
      <w:pPr>
        <w:spacing w:after="0" w:line="183" w:lineRule="exact"/>
        <w:rPr>
          <w:rFonts w:ascii="Arial" w:cs="Arial" w:eastAsia="Arial" w:hAnsi="Arial"/>
          <w:sz w:val="18"/>
          <w:szCs w:val="18"/>
          <w:color w:val="auto"/>
        </w:rPr>
      </w:pPr>
    </w:p>
    <w:p>
      <w:pPr>
        <w:ind w:left="-460" w:right="360" w:firstLine="644"/>
        <w:spacing w:after="0" w:line="277" w:lineRule="auto"/>
        <w:tabs>
          <w:tab w:leader="none" w:pos="5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Buyers and the Company shall have mutually agreed to the allocation of the issue price between the Notes and the Warrants purchased in the Second Subsequent Closing in accordance with Section 1(b).</w:t>
      </w: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8" w:name="page109"/>
    <w:bookmarkEnd w:id="108"/>
    <w:p>
      <w:pPr>
        <w:ind w:left="660" w:right="180" w:firstLine="644"/>
        <w:spacing w:after="0" w:line="308" w:lineRule="auto"/>
        <w:tabs>
          <w:tab w:leader="none" w:pos="1703"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Company and its Subsidiaries shall have delivered to such Buyer such other documents, instruments or certificates relating to the transactions contemplated by the Transaction Documents as such Buyer or its counsel may reasonably request.</w:t>
      </w:r>
    </w:p>
    <w:p>
      <w:pPr>
        <w:spacing w:after="0" w:line="142" w:lineRule="exact"/>
        <w:rPr>
          <w:rFonts w:ascii="Arial" w:cs="Arial" w:eastAsia="Arial" w:hAnsi="Arial"/>
          <w:sz w:val="17"/>
          <w:szCs w:val="17"/>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 the event that the Initial Closing shall not have occurred with respect to a Buyer within five (5) Business Days of the date hereof, then such</w:t>
      </w:r>
    </w:p>
    <w:p>
      <w:pPr>
        <w:spacing w:after="0" w:line="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Purchased Securities shall be applicable only to such Buyer providing such written notice; provided further that no such termination shall affect any obligation of the Company under this Agreement to reimburse such Buyer for the expenses described in Section 4(g)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provided, that, notwithstanding anything herein to the contrary, upon the consummation of the Initial Closing, (i) that certain term sheet entered into between the parties on December 29, 2021, as amended and restated by that certain term sheet entered into between the parties dated February 16, 2022 (the “</w:t>
      </w:r>
      <w:r>
        <w:rPr>
          <w:rFonts w:ascii="Arial" w:cs="Arial" w:eastAsia="Arial" w:hAnsi="Arial"/>
          <w:sz w:val="16"/>
          <w:szCs w:val="16"/>
          <w:b w:val="1"/>
          <w:bCs w:val="1"/>
          <w:color w:val="auto"/>
        </w:rPr>
        <w:t>Term Sheet</w:t>
      </w:r>
      <w:r>
        <w:rPr>
          <w:rFonts w:ascii="Arial" w:cs="Arial" w:eastAsia="Arial" w:hAnsi="Arial"/>
          <w:sz w:val="16"/>
          <w:szCs w:val="16"/>
          <w:color w:val="auto"/>
        </w:rPr>
        <w:t>”) shall without the need for any further action, automatically terminate and be of no further force or effect, and (ii) each party automatically releases each other party and its affiliates and their respective officers, directors, employees, shareholders and agents from any and all demands, causes of action or other claims whatsoever related to, arising under, or concerning the Term Sheet, whether known or unknown, which it, its successors or assigns had, now have or may hereafter have against any of them; provided further, however, that in the event that this Agreement is terminated prior to the consummation of the Initial Closing, the Term Sheet and all rights and obligations thereunder shall continue to survive and be enforceable in accordance with the term of the Term Sheet.</w:t>
      </w:r>
    </w:p>
    <w:p>
      <w:pPr>
        <w:spacing w:after="0" w:line="172"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right="20" w:firstLine="656"/>
        <w:spacing w:after="0" w:line="283" w:lineRule="auto"/>
        <w:tabs>
          <w:tab w:leader="none" w:pos="892"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Buyer hereby irrevocably submits to the exclusive jurisdiction of the Court of Chancery of the State of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Arial" w:cs="Arial" w:eastAsia="Arial" w:hAnsi="Arial"/>
          <w:sz w:val="16"/>
          <w:szCs w:val="16"/>
          <w:b w:val="1"/>
          <w:bCs w:val="1"/>
          <w:color w:val="auto"/>
        </w:rPr>
        <w:t>EACH</w:t>
      </w:r>
    </w:p>
    <w:p>
      <w:pPr>
        <w:spacing w:after="0" w:line="2" w:lineRule="exact"/>
        <w:rPr>
          <w:rFonts w:ascii="Arial" w:cs="Arial" w:eastAsia="Arial" w:hAnsi="Arial"/>
          <w:sz w:val="16"/>
          <w:szCs w:val="16"/>
          <w:color w:val="auto"/>
        </w:rPr>
      </w:pPr>
    </w:p>
    <w:p>
      <w:pPr>
        <w:ind w:right="180"/>
        <w:spacing w:after="0" w:line="253" w:lineRule="auto"/>
        <w:rPr>
          <w:rFonts w:ascii="Arial" w:cs="Arial" w:eastAsia="Arial" w:hAnsi="Arial"/>
          <w:sz w:val="16"/>
          <w:szCs w:val="16"/>
          <w:color w:val="auto"/>
        </w:rPr>
      </w:pPr>
      <w:r>
        <w:rPr>
          <w:rFonts w:ascii="Arial" w:cs="Arial" w:eastAsia="Arial" w:hAnsi="Arial"/>
          <w:sz w:val="18"/>
          <w:szCs w:val="18"/>
          <w:b w:val="1"/>
          <w:bCs w:val="1"/>
          <w:color w:val="auto"/>
        </w:rPr>
        <w:t>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9" w:name="page110"/>
    <w:bookmarkEnd w:id="109"/>
    <w:p>
      <w:pPr>
        <w:ind w:left="-8" w:right="100" w:firstLine="656"/>
        <w:spacing w:after="0" w:line="254" w:lineRule="auto"/>
        <w:tabs>
          <w:tab w:leader="none" w:pos="895"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94" w:lineRule="exact"/>
        <w:rPr>
          <w:rFonts w:ascii="Arial" w:cs="Arial" w:eastAsia="Arial" w:hAnsi="Arial"/>
          <w:sz w:val="18"/>
          <w:szCs w:val="18"/>
          <w:color w:val="auto"/>
        </w:rPr>
      </w:pPr>
    </w:p>
    <w:p>
      <w:pPr>
        <w:ind w:left="-8" w:right="80" w:firstLine="656"/>
        <w:spacing w:after="0" w:line="284" w:lineRule="auto"/>
        <w:tabs>
          <w:tab w:leader="none" w:pos="884"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Headings; Gender; Interpretation</w:t>
      </w:r>
      <w:r>
        <w:rPr>
          <w:rFonts w:ascii="Arial" w:cs="Arial" w:eastAsia="Arial" w:hAnsi="Arial"/>
          <w:sz w:val="16"/>
          <w:szCs w:val="16"/>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 Unless the context otherwise requires, references herein: (x) to Articles, Sections, Schedules and Exhibits mean the Articles and Sections of, and Schedules and Exhibits attached to, this Agreement; (y) to an agreement, instrument or other document means such agreement, instrument or other document as amended, supplemented and modified from time to time to the extent permitted by the provisions thereof and</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a statute means such statute as amended from time to time and includes any successor legislation thereto and any regulations promulgated thereunder.</w:t>
      </w:r>
    </w:p>
    <w:p>
      <w:pPr>
        <w:spacing w:after="0" w:line="233" w:lineRule="exact"/>
        <w:rPr>
          <w:rFonts w:ascii="Arial" w:cs="Arial" w:eastAsia="Arial" w:hAnsi="Arial"/>
          <w:sz w:val="16"/>
          <w:szCs w:val="16"/>
          <w:color w:val="auto"/>
        </w:rPr>
      </w:pPr>
    </w:p>
    <w:p>
      <w:pPr>
        <w:ind w:left="-8" w:firstLine="656"/>
        <w:spacing w:after="0" w:line="284" w:lineRule="auto"/>
        <w:tabs>
          <w:tab w:leader="none" w:pos="895"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Severability; Maximum Payment Amounts</w:t>
      </w:r>
      <w:r>
        <w:rPr>
          <w:rFonts w:ascii="Arial" w:cs="Arial" w:eastAsia="Arial" w:hAnsi="Arial"/>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10" w:name="page111"/>
    <w:bookmarkEnd w:id="110"/>
    <w:p>
      <w:pPr>
        <w:ind w:left="-20" w:firstLine="656"/>
        <w:spacing w:after="0" w:line="283" w:lineRule="auto"/>
        <w:tabs>
          <w:tab w:leader="none" w:pos="872"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have any effect on any agreements any Buyer has entered into with, or any instruments any Buyer has received from, the Company or any of its Subsidiaries prior to the date hereof with respect to any prior investment made by such Buyer in the Company. Except as specifically set forth herein or therein, neither the Company nor any Buyer makes any representation, warranty, covenant or undertaking. For clarification purposes, the Recitals are part of this Agreement. No provision of this Agreement may be amended other than by an instrument in writing signed by the Company and the Required Holders,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and all holders of the Purchased Securities. From the date hereof and while any Purchased Securities are outstanding, the Company shall not be permitted to receive any consideration from a Buyer or a holder of Purchased Securities that is not otherwise contemplated by the Transaction Documents in order to, directly or indirectly, induce the Company or any Subsidiary (i) to treat such Buyer or holder of Purchased Securities in a manner that is more favorable than to other similarly situated Buyers or holders of Purchased Securities, or (ii) to treat any Buyer(s) or holder(s) of Purchased Securities in a manner that is less favorable than the Buyer or holder of Purchased Securities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or other similar language,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Arial" w:cs="Arial" w:eastAsia="Arial" w:hAnsi="Arial"/>
          <w:sz w:val="16"/>
          <w:szCs w:val="16"/>
          <w:b w:val="1"/>
          <w:bCs w:val="1"/>
          <w:color w:val="auto"/>
        </w:rPr>
        <w:t>Required Holders</w:t>
      </w:r>
      <w:r>
        <w:rPr>
          <w:rFonts w:ascii="Arial" w:cs="Arial" w:eastAsia="Arial" w:hAnsi="Arial"/>
          <w:sz w:val="16"/>
          <w:szCs w:val="16"/>
          <w:color w:val="auto"/>
        </w:rPr>
        <w:t>” means (I) prior to the Initial Closing Date, each Buyer entitled to purchase Initial Purchased Securities at the Closing, and (II) on or after the Initial Closing Date, holders of a majority of the Underlying Shares in the aggregate as of such time issued or issuable hereunder or pursuant to the Warrants; provided that such majority must include High Trail Special Situations LLC, so long as High Trail Special Situations LLC or any of its affiliates holds at least 50% of the aggregate principal amount of the Notes outstanding or fifty percent (50%) of the outstanding Warrants.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11" w:name="page112"/>
    <w:bookmarkEnd w:id="111"/>
    <w:p>
      <w:pPr>
        <w:ind w:right="20" w:firstLine="656"/>
        <w:spacing w:after="0" w:line="255" w:lineRule="auto"/>
        <w:tabs>
          <w:tab w:leader="none" w:pos="873"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addresses and e-mail addresses for such communications shall be:</w:t>
      </w:r>
    </w:p>
    <w:p>
      <w:pPr>
        <w:spacing w:after="0" w:line="19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76 Treble Cove Road, Building 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Billerica, MA 01862</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Telephone:(919) 619-7346</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Joshua Savitz, Esq., Associate General Counsel</w:t>
      </w:r>
    </w:p>
    <w:p>
      <w:pPr>
        <w:spacing w:after="0" w:line="9" w:lineRule="exact"/>
        <w:rPr>
          <w:sz w:val="20"/>
          <w:szCs w:val="20"/>
          <w:color w:val="auto"/>
        </w:rPr>
      </w:pPr>
    </w:p>
    <w:p>
      <w:pPr>
        <w:ind w:left="2600"/>
        <w:spacing w:after="0"/>
        <w:tabs>
          <w:tab w:leader="none" w:pos="3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josh.savitz@agrify.com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Burns &amp; Levinson LLP</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125 Summer Street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Telephone: 617-345-3684</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Attention: Frank A. Segall, Esq.</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Email: FSegall@burnslev.com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Broadridge Financial Solutions,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51 Mercedes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Edgewood, NY 11717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Lia Ludwig</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lia.ludwig@broadridge.com</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If to a Buyer, to (i) its e-mail address set forth on the Schedule of Buyers, with copies to such Buyer’s representatives as set forth on the Schedule of Buyers and (ii) to Eric Helenek, High Trail Capital, 221 River Street, 9th Floor, Hoboken, NJ 07030 (telephone: (917) 414-1733).</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(858) 523-5400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Michael E. Sullivan,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michael.sullivan@lw.com</w:t>
      </w:r>
    </w:p>
    <w:p>
      <w:pPr>
        <w:spacing w:after="0" w:line="21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or to such other address,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or (C) provided by an overnight courier service shall be rebuttable evidence of personal service, receipt by e-mail or receipt from an overnight courier service in accordance with clause (i), (ii) or (iii) above, respectively.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left="-20" w:right="60" w:firstLine="656"/>
        <w:spacing w:after="0" w:line="253" w:lineRule="auto"/>
        <w:tabs>
          <w:tab w:leader="none" w:pos="88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respective successors and assigns, including any purchasers of any of the Purchased Securities. The Company shall not assign this Agreement or any rights or obligations hereunder without the prior written consent of the Required Holders, including, without limitation, by way of a Fundamental Change (as defined in the Notes) or a Fundamental Transaction (as defined in the Warrants) (unless the Company is in compliance with the applicable provisions governing Fundamental Changes set forth in the Notes and the provisions governing Fundamental Transaction set forth in the Warrants). A Buyer may assign some or all of its rights hereunder in connection with any transfer of any of its Securities without the consent of the Company, provided such assignee agrees in writing to be bound by the provisions hereof that apply to Buyers in which event such assignee shall be deemed to be a Buyer hereunder with respect to such assigned rights, and provided further that such Buyer shall provide the Company with notice of the assignment at least two (2) Business Days prior to such assignment.</w:t>
      </w:r>
    </w:p>
    <w:p>
      <w:pPr>
        <w:spacing w:after="0" w:line="196" w:lineRule="exact"/>
        <w:rPr>
          <w:rFonts w:ascii="Arial" w:cs="Arial" w:eastAsia="Arial" w:hAnsi="Arial"/>
          <w:sz w:val="18"/>
          <w:szCs w:val="18"/>
          <w:color w:val="auto"/>
        </w:rPr>
      </w:pPr>
    </w:p>
    <w:p>
      <w:pPr>
        <w:ind w:left="-20" w:right="120" w:firstLine="656"/>
        <w:spacing w:after="0" w:line="263" w:lineRule="auto"/>
        <w:tabs>
          <w:tab w:leader="none" w:pos="88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 other than the Indemnitees referred to in Section 4(y) and 9(k).</w:t>
      </w:r>
    </w:p>
    <w:p>
      <w:pPr>
        <w:spacing w:after="0" w:line="183" w:lineRule="exact"/>
        <w:rPr>
          <w:rFonts w:ascii="Arial" w:cs="Arial" w:eastAsia="Arial" w:hAnsi="Arial"/>
          <w:sz w:val="18"/>
          <w:szCs w:val="18"/>
          <w:color w:val="auto"/>
        </w:rPr>
      </w:pPr>
    </w:p>
    <w:p>
      <w:pPr>
        <w:ind w:left="-20" w:right="360" w:firstLine="656"/>
        <w:spacing w:after="0" w:line="342" w:lineRule="auto"/>
        <w:tabs>
          <w:tab w:leader="none" w:pos="843"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warranties, agreements and covenants shall survive the Initial Closing, the First Subsequent Closing and the Second Subsequent Closing. Each Buyer shall be responsible only for its own representations, warranties, agreements and covenants hereunder.</w:t>
      </w:r>
    </w:p>
    <w:p>
      <w:pPr>
        <w:spacing w:after="0" w:line="123" w:lineRule="exact"/>
        <w:rPr>
          <w:rFonts w:ascii="Arial" w:cs="Arial" w:eastAsia="Arial" w:hAnsi="Arial"/>
          <w:sz w:val="16"/>
          <w:szCs w:val="16"/>
          <w:color w:val="auto"/>
        </w:rPr>
      </w:pPr>
    </w:p>
    <w:p>
      <w:pPr>
        <w:ind w:left="-20" w:right="40" w:firstLine="656"/>
        <w:spacing w:after="0" w:line="263" w:lineRule="auto"/>
        <w:tabs>
          <w:tab w:leader="none" w:pos="84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83" w:lineRule="exact"/>
        <w:rPr>
          <w:rFonts w:ascii="Arial" w:cs="Arial" w:eastAsia="Arial" w:hAnsi="Arial"/>
          <w:sz w:val="18"/>
          <w:szCs w:val="18"/>
          <w:color w:val="auto"/>
        </w:rPr>
      </w:pPr>
    </w:p>
    <w:p>
      <w:pPr>
        <w:ind w:left="900" w:hanging="264"/>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644"/>
        <w:spacing w:after="0" w:line="283" w:lineRule="auto"/>
        <w:tabs>
          <w:tab w:leader="none" w:pos="1503"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actual reasonable and documented attorneys’ fees and disbursements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incurred by any Indemnitee as a result of, or arising out of, or relating to (i) any misrepresentation or breach of any representation or warranty made by the Company or any Subsidiary in any of the Transaction Documents,</w:t>
      </w:r>
    </w:p>
    <w:p>
      <w:pPr>
        <w:spacing w:after="0" w:line="5" w:lineRule="exact"/>
        <w:rPr>
          <w:rFonts w:ascii="Arial" w:cs="Arial" w:eastAsia="Arial" w:hAnsi="Arial"/>
          <w:sz w:val="16"/>
          <w:szCs w:val="16"/>
          <w:color w:val="auto"/>
        </w:rPr>
      </w:pPr>
    </w:p>
    <w:p>
      <w:pPr>
        <w:ind w:left="900" w:hanging="264"/>
        <w:spacing w:after="0"/>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breach of any covenant, agreement or obligation of the Company or any Subsidiary contained in any of the Transaction Documents or</w:t>
      </w:r>
    </w:p>
    <w:p>
      <w:pPr>
        <w:spacing w:after="0" w:line="32" w:lineRule="exact"/>
        <w:rPr>
          <w:rFonts w:ascii="Arial" w:cs="Arial" w:eastAsia="Arial" w:hAnsi="Arial"/>
          <w:sz w:val="16"/>
          <w:szCs w:val="16"/>
          <w:color w:val="auto"/>
        </w:rPr>
      </w:pPr>
    </w:p>
    <w:p>
      <w:pPr>
        <w:ind w:left="640" w:right="20" w:hanging="4"/>
        <w:spacing w:after="0" w:line="267" w:lineRule="auto"/>
        <w:tabs>
          <w:tab w:leader="none" w:pos="9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(including, without limitation, any hedging or similar activities in connection therewith), or (B) the status of such Buyer or holder of the Securities either as an investor in the Company pursuant to the transactions contemplated by the Transaction Documents or as a party to this Agreement (including, without limitation, any hedging or similar activities in connection therewith or as a party in interest or otherwise in any action or proceeding for injunctive or other equitable relief); provided, however, that the Company will not be liable in any such case to a Buyer or its related Indemnitees to the extent that any such claim, loss, damage, liability or expense arise primarily out of or is based primarily upon (i) the inaccuracy of any representations and warranties made by such Buyer herein, or (ii) the gross negligence or willful misconduct of any Buyer.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13" w:name="page114"/>
    <w:bookmarkEnd w:id="113"/>
    <w:p>
      <w:pPr>
        <w:ind w:left="4" w:right="160" w:firstLine="644"/>
        <w:spacing w:after="0" w:line="284" w:lineRule="auto"/>
        <w:tabs>
          <w:tab w:leader="none" w:pos="917" w:val="left"/>
        </w:tabs>
        <w:numPr>
          <w:ilvl w:val="1"/>
          <w:numId w:val="149"/>
        </w:numPr>
        <w:rPr>
          <w:rFonts w:ascii="Arial" w:cs="Arial" w:eastAsia="Arial" w:hAnsi="Arial"/>
          <w:sz w:val="16"/>
          <w:szCs w:val="16"/>
          <w:color w:val="auto"/>
        </w:rPr>
      </w:pPr>
      <w:r>
        <w:rPr>
          <w:rFonts w:ascii="Arial" w:cs="Arial" w:eastAsia="Arial" w:hAnsi="Arial"/>
          <w:sz w:val="16"/>
          <w:szCs w:val="16"/>
          <w:color w:val="auto"/>
        </w:rPr>
        <w:t>Promptly after receipt by an Indemnitee under this Section 9(k) of notice of the commencement of any action or proceeding (including, without limitation, any governmental action or proceeding) involving an Indemnified Liability, such Indemnitee shall, if a claim in respect thereof is to be made against any indemnifying party under this Section 9(k),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Indemnitee; provided, however, that an Indemnitee shall have the right to retain its own counsel with the fees and expenses of such counsel to be paid by the indemnifying party if: (i) the indemnifying party has agreed in writing to pay such fees and expenses;</w:t>
      </w:r>
    </w:p>
    <w:p>
      <w:pPr>
        <w:spacing w:after="0" w:line="2" w:lineRule="exact"/>
        <w:rPr>
          <w:rFonts w:ascii="Arial" w:cs="Arial" w:eastAsia="Arial" w:hAnsi="Arial"/>
          <w:sz w:val="16"/>
          <w:szCs w:val="16"/>
          <w:color w:val="auto"/>
        </w:rPr>
      </w:pPr>
    </w:p>
    <w:p>
      <w:pPr>
        <w:ind w:left="4" w:hanging="4"/>
        <w:spacing w:after="0" w:line="283" w:lineRule="auto"/>
        <w:tabs>
          <w:tab w:leader="none" w:pos="26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indemnifying party shall have failed promptly to assume the defense of such Indemnified Liability and to employ counsel reasonably satisfactory to such Indemnitee in any such Indemnified Liability; or (iii) the named parties to any such Indemnified Liability (including, without limitation, any impleaded parties) include both such Indemnitee and the indemnifying party, and such Indemnitee shall have been advised by counsel that a conflict of interest is likely to exist if the same counsel were to represent such Indemnitee and the indemnifying party (in which case, if such Indemnitee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actual reasonable and documented fees and expenses of more than one (1) separate legal counsel for such Indemnitee. The Indemnitee shall reasonably cooperate with the indemnifying party in connection with any negotiation or defense of any such action or claim by the indemnifying party and shall furnish to the indemnifying party all information reasonably available to the Indemnitee which relates to such Indemnified Liability. The indemnifying party shall keep the Indemnitee reasonably apprised at all 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and such settlement shall not include any admission as to fault on the part of the Indemnitee. Following indemnification as provided for hereunder, the indemnifying party shall be subrogated to all rights of the Indemnitee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Indemnitee under this Section 9(k), except to the extent that the indemnifying party is materially and adversely prejudiced in its ability to defend such action. The indemnification required by this Section 9(k) shall be made by periodic payments of the amount thereof during the course of the investigation or defense, as and when bills are received or Indemnified Liabilities are incurred. The indemnity and contribution agreements contained herein shall be in addition to (i) any cause of action or similar right of the Indemnitees against the indemnifying party or others, and (ii) any liabilities the indemnifying party may be subject to pursuant to the law.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14" w:name="page115"/>
    <w:bookmarkEnd w:id="114"/>
    <w:p>
      <w:pPr>
        <w:ind w:left="-20" w:right="20" w:firstLine="656"/>
        <w:spacing w:after="0" w:line="271" w:lineRule="auto"/>
        <w:tabs>
          <w:tab w:leader="none" w:pos="843"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spacing w:after="0" w:line="178" w:lineRule="exact"/>
        <w:rPr>
          <w:rFonts w:ascii="Arial" w:cs="Arial" w:eastAsia="Arial" w:hAnsi="Arial"/>
          <w:sz w:val="17"/>
          <w:szCs w:val="17"/>
          <w:color w:val="auto"/>
        </w:rPr>
      </w:pPr>
    </w:p>
    <w:p>
      <w:pPr>
        <w:ind w:left="-20" w:right="20" w:firstLine="656"/>
        <w:spacing w:after="0" w:line="269" w:lineRule="auto"/>
        <w:tabs>
          <w:tab w:leader="none" w:pos="933"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be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81" w:lineRule="exact"/>
        <w:rPr>
          <w:rFonts w:ascii="Arial" w:cs="Arial" w:eastAsia="Arial" w:hAnsi="Arial"/>
          <w:sz w:val="17"/>
          <w:szCs w:val="17"/>
          <w:color w:val="auto"/>
        </w:rPr>
      </w:pPr>
    </w:p>
    <w:p>
      <w:pPr>
        <w:ind w:left="-20" w:right="60" w:firstLine="656"/>
        <w:spacing w:after="0" w:line="257" w:lineRule="auto"/>
        <w:tabs>
          <w:tab w:leader="none" w:pos="88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Withdrawal Right</w:t>
      </w:r>
      <w:r>
        <w:rPr>
          <w:rFonts w:ascii="Arial" w:cs="Arial" w:eastAsia="Arial" w:hAnsi="Arial"/>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7" w:lineRule="exact"/>
        <w:rPr>
          <w:rFonts w:ascii="Arial" w:cs="Arial" w:eastAsia="Arial" w:hAnsi="Arial"/>
          <w:sz w:val="18"/>
          <w:szCs w:val="18"/>
          <w:color w:val="auto"/>
        </w:rPr>
      </w:pPr>
    </w:p>
    <w:p>
      <w:pPr>
        <w:ind w:left="-20" w:firstLine="656"/>
        <w:spacing w:after="0" w:line="287" w:lineRule="auto"/>
        <w:tabs>
          <w:tab w:leader="none" w:pos="883"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Payment Set Aside; Currency</w:t>
      </w:r>
      <w:r>
        <w:rPr>
          <w:rFonts w:ascii="Arial" w:cs="Arial" w:eastAsia="Arial" w:hAnsi="Arial"/>
          <w:sz w:val="16"/>
          <w:szCs w:val="16"/>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Arial" w:cs="Arial" w:eastAsia="Arial" w:hAnsi="Arial"/>
          <w:sz w:val="16"/>
          <w:szCs w:val="16"/>
          <w:b w:val="1"/>
          <w:bCs w:val="1"/>
          <w:color w:val="auto"/>
        </w:rPr>
        <w:t>U.S. Dollars</w:t>
      </w:r>
      <w:r>
        <w:rPr>
          <w:rFonts w:ascii="Arial" w:cs="Arial" w:eastAsia="Arial" w:hAnsi="Arial"/>
          <w:sz w:val="16"/>
          <w:szCs w:val="16"/>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Arial" w:cs="Arial" w:eastAsia="Arial" w:hAnsi="Arial"/>
          <w:sz w:val="16"/>
          <w:szCs w:val="16"/>
          <w:b w:val="1"/>
          <w:bCs w:val="1"/>
          <w:color w:val="auto"/>
        </w:rPr>
        <w:t>Exchange Rate</w:t>
      </w:r>
      <w:r>
        <w:rPr>
          <w:rFonts w:ascii="Arial" w:cs="Arial" w:eastAsia="Arial" w:hAnsi="Arial"/>
          <w:sz w:val="16"/>
          <w:szCs w:val="16"/>
          <w:color w:val="auto"/>
        </w:rPr>
        <w:t>” means, in relation to any amount of currency to be converted into U.S. Dollars pursuant to this Agreement, the U.S. Dollar exchange rate as published in the Wall Street Journal on the relevant date of calculation.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15" w:name="page116"/>
    <w:bookmarkEnd w:id="115"/>
    <w:p>
      <w:pPr>
        <w:ind w:left="880" w:hanging="264"/>
        <w:spacing w:after="0"/>
        <w:tabs>
          <w:tab w:leader="none" w:pos="8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right="300" w:firstLine="644"/>
        <w:spacing w:after="0" w:line="259" w:lineRule="auto"/>
        <w:tabs>
          <w:tab w:leader="none" w:pos="148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Arial" w:cs="Arial" w:eastAsia="Arial" w:hAnsi="Arial"/>
          <w:sz w:val="18"/>
          <w:szCs w:val="18"/>
          <w:b w:val="1"/>
          <w:bCs w:val="1"/>
          <w:color w:val="auto"/>
        </w:rPr>
        <w:t>Judgment Currency</w:t>
      </w:r>
      <w:r>
        <w:rPr>
          <w:rFonts w:ascii="Arial" w:cs="Arial" w:eastAsia="Arial" w:hAnsi="Arial"/>
          <w:sz w:val="18"/>
          <w:szCs w:val="18"/>
          <w:color w:val="auto"/>
        </w:rPr>
        <w:t>”) an amount due in U.S. Dollars under this Agreement, the conversion shall be made at the Exchange Rate prevailing on the Business Day immediately preceding:</w:t>
      </w:r>
    </w:p>
    <w:p>
      <w:pPr>
        <w:spacing w:after="0" w:line="186" w:lineRule="exact"/>
        <w:rPr>
          <w:rFonts w:ascii="Arial" w:cs="Arial" w:eastAsia="Arial" w:hAnsi="Arial"/>
          <w:sz w:val="18"/>
          <w:szCs w:val="18"/>
          <w:color w:val="auto"/>
        </w:rPr>
      </w:pPr>
    </w:p>
    <w:p>
      <w:pPr>
        <w:ind w:left="1260" w:right="60" w:firstLine="1300"/>
        <w:spacing w:after="0" w:line="277" w:lineRule="auto"/>
        <w:tabs>
          <w:tab w:leader="none" w:pos="2811"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date actual payment of the amount due, in the case of any proceeding in the courts of New York or in the courts of any other jurisdiction that will give effect to such conversion being made on such date; or</w:t>
      </w:r>
    </w:p>
    <w:p>
      <w:pPr>
        <w:spacing w:after="0" w:line="170" w:lineRule="exact"/>
        <w:rPr>
          <w:rFonts w:ascii="Arial" w:cs="Arial" w:eastAsia="Arial" w:hAnsi="Arial"/>
          <w:sz w:val="18"/>
          <w:szCs w:val="18"/>
          <w:color w:val="auto"/>
        </w:rPr>
      </w:pPr>
    </w:p>
    <w:p>
      <w:pPr>
        <w:ind w:left="1260" w:right="80" w:firstLine="1300"/>
        <w:spacing w:after="0" w:line="263" w:lineRule="auto"/>
        <w:tabs>
          <w:tab w:leader="none" w:pos="2811"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date on which the foreign court determines, in the case of any proceeding in the courts of any other jurisdiction (the date as of which such conversion is made pursuant to this Section 9(p)(i)(2) being hereinafter referred to as the “</w:t>
      </w:r>
      <w:r>
        <w:rPr>
          <w:rFonts w:ascii="Arial" w:cs="Arial" w:eastAsia="Arial" w:hAnsi="Arial"/>
          <w:sz w:val="18"/>
          <w:szCs w:val="18"/>
          <w:b w:val="1"/>
          <w:bCs w:val="1"/>
          <w:color w:val="auto"/>
        </w:rPr>
        <w:t>Judgment</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20" w:right="160" w:firstLine="644"/>
        <w:spacing w:after="0" w:line="296" w:lineRule="auto"/>
        <w:tabs>
          <w:tab w:leader="none" w:pos="1533"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If in the case of any proceeding in the court of any jurisdiction referred to in Section 9(p)(i)(2) ,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61" w:lineRule="exact"/>
        <w:rPr>
          <w:rFonts w:ascii="Arial" w:cs="Arial" w:eastAsia="Arial" w:hAnsi="Arial"/>
          <w:sz w:val="16"/>
          <w:szCs w:val="16"/>
          <w:color w:val="auto"/>
        </w:rPr>
      </w:pPr>
    </w:p>
    <w:p>
      <w:pPr>
        <w:ind w:left="620" w:right="80" w:firstLine="644"/>
        <w:spacing w:after="0" w:line="277" w:lineRule="auto"/>
        <w:tabs>
          <w:tab w:leader="none" w:pos="158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170" w:lineRule="exact"/>
        <w:rPr>
          <w:rFonts w:ascii="Arial" w:cs="Arial" w:eastAsia="Arial" w:hAnsi="Arial"/>
          <w:sz w:val="18"/>
          <w:szCs w:val="18"/>
          <w:color w:val="auto"/>
        </w:rPr>
      </w:pPr>
    </w:p>
    <w:p>
      <w:pPr>
        <w:ind w:left="-40" w:firstLine="656"/>
        <w:spacing w:after="0" w:line="285" w:lineRule="auto"/>
        <w:tabs>
          <w:tab w:leader="none" w:pos="863"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Independent Nature of Buyers’ Obligations and Rights</w:t>
      </w:r>
      <w:r>
        <w:rPr>
          <w:rFonts w:ascii="Arial" w:cs="Arial" w:eastAsia="Arial" w:hAnsi="Arial"/>
          <w:sz w:val="16"/>
          <w:szCs w:val="16"/>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16" w:name="page117"/>
    <w:bookmarkEnd w:id="116"/>
    <w:p>
      <w:pPr>
        <w:ind w:left="-40" w:right="60" w:firstLine="656"/>
        <w:spacing w:after="0" w:line="277" w:lineRule="auto"/>
        <w:tabs>
          <w:tab w:leader="none" w:pos="833"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Performance Date</w:t>
      </w:r>
      <w:r>
        <w:rPr>
          <w:rFonts w:ascii="Arial" w:cs="Arial" w:eastAsia="Arial" w:hAnsi="Arial"/>
          <w:sz w:val="18"/>
          <w:szCs w:val="18"/>
          <w:color w:val="auto"/>
        </w:rPr>
        <w:t>. If the date by which any obligation under any of the Transaction Documents must be performed occurs on a day other than a Business Day, then the date by which such performance is required shall be the next Business Day following such date.</w:t>
      </w:r>
    </w:p>
    <w:p>
      <w:pPr>
        <w:spacing w:after="0" w:line="170" w:lineRule="exact"/>
        <w:rPr>
          <w:rFonts w:ascii="Arial" w:cs="Arial" w:eastAsia="Arial" w:hAnsi="Arial"/>
          <w:sz w:val="18"/>
          <w:szCs w:val="18"/>
          <w:color w:val="auto"/>
        </w:rPr>
      </w:pPr>
    </w:p>
    <w:p>
      <w:pPr>
        <w:ind w:left="-40" w:right="40" w:firstLine="656"/>
        <w:spacing w:after="0" w:line="263" w:lineRule="auto"/>
        <w:tabs>
          <w:tab w:leader="none" w:pos="843"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Enforcement Fees</w:t>
      </w:r>
      <w:r>
        <w:rPr>
          <w:rFonts w:ascii="Arial" w:cs="Arial" w:eastAsia="Arial" w:hAnsi="Arial"/>
          <w:sz w:val="18"/>
          <w:szCs w:val="18"/>
          <w:color w:val="auto"/>
        </w:rPr>
        <w:t>. The Company agrees to pay all reasonable and documented out of pocket costs and expenses of the Buyers actually incurred as a result of enforcement of the Transaction Documents and the collection of any amounts owed to the Buyers hereunder (whether in cash, equity or otherwise), including, without limitation, actual reasonable and documented attorneys’ fees and expenses.</w:t>
      </w:r>
    </w:p>
    <w:p>
      <w:pPr>
        <w:spacing w:after="0" w:line="183" w:lineRule="exact"/>
        <w:rPr>
          <w:rFonts w:ascii="Arial" w:cs="Arial" w:eastAsia="Arial" w:hAnsi="Arial"/>
          <w:sz w:val="18"/>
          <w:szCs w:val="18"/>
          <w:color w:val="auto"/>
        </w:rPr>
      </w:pPr>
    </w:p>
    <w:p>
      <w:pPr>
        <w:ind w:left="840" w:hanging="224"/>
        <w:spacing w:after="0"/>
        <w:tabs>
          <w:tab w:leader="none" w:pos="8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4"/>
        <w:spacing w:after="0" w:line="287" w:lineRule="auto"/>
        <w:tabs>
          <w:tab w:leader="none" w:pos="1471" w:val="left"/>
        </w:tabs>
        <w:numPr>
          <w:ilvl w:val="1"/>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Appointment; Authorization. </w:t>
      </w:r>
      <w:r>
        <w:rPr>
          <w:rFonts w:ascii="Arial" w:cs="Arial" w:eastAsia="Arial" w:hAnsi="Arial"/>
          <w:sz w:val="16"/>
          <w:szCs w:val="16"/>
          <w:color w:val="auto"/>
        </w:rPr>
        <w:t>The Buyers, together with any successors or assigns thereof, hereby irrevocably appoint, designate 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High Trail Special Situations LLC as collateral agent to take such action on their behalf under the provisions of the Notes, each Security Document and to exercise such powers and perform such duties as are expressly delegated to it by the terms of each Security Document, together with such powers as are reasonably incidental thereto. The provisions of this Section 9(t) are solely for the benefit of the Collateral Agent, and the Company shall not have rights as a third-party beneficiary of any of such provisions. It is understood and agreed that the use of the term “agent” herein or in any Security Document (or any other similar term) with reference to the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Notwithstanding any provision to the contrary contained elsewhere in the Notes, any Security Document or any other agreement, instrument or document related hereto or thereto, the Collateral Agent shall not have any duty or responsibility except those expressly set forth herein, and no implied covenants, functions, responsibilities, duties, obligations or liabilities shall be read into the Notes, any Security Document or any other agreement, instrument or document related hereto or thereto or otherwise exist against the Collateral Agent.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117" w:name="page118"/>
    <w:bookmarkEnd w:id="117"/>
    <w:p>
      <w:pPr>
        <w:ind w:right="160" w:firstLine="1304"/>
        <w:spacing w:after="0" w:line="290" w:lineRule="auto"/>
        <w:tabs>
          <w:tab w:leader="none" w:pos="1561" w:val="left"/>
        </w:tabs>
        <w:numPr>
          <w:ilvl w:val="1"/>
          <w:numId w:val="154"/>
        </w:numPr>
        <w:rPr>
          <w:rFonts w:ascii="Arial" w:cs="Arial" w:eastAsia="Arial" w:hAnsi="Arial"/>
          <w:sz w:val="16"/>
          <w:szCs w:val="16"/>
          <w:color w:val="auto"/>
        </w:rPr>
      </w:pPr>
      <w:r>
        <w:rPr>
          <w:rFonts w:ascii="Arial" w:cs="Arial" w:eastAsia="Arial" w:hAnsi="Arial"/>
          <w:sz w:val="16"/>
          <w:szCs w:val="16"/>
          <w:i w:val="1"/>
          <w:iCs w:val="1"/>
          <w:color w:val="auto"/>
        </w:rPr>
        <w:t xml:space="preserve">Delegation of Duties. </w:t>
      </w:r>
      <w:r>
        <w:rPr>
          <w:rFonts w:ascii="Arial" w:cs="Arial" w:eastAsia="Arial" w:hAnsi="Arial"/>
          <w:sz w:val="16"/>
          <w:szCs w:val="16"/>
          <w:color w:val="auto"/>
        </w:rPr>
        <w:t>The Collateral Agent may perform any and all of its duties and exercise its rights and powers hereunder or</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Security Document by or through any one or more sub-agents appointed by the Collateral Agent. The Collateral Agent and any such sub-agent may perform any and all of its duties and exercise its rights and powers by or through its Affiliates (as defined in the Notes), partners, directors, officers, employees, agents, trustees, administrators, managers, advisors and representatives, or the partners, directors, officers, employees, agents, trustees, administrators, managers, advisors and representatives of any of its Affiliates (collectively, the “</w:t>
      </w:r>
      <w:r>
        <w:rPr>
          <w:rFonts w:ascii="Arial" w:cs="Arial" w:eastAsia="Arial" w:hAnsi="Arial"/>
          <w:sz w:val="16"/>
          <w:szCs w:val="16"/>
          <w:b w:val="1"/>
          <w:bCs w:val="1"/>
          <w:color w:val="auto"/>
        </w:rPr>
        <w:t>Related Parties</w:t>
      </w:r>
      <w:r>
        <w:rPr>
          <w:rFonts w:ascii="Arial" w:cs="Arial" w:eastAsia="Arial" w:hAnsi="Arial"/>
          <w:sz w:val="16"/>
          <w:szCs w:val="16"/>
          <w:color w:val="auto"/>
        </w:rPr>
        <w:t>”). The exculpatory provisions of this Section 9(t) shall apply to any such sub-agent and to the Related Parties of the Collateral Agent and any such sub-agent. The Collateral Agent shall not be responsible for the negligence or misconduct of any sub-agents except to the extent that a court of competent jurisdiction determines in a final and non-appealable judgment that the Collateral Agent acted with gross negligence or willful misconduct in the selection of such sub-agents.</w:t>
      </w:r>
    </w:p>
    <w:p>
      <w:pPr>
        <w:spacing w:after="0" w:line="165" w:lineRule="exact"/>
        <w:rPr>
          <w:rFonts w:ascii="Arial" w:cs="Arial" w:eastAsia="Arial" w:hAnsi="Arial"/>
          <w:sz w:val="16"/>
          <w:szCs w:val="16"/>
          <w:color w:val="auto"/>
        </w:rPr>
      </w:pPr>
    </w:p>
    <w:p>
      <w:pPr>
        <w:ind w:left="1620" w:hanging="316"/>
        <w:spacing w:after="0"/>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Exculpatory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73" w:lineRule="auto"/>
        <w:tabs>
          <w:tab w:leader="none" w:pos="2239" w:val="left"/>
        </w:tabs>
        <w:numPr>
          <w:ilvl w:val="2"/>
          <w:numId w:val="154"/>
        </w:numPr>
        <w:rPr>
          <w:rFonts w:ascii="Arial" w:cs="Arial" w:eastAsia="Arial" w:hAnsi="Arial"/>
          <w:sz w:val="17"/>
          <w:szCs w:val="17"/>
          <w:color w:val="auto"/>
        </w:rPr>
      </w:pPr>
      <w:r>
        <w:rPr>
          <w:rFonts w:ascii="Arial" w:cs="Arial" w:eastAsia="Arial" w:hAnsi="Arial"/>
          <w:sz w:val="17"/>
          <w:szCs w:val="17"/>
          <w:color w:val="auto"/>
        </w:rPr>
        <w:t>The Collateral Agent shall not have any duties or obligations except those expressly set forth in the Security Documents, and its duties shall be administrative in nature. Without limiting the generality of the foregoing, the Collateral Agent: (i) shall not be subject to any fiduciary or other implied duties, regardless of whether a Default (as defined in the Notes) or Event of Default (as defined in the Notes) has occurred and is continuing; (ii) shall not have any duty to take any discretionary action or exercise any discretionary powers; and (iii) shall not, except as expressly set forth in the Security Documents, have any duty to disclose, and shall not be liable for the failure to disclose, any information relating to the Company or any of its Affiliates that is communicated to or obtained by the Collateral Agent or any of its Affiliates in any capacity.</w:t>
      </w:r>
    </w:p>
    <w:p>
      <w:pPr>
        <w:spacing w:after="0" w:line="177" w:lineRule="exact"/>
        <w:rPr>
          <w:rFonts w:ascii="Arial" w:cs="Arial" w:eastAsia="Arial" w:hAnsi="Arial"/>
          <w:sz w:val="17"/>
          <w:szCs w:val="17"/>
          <w:color w:val="auto"/>
        </w:rPr>
      </w:pPr>
    </w:p>
    <w:p>
      <w:pPr>
        <w:jc w:val="both"/>
        <w:ind w:right="140" w:firstLine="1952"/>
        <w:spacing w:after="0" w:line="259" w:lineRule="auto"/>
        <w:tabs>
          <w:tab w:leader="none" w:pos="2229"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Collateral Agent shall not be liable for any action taken or not taken by it in the absence of its own gross negligence or willful misconduct as determined by a court of competent jurisdiction by final and non-appealable judgment. The Collateral Agent shall be deemed not to have knowledge of any Default or Event of Default unless and until notice describing such Default or Event of Default is given to the Collateral Agent in writing by the Company.</w:t>
      </w:r>
    </w:p>
    <w:p>
      <w:pPr>
        <w:spacing w:after="0" w:line="186" w:lineRule="exact"/>
        <w:rPr>
          <w:rFonts w:ascii="Arial" w:cs="Arial" w:eastAsia="Arial" w:hAnsi="Arial"/>
          <w:sz w:val="18"/>
          <w:szCs w:val="18"/>
          <w:color w:val="auto"/>
        </w:rPr>
      </w:pPr>
    </w:p>
    <w:p>
      <w:pPr>
        <w:ind w:right="80" w:firstLine="1952"/>
        <w:spacing w:after="0" w:line="291" w:lineRule="auto"/>
        <w:tabs>
          <w:tab w:leader="none" w:pos="2229" w:val="left"/>
        </w:tabs>
        <w:numPr>
          <w:ilvl w:val="2"/>
          <w:numId w:val="154"/>
        </w:numPr>
        <w:rPr>
          <w:rFonts w:ascii="Arial" w:cs="Arial" w:eastAsia="Arial" w:hAnsi="Arial"/>
          <w:sz w:val="16"/>
          <w:szCs w:val="16"/>
          <w:color w:val="auto"/>
        </w:rPr>
      </w:pPr>
      <w:r>
        <w:rPr>
          <w:rFonts w:ascii="Arial" w:cs="Arial" w:eastAsia="Arial" w:hAnsi="Arial"/>
          <w:sz w:val="16"/>
          <w:szCs w:val="16"/>
          <w:color w:val="auto"/>
        </w:rPr>
        <w:t>The Collateral Agent shall not be responsible for or have any duty to ascertain or inquire into (a) any statement, warranty or representation made in or in connection with the Notes, any Security Document or any other agreement, instrument or document related hereto or thereto,</w:t>
      </w:r>
    </w:p>
    <w:p>
      <w:pPr>
        <w:ind w:right="100" w:firstLine="8"/>
        <w:spacing w:after="0" w:line="268" w:lineRule="auto"/>
        <w:tabs>
          <w:tab w:leader="none" w:pos="2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or Event of Default, (d) the validity, enforceability, effectiveness or genuineness of the Notes, any Security Document or any other agreement, instrument or document related to the Notes or Security Documents, or (e) any failure of the Company or any other party to the Notes, any Security Agreement or any other agreement, instrument or document related to the Notes or Security Documents to perform its obligations thereunder. The Collateral Agent shall not be under any obligation to ascertain or to inquire as to the observance or performance of any of the agreements contained in, or conditions of, the Notes, any Security Document or any other agreement, instrument or document related to the Notes or Security Documents, or to inspect the properties, books or records of the Company or any Affiliate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left="-20" w:right="20" w:firstLine="1952"/>
        <w:spacing w:after="0" w:line="293" w:lineRule="auto"/>
        <w:tabs>
          <w:tab w:leader="none" w:pos="2229"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Reliance by Collateral Agent. </w:t>
      </w:r>
      <w:r>
        <w:rPr>
          <w:rFonts w:ascii="Arial" w:cs="Arial" w:eastAsia="Arial" w:hAnsi="Arial"/>
          <w:sz w:val="16"/>
          <w:szCs w:val="16"/>
          <w:color w:val="auto"/>
        </w:rPr>
        <w:t>The Collateral Agent shall be entitled to rely upon, and shall not incur any liability for relying</w:t>
      </w:r>
      <w:r>
        <w:rPr>
          <w:rFonts w:ascii="Arial" w:cs="Arial" w:eastAsia="Arial" w:hAnsi="Arial"/>
          <w:sz w:val="16"/>
          <w:szCs w:val="16"/>
          <w:i w:val="1"/>
          <w:iCs w:val="1"/>
          <w:color w:val="auto"/>
        </w:rPr>
        <w:t xml:space="preserve"> </w:t>
      </w:r>
      <w:r>
        <w:rPr>
          <w:rFonts w:ascii="Arial" w:cs="Arial" w:eastAsia="Arial" w:hAnsi="Arial"/>
          <w:sz w:val="16"/>
          <w:szCs w:val="16"/>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independent accountants and other experts selected by it, and shall not be liable for any action taken or not taken by it in accordance with the advice of any such counsel, accountants or experts.</w:t>
      </w:r>
    </w:p>
    <w:p>
      <w:pPr>
        <w:spacing w:after="0" w:line="164" w:lineRule="exact"/>
        <w:rPr>
          <w:rFonts w:ascii="Arial" w:cs="Arial" w:eastAsia="Arial" w:hAnsi="Arial"/>
          <w:sz w:val="16"/>
          <w:szCs w:val="16"/>
          <w:color w:val="auto"/>
        </w:rPr>
      </w:pPr>
    </w:p>
    <w:p>
      <w:pPr>
        <w:ind w:left="-20" w:right="20" w:firstLine="1952"/>
        <w:spacing w:after="0" w:line="288" w:lineRule="auto"/>
        <w:tabs>
          <w:tab w:leader="none" w:pos="2179"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Successor Agent. </w:t>
      </w:r>
      <w:r>
        <w:rPr>
          <w:rFonts w:ascii="Arial" w:cs="Arial" w:eastAsia="Arial" w:hAnsi="Arial"/>
          <w:sz w:val="16"/>
          <w:szCs w:val="16"/>
          <w:color w:val="auto"/>
        </w:rPr>
        <w:t>The Collateral Agent may resign as the Collateral Agent at any time upon ten (10) days’ prior notice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Buyers and the Company. If the Collateral Agent resigns under the Notes, the Required Holders shall appoint a successor agent. If no successor agent is appointed prior to the effective date of the resignation of the Collateral Agent, the Collateral Agent may appoint a successor Collateral Agent on behalf of the Buyers after consulting with the Buyers. Upon the acceptance of its appointment as successor agent hereunder, such successor agent shall succeed to all the rights, powers and duties of the retiring Collateral Agent and the term “the Collateral Agent” shall mean such successor agent, and the retiring Collateral Agent’s appointment, powers and duties as the Collateral Agent shall be terminated. After the Collateral Agent’s resignation hereunder as the Collateral Agent, the provisions of this Section 9(t) shall continue to inure to its benefit as to any actions taken or omitted to be taken by it while it was the Collateral Agent. If no successor agent has accepted appointment as the Collateral Agent by the date which is thirty (30) days following a retiring Collateral Agent’s notice of resignation, a retiring Collateral Agent’s resignation shall nevertheless thereupon become effective and the Buyers, shall perform all of the duties of the Collateral Agent hereunder until such time as Required Holders shall appoint a successor agent as provided for above.</w:t>
      </w:r>
    </w:p>
    <w:p>
      <w:pPr>
        <w:spacing w:after="0" w:line="168" w:lineRule="exact"/>
        <w:rPr>
          <w:rFonts w:ascii="Arial" w:cs="Arial" w:eastAsia="Arial" w:hAnsi="Arial"/>
          <w:sz w:val="16"/>
          <w:szCs w:val="16"/>
          <w:color w:val="auto"/>
        </w:rPr>
      </w:pPr>
    </w:p>
    <w:p>
      <w:pPr>
        <w:ind w:left="-20" w:right="100" w:firstLine="1952"/>
        <w:spacing w:after="0" w:line="255" w:lineRule="auto"/>
        <w:tabs>
          <w:tab w:leader="none" w:pos="2229"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Non-Reliance on the Collateral Agent. </w:t>
      </w:r>
      <w:r>
        <w:rPr>
          <w:rFonts w:ascii="Arial" w:cs="Arial" w:eastAsia="Arial" w:hAnsi="Arial"/>
          <w:sz w:val="18"/>
          <w:szCs w:val="18"/>
          <w:color w:val="auto"/>
        </w:rPr>
        <w:t>The Buyers acknowledges that they have, independently and without reliance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Collateral Agent or any of its Related Parties and based on such documents and information as they have deemed appropriate, made their own credit analysis and decision to enter invest in the Notes. The Buyers also acknowledges that they will, independently and without reliance upon the Collateral Agent or any of its Related Parties and based on such documents and information as they shall from time to time deem appropriate, continue to make their own decisions in taking or not taking action under or based upon the Notes, any Security Document or any related agreement or any document furnished hereunder or thereunder.</w:t>
      </w:r>
    </w:p>
    <w:p>
      <w:pPr>
        <w:spacing w:after="0" w:line="192" w:lineRule="exact"/>
        <w:rPr>
          <w:rFonts w:ascii="Arial" w:cs="Arial" w:eastAsia="Arial" w:hAnsi="Arial"/>
          <w:sz w:val="18"/>
          <w:szCs w:val="18"/>
          <w:color w:val="auto"/>
        </w:rPr>
      </w:pPr>
    </w:p>
    <w:p>
      <w:pPr>
        <w:ind w:left="-20" w:firstLine="1952"/>
        <w:spacing w:after="0" w:line="270" w:lineRule="auto"/>
        <w:tabs>
          <w:tab w:leader="none" w:pos="2279"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 xml:space="preserve">Collateral Matters. </w:t>
      </w:r>
      <w:r>
        <w:rPr>
          <w:rFonts w:ascii="Arial" w:cs="Arial" w:eastAsia="Arial" w:hAnsi="Arial"/>
          <w:sz w:val="17"/>
          <w:szCs w:val="17"/>
          <w:color w:val="auto"/>
        </w:rPr>
        <w:t>The Buyers irrevocably authorize the Collateral Agent to release any Lien (as defined in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to or held by the Collateral Agent under any Security Document (i) when all Obligations (as defined in the Security Agreements) have been paid in full; (ii) constituting property sold or to be sold or disposed of as part of or in connection with any sale or other disposition permitted under the Notes and each other agreement, instrument or document related thereto (it being agreed and understood that the Collateral Agent may conclusively rely without further inquiry on a certificate of an officer of the Company as to the sale or other disposition of property being made in compliance with the Notes and each other agreement, instrument or document related thereto); or (iii) if approved, authorized or ratified in writing by the Buyers. The Collateral Agent shall have the right, in accordance with the Security Documents to sell, lease or otherwise dispose of any Collateral (as defined in the Security Agreements) for cash, credit or any combination thereof, and the Collateral Agent may purchase any Collateral at public or, if permitted by law, private sale and, in lieu of actual payment of the purchase price, may credit bid and setoff the amount of such price against the Obligations.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19" w:name="page120"/>
    <w:bookmarkEnd w:id="119"/>
    <w:p>
      <w:pPr>
        <w:ind w:left="-80" w:right="20" w:firstLine="1952"/>
        <w:spacing w:after="0" w:line="259" w:lineRule="auto"/>
        <w:tabs>
          <w:tab w:leader="none" w:pos="2269" w:val="left"/>
        </w:tabs>
        <w:numPr>
          <w:ilvl w:val="1"/>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Reimbursement by Buyers. </w:t>
      </w:r>
      <w:r>
        <w:rPr>
          <w:rFonts w:ascii="Arial" w:cs="Arial" w:eastAsia="Arial" w:hAnsi="Arial"/>
          <w:sz w:val="18"/>
          <w:szCs w:val="18"/>
          <w:color w:val="auto"/>
        </w:rPr>
        <w:t>To the extent that the Company for any reason fails to indefeasibly pay any amount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Sections 4(g), 4(y)or 9(k) to be paid by it to the Collateral Agent (or any sub-agent thereof) or any Related Party of the Collateral Agent (or any sub-agent thereof), the Buyers hereby agree, jointly and severally, to pay to the Collateral Agent (or any such sub-agent) or such Related Party of the Collateral Agent (or any sub-agent thereof), as the case may be, such unpaid amount.</w:t>
      </w:r>
    </w:p>
    <w:p>
      <w:pPr>
        <w:spacing w:after="0" w:line="186" w:lineRule="exact"/>
        <w:rPr>
          <w:rFonts w:ascii="Arial" w:cs="Arial" w:eastAsia="Arial" w:hAnsi="Arial"/>
          <w:sz w:val="18"/>
          <w:szCs w:val="18"/>
          <w:color w:val="auto"/>
        </w:rPr>
      </w:pPr>
    </w:p>
    <w:p>
      <w:pPr>
        <w:ind w:left="580" w:firstLine="644"/>
        <w:spacing w:after="0" w:line="289" w:lineRule="auto"/>
        <w:tabs>
          <w:tab w:leader="none" w:pos="1533"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Marshaling; Payments Set Aside. </w:t>
      </w:r>
      <w:r>
        <w:rPr>
          <w:rFonts w:ascii="Arial" w:cs="Arial" w:eastAsia="Arial" w:hAnsi="Arial"/>
          <w:sz w:val="16"/>
          <w:szCs w:val="16"/>
          <w:color w:val="auto"/>
        </w:rPr>
        <w:t>Neither the Collateral Agent nor the Buyers shall be under any obligation to marshal any assets in</w:t>
      </w:r>
      <w:r>
        <w:rPr>
          <w:rFonts w:ascii="Arial" w:cs="Arial" w:eastAsia="Arial" w:hAnsi="Arial"/>
          <w:sz w:val="16"/>
          <w:szCs w:val="16"/>
          <w:i w:val="1"/>
          <w:iCs w:val="1"/>
          <w:color w:val="auto"/>
        </w:rPr>
        <w:t xml:space="preserve"> </w:t>
      </w:r>
      <w:r>
        <w:rPr>
          <w:rFonts w:ascii="Arial" w:cs="Arial" w:eastAsia="Arial" w:hAnsi="Arial"/>
          <w:sz w:val="16"/>
          <w:szCs w:val="16"/>
          <w:color w:val="auto"/>
        </w:rPr>
        <w:t>favor of the Company or any other Person or against or in payment of any or all of the Obligations. To the extent that the Company makes a payment or payments to the Collateral Agent, or the Collateral Agent enforces its Liens (as defined in the Notes) or exercises its rights of set-off, and such payment or payments or the proceeds of such enforcement or set-off or any part thereof are subsequently invalidated, declared to be fraudulent or preferential, set aside or required (including pursuant to any settlement entered into by the Collateral Agent in its discretion) to be repaid to a trustee, receiver or any other party in connection with any bankruptcy, insolvency or similar proceeding, or otherwise, then (i) to the extent of such recovery, the obligation under the Notes intended to be satisfied shall be revived and continued in full force and effect as if such payment had not been made or such enforcement or set-off had not occurred and (ii) the Buyers agree to pay to the Collateral Agent upon demand its share of the total amount so recovered from or repaid by the Collateral Agent to the extent paid to the Buyers.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120" w:name="page121"/>
    <w:bookmarkEnd w:id="120"/>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Buyer and the Company have caused their respective signature page to this Agreement to be duly executed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first written above.</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7220"/>
        <w:spacing w:after="0"/>
        <w:tabs>
          <w:tab w:leader="none" w:pos="784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21" w:name="page122"/>
    <w:bookmarkEnd w:id="121"/>
    <w:p>
      <w:pPr>
        <w:ind w:firstLine="648"/>
        <w:spacing w:after="0" w:line="261"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ind w:left="6760"/>
        <w:spacing w:after="0"/>
        <w:rPr>
          <w:sz w:val="20"/>
          <w:szCs w:val="20"/>
          <w:color w:val="auto"/>
        </w:rPr>
      </w:pPr>
      <w:r>
        <w:rPr>
          <w:rFonts w:ascii="Arial" w:cs="Arial" w:eastAsia="Arial" w:hAnsi="Arial"/>
          <w:sz w:val="18"/>
          <w:szCs w:val="18"/>
          <w:b w:val="1"/>
          <w:bCs w:val="1"/>
          <w:color w:val="auto"/>
        </w:rPr>
        <w:t>BUYER: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HIGH TRAIL SPECIAL SITUATIONS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Eric Helenek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Eric Helenek</w:t>
      </w:r>
    </w:p>
    <w:p>
      <w:pPr>
        <w:spacing w:after="0" w:line="23" w:lineRule="exact"/>
        <w:rPr>
          <w:sz w:val="20"/>
          <w:szCs w:val="20"/>
          <w:color w:val="auto"/>
        </w:rPr>
      </w:pPr>
    </w:p>
    <w:p>
      <w:pPr>
        <w:ind w:left="7220"/>
        <w:spacing w:after="0"/>
        <w:tabs>
          <w:tab w:leader="none" w:pos="778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98"/>
              </w:rPr>
              <w:t>SCHEDULE OF BUYERS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82"/>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(3)</w:t>
            </w:r>
          </w:p>
        </w:tc>
        <w:tc>
          <w:tcPr>
            <w:tcW w:w="120" w:type="dxa"/>
            <w:vAlign w:val="bottom"/>
          </w:tcPr>
          <w:p>
            <w:pPr>
              <w:spacing w:after="0"/>
              <w:rPr>
                <w:sz w:val="24"/>
                <w:szCs w:val="24"/>
                <w:color w:val="auto"/>
              </w:rPr>
            </w:pPr>
          </w:p>
        </w:tc>
        <w:tc>
          <w:tcPr>
            <w:tcW w:w="9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(4)</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Pr>
          <w:p>
            <w:pPr>
              <w:spacing w:after="0"/>
              <w:rPr>
                <w:sz w:val="24"/>
                <w:szCs w:val="24"/>
                <w:color w:val="auto"/>
              </w:rPr>
            </w:pPr>
          </w:p>
        </w:tc>
        <w:tc>
          <w:tcPr>
            <w:tcW w:w="9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(7)</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w:t>
            </w: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24"/>
                <w:szCs w:val="24"/>
                <w:color w:val="auto"/>
              </w:rPr>
            </w:pPr>
          </w:p>
        </w:tc>
      </w:tr>
      <w:tr>
        <w:trPr>
          <w:trHeight w:val="198"/>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Principal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Amount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each of the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Price of each</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First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of the First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Purchase</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Subsequently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Subsequently</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Price for</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Purchased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each of the</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Notes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Notes and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First</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Subsequently</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Aggregate</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Aggregate</w:t>
            </w: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Principal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Principal</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Purchase</w:t>
            </w: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Amount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Price of</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Initially</w:t>
            </w: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Warrant and</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Amount</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Price of</w:t>
            </w: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2"/>
              </w:rPr>
              <w:t>Second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Second</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2"/>
              </w:rPr>
              <w:t>Second</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of Initial</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Initial</w:t>
            </w: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Subsequently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Subsequently</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Warrant</w:t>
            </w: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Subsequently</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Legal</w:t>
            </w: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Purchased</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Purchased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Purchase</w:t>
            </w:r>
          </w:p>
        </w:tc>
        <w:tc>
          <w:tcPr>
            <w:tcW w:w="1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Representative’s</w:t>
            </w:r>
          </w:p>
        </w:tc>
      </w:tr>
      <w:tr>
        <w:trPr>
          <w:trHeight w:val="241"/>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Buyer</w:t>
            </w:r>
          </w:p>
        </w:tc>
        <w:tc>
          <w:tcPr>
            <w:tcW w:w="2000" w:type="dxa"/>
            <w:vAlign w:val="bottom"/>
            <w:gridSpan w:val="2"/>
          </w:tcPr>
          <w:p>
            <w:pPr>
              <w:ind w:left="640"/>
              <w:spacing w:after="0"/>
              <w:rPr>
                <w:sz w:val="20"/>
                <w:szCs w:val="20"/>
                <w:color w:val="auto"/>
              </w:rPr>
            </w:pPr>
            <w:r>
              <w:rPr>
                <w:rFonts w:ascii="Arial" w:cs="Arial" w:eastAsia="Arial" w:hAnsi="Arial"/>
                <w:sz w:val="18"/>
                <w:szCs w:val="18"/>
                <w:b w:val="1"/>
                <w:bCs w:val="1"/>
                <w:color w:val="auto"/>
              </w:rPr>
              <w:t>Address</w:t>
            </w: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Notes</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Notes</w:t>
            </w:r>
          </w:p>
        </w:tc>
        <w:tc>
          <w:tcPr>
            <w:tcW w:w="100" w:type="dxa"/>
            <w:vAlign w:val="bottom"/>
          </w:tcPr>
          <w:p>
            <w:pPr>
              <w:spacing w:after="0"/>
              <w:rPr>
                <w:sz w:val="20"/>
                <w:szCs w:val="20"/>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Notes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Notes</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Warrant</w:t>
            </w:r>
          </w:p>
        </w:tc>
        <w:tc>
          <w:tcPr>
            <w:tcW w:w="1360" w:type="dxa"/>
            <w:vAlign w:val="bottom"/>
            <w:gridSpan w:val="2"/>
          </w:tcPr>
          <w:p>
            <w:pPr>
              <w:ind w:left="340"/>
              <w:spacing w:after="0"/>
              <w:rPr>
                <w:sz w:val="20"/>
                <w:szCs w:val="20"/>
                <w:color w:val="auto"/>
              </w:rPr>
            </w:pPr>
            <w:r>
              <w:rPr>
                <w:rFonts w:ascii="Arial" w:cs="Arial" w:eastAsia="Arial" w:hAnsi="Arial"/>
                <w:sz w:val="18"/>
                <w:szCs w:val="18"/>
                <w:b w:val="1"/>
                <w:bCs w:val="1"/>
                <w:color w:val="auto"/>
              </w:rPr>
              <w:t>Address</w:t>
            </w:r>
          </w:p>
        </w:tc>
      </w:tr>
      <w:tr>
        <w:trPr>
          <w:trHeight w:val="202"/>
        </w:trPr>
        <w:tc>
          <w:tcPr>
            <w:tcW w:w="7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High</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High Trail Capital</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7"/>
              </w:rPr>
              <w:t>$65,000,000</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8"/>
              </w:rPr>
              <w:t>$ [Reserved]</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240"/>
              <w:spacing w:after="0" w:line="201" w:lineRule="exact"/>
              <w:rPr>
                <w:sz w:val="20"/>
                <w:szCs w:val="20"/>
                <w:color w:val="auto"/>
              </w:rPr>
            </w:pPr>
            <w:r>
              <w:rPr>
                <w:rFonts w:ascii="Arial" w:cs="Arial" w:eastAsia="Arial" w:hAnsi="Arial"/>
                <w:sz w:val="18"/>
                <w:szCs w:val="18"/>
                <w:color w:val="auto"/>
                <w:w w:val="86"/>
              </w:rPr>
              <w:t>35,000,000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260"/>
              <w:spacing w:after="0" w:line="201" w:lineRule="exact"/>
              <w:rPr>
                <w:sz w:val="20"/>
                <w:szCs w:val="20"/>
                <w:color w:val="auto"/>
              </w:rPr>
            </w:pPr>
            <w:r>
              <w:rPr>
                <w:rFonts w:ascii="Arial" w:cs="Arial" w:eastAsia="Arial" w:hAnsi="Arial"/>
                <w:sz w:val="18"/>
                <w:szCs w:val="18"/>
                <w:color w:val="auto"/>
                <w:w w:val="89"/>
              </w:rPr>
              <w:t>[Reserved]</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8"/>
              </w:rPr>
              <w:t>$ [Reserved]</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260"/>
              <w:spacing w:after="0" w:line="201" w:lineRule="exact"/>
              <w:rPr>
                <w:sz w:val="20"/>
                <w:szCs w:val="20"/>
                <w:color w:val="auto"/>
              </w:rPr>
            </w:pPr>
            <w:r>
              <w:rPr>
                <w:rFonts w:ascii="Arial" w:cs="Arial" w:eastAsia="Arial" w:hAnsi="Arial"/>
                <w:sz w:val="18"/>
                <w:szCs w:val="18"/>
                <w:color w:val="auto"/>
                <w:w w:val="87"/>
              </w:rPr>
              <w:t>[Reserved]</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Latham &amp;</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Trail</w:t>
            </w:r>
          </w:p>
        </w:tc>
        <w:tc>
          <w:tcPr>
            <w:tcW w:w="200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color w:val="auto"/>
              </w:rPr>
              <w:t>221 River Street, 9</w:t>
            </w:r>
            <w:r>
              <w:rPr>
                <w:rFonts w:ascii="Arial" w:cs="Arial" w:eastAsia="Arial" w:hAnsi="Arial"/>
                <w:sz w:val="25"/>
                <w:szCs w:val="25"/>
                <w:color w:val="auto"/>
                <w:vertAlign w:val="superscript"/>
              </w:rPr>
              <w:t>th</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Watkins LLP</w:t>
            </w:r>
          </w:p>
        </w:tc>
      </w:tr>
      <w:tr>
        <w:trPr>
          <w:trHeight w:val="216"/>
        </w:trPr>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12670 High Bluff</w:t>
            </w:r>
          </w:p>
        </w:tc>
      </w:tr>
      <w:tr>
        <w:trPr>
          <w:trHeight w:val="216"/>
        </w:trPr>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Situations</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Hoboken, NJ 07030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Drive</w:t>
            </w:r>
          </w:p>
        </w:tc>
      </w:tr>
      <w:tr>
        <w:trPr>
          <w:trHeight w:val="216"/>
        </w:trPr>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LLC</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Attn: Eric Helenek</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 Diego, CA</w:t>
            </w: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E-Mail:</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92130</w:t>
            </w:r>
          </w:p>
        </w:tc>
        <w:tc>
          <w:tcPr>
            <w:tcW w:w="60" w:type="dxa"/>
            <w:vAlign w:val="bottom"/>
            <w:shd w:val="clear" w:color="auto" w:fill="CCEEFF"/>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notices@hightrailcap.com</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Telephone: (858)</w:t>
            </w:r>
          </w:p>
        </w:tc>
      </w:tr>
      <w:tr>
        <w:trPr>
          <w:trHeight w:val="215"/>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523-5400</w:t>
            </w:r>
          </w:p>
        </w:tc>
        <w:tc>
          <w:tcPr>
            <w:tcW w:w="60" w:type="dxa"/>
            <w:vAlign w:val="bottom"/>
            <w:shd w:val="clear" w:color="auto" w:fill="CCEEFF"/>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Attention:</w:t>
            </w: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E.</w:t>
            </w:r>
          </w:p>
        </w:tc>
      </w:tr>
      <w:tr>
        <w:trPr>
          <w:trHeight w:val="230"/>
        </w:trPr>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Sullivan, Esq.</w:t>
            </w:r>
          </w:p>
        </w:tc>
      </w:t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9"/>
              </w:rPr>
              <w:t>$65,000,000</w:t>
            </w:r>
          </w:p>
        </w:tc>
        <w:tc>
          <w:tcPr>
            <w:tcW w:w="1060" w:type="dxa"/>
            <w:vAlign w:val="bottom"/>
            <w:gridSpan w:val="2"/>
          </w:tcPr>
          <w:p>
            <w:pPr>
              <w:spacing w:after="0"/>
              <w:rPr>
                <w:sz w:val="20"/>
                <w:szCs w:val="20"/>
                <w:color w:val="auto"/>
              </w:rPr>
            </w:pPr>
            <w:r>
              <w:rPr>
                <w:rFonts w:ascii="Arial" w:cs="Arial" w:eastAsia="Arial" w:hAnsi="Arial"/>
                <w:sz w:val="18"/>
                <w:szCs w:val="18"/>
                <w:color w:val="auto"/>
              </w:rPr>
              <w:t>$ [Reserved]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w w:val="95"/>
              </w:rPr>
              <w:t>35,000,000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[Reserved]</w:t>
            </w:r>
          </w:p>
        </w:tc>
        <w:tc>
          <w:tcPr>
            <w:tcW w:w="1060" w:type="dxa"/>
            <w:vAlign w:val="bottom"/>
            <w:gridSpan w:val="2"/>
          </w:tcPr>
          <w:p>
            <w:pPr>
              <w:spacing w:after="0"/>
              <w:rPr>
                <w:sz w:val="20"/>
                <w:szCs w:val="20"/>
                <w:color w:val="auto"/>
              </w:rPr>
            </w:pPr>
            <w:r>
              <w:rPr>
                <w:rFonts w:ascii="Arial" w:cs="Arial" w:eastAsia="Arial" w:hAnsi="Arial"/>
                <w:sz w:val="18"/>
                <w:szCs w:val="18"/>
                <w:color w:val="auto"/>
              </w:rPr>
              <w:t>$ [Reserved]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ind w:left="260"/>
              <w:spacing w:after="0"/>
              <w:rPr>
                <w:sz w:val="20"/>
                <w:szCs w:val="20"/>
                <w:color w:val="auto"/>
              </w:rPr>
            </w:pPr>
            <w:r>
              <w:rPr>
                <w:rFonts w:ascii="Arial" w:cs="Arial" w:eastAsia="Arial" w:hAnsi="Arial"/>
                <w:sz w:val="18"/>
                <w:szCs w:val="18"/>
                <w:color w:val="auto"/>
              </w:rPr>
              <w:t>[Reserved]</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53"/>
        </w:trPr>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Secures $135 Million Debt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Strengthens Balance Sheet and Enables Agrify to Continue to Accelerate Growth</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BILLERICA, Mass., March 14, 2022 (GLOBE NEWSWIRE) -- Agrify Corporation (Nasdaq:AGFY) (“Agrify” or the “Company”), the most innovative provider of premium cultivation and extraction solutions for the cannabis and hemp industry, today announced that it has entered into a debt financing agreement for up to $135 million in a Senior Secured Note facility (the “Note”) with an institutional lender (the “Lender”). The proceeds will be used for working capital and general corporate purposes.</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An initial funding of $65 million under the Note will be immediately available to the Company at an initial closing, with the option for the Company to draw down the remaining $70 million available in two subsequent fundings of $35 million each, subject to the satisfaction of certain funding conditions.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continue to see tremendous interest and enthusiasm around the Agrify Total Turn-Key (TTK) Solution program, which is the key driver behind us having over $500 million in carefully vetted sales opportunities in our total qualified pipeline,” said Raymond Chang, Chairman and CEO of Agrify. “This debt facility further validates our TTK program and offers us the immediate balance sheet leverage to fund our continued growth. As we establish additional TTK partnerships, we believe our high-margin recurring production and SaaS revenue streams will provide us with increased financial leverage, allowing us to create more meaningful, long-term value for our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A.G.P./Alliance Global Partners is acting as sole placement agent for the financing, and Burns &amp; Levinson LLP is acting as the Company’s legal counsel.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 will mature on March 1, 2026 (the “Maturity Date”) and will contain a 6.75% annualized coupon to be paid quarterly, in cash,</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beginning February 1, 2023. Following the one-year anniversary of the Note’s issuance, the Company may, in lieu of paying interest in cash, pay such interest in kind, in which case interest on the Note will be calculated at the rate of 8.75% per annum and will be added to the principal amount of the Note. In addition, the Company will be required to make amortization payments equal to 4.0% of the original principal amount of the Note on the first day of each calendar month starting on February 1, 2023 and extending through the maturity date.</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the time of the initial funding, the Company will issue warrants to the Lender with a term of 5.5 years, exercisable for a number of shares equal to 65% of the funding amount divided by the closing stock price on the trading day prior to the date of the definitive agreement. The initial warrants will have an exercise price equal to $6.75, which is 110% of the closing stock price on the trading day immediately prior to the signing of the definitive agreement. For each subsequent funding, the Company will similarly issue warrants to the Lender with a term of 5.5 years, exercisable for a number of shares equal to 65% of the funding amount divided by the closing stock price on the trading day prior to such subsequent funding. Each warrant issued in a subsequent funding will have an exercise price equal to 110% of the closing stock price of the Company’s stock on the day prior to the date of such funding.</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any time following the one-year anniversary of the Note’s issuance, the Company may prepay all of the Note by redemption at a price equal to 106.75% of the then-outstanding principal amount under the Note plus accrued but unpaid interest. The Lender will also have the option of requiring the Company to redeem the Note if the Company undergoes a fundamental change at a price equal to 107% of the then-outstanding principal amount under the Note plus any accrued interest thereon.</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Note will impose certain customary affirmative and negative covenants upon the Company. Further, if an event of default under the Note occurs, the Lender will be able to elect to redeem the Note for cash equal to 115% of the then-outstanding principal amount of the Note (or such lesser principal amount accelerated by the Lender) plus accrued and unpaid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ind w:right="80"/>
        <w:spacing w:after="0" w:line="277" w:lineRule="auto"/>
        <w:rPr>
          <w:sz w:val="20"/>
          <w:szCs w:val="20"/>
          <w:color w:val="auto"/>
        </w:rPr>
      </w:pPr>
      <w:r>
        <w:rPr>
          <w:rFonts w:ascii="Arial" w:cs="Arial" w:eastAsia="Arial" w:hAnsi="Arial"/>
          <w:sz w:val="18"/>
          <w:szCs w:val="18"/>
          <w:color w:val="auto"/>
        </w:rPr>
        <w:t>Until the date the Note is fully repaid, the Lender will, subject to certain exceptions, have the right to participate up to 30% of any debt, preferred stock, or equity-linked financing of the Company or its subsidiaries.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securities to be issued to the Lender will not be registered under the Securities Act of 1933, as amended, or state securities laws and may not be offered or sold in the United States absent registration with the SEC or an applicable exemption from such registration requirements. The definitive agreement requires the Company to file resale registration statements with respect to the shares underlying the warrants as soon as practicable and in any event within 45 days following the initial closing and any subsequent closing.</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warrants will include a limitation such that the Lender’s beneficial ownership will not exceed 4.99% of the Company’s shares outstanding at the time of exercise (which percentage may be decreased or increased by the Lender subject to the terms of the warrants, but may not exceed 9.99%).</w:t>
      </w:r>
    </w:p>
    <w:p>
      <w:pPr>
        <w:spacing w:after="0" w:line="14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press release does not constitute an offer to sell or the solicitation of an offer to buy any securities in the offering. There shall not be any sale of the securities described herein in any state or jurisdiction in which such offering, sale, or solicitation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TTK Solution</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Agrify TTK Solution is a first-of-its-kind program in which Agrify partners with qualified cannabis and hemp cultivators in the early phases of their business plans and provides critical support over a 10-year period, which includes: access to capital, design and buildout of their cultivation and extraction facilities, state-of-the-art cultivation and extraction equipment, process design, training, implementation, data analytics, and consumer branding.</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To date, the Company has contractual commitments for over 3,000 Vertical Farming Units that will be powered by the Agrify Insights SaaS cultivation software as well as the value-added services mentioned above. Cumulatively, all of the 10-year agreements under Agrify’s TTK Solution program are currently projected to generate an estimated $850 million in total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Agrify is the most innovative provider of premium cultivation and extraction solutions for the cannabis and hemp industry. Our proprietary micro-environment-controlled Vertical Farming Units (VFUs) enable our customers to produce the highest quality products with unmatched consistency, yield, and ROI at scale. Agrify brings data, science, and technology to its customers for unparalleled control over cultivation and extraction. For more information, please visit Agrify at http://www.agrify.com.</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the Agrify TTK Solution, the revenue expected from any Agrify TTK Solution transactions, project times, Agrify’s ability to deliver solutions and services, and the satisfaction of closing conditions and ability to close pursuant to the Note facility.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Oakes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 760-7512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Ellen Mellody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ellen@mattio.com</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
    <w:nsid w:val="60B6DF70"/>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
    <w:nsid w:val="6A5EE64"/>
    <w:multiLevelType w:val="hybridMultilevel"/>
    <w:lvl w:ilvl="0">
      <w:lvlJc w:val="left"/>
      <w:lvlText w:val="(%1)"/>
      <w:numFmt w:val="lowerLetter"/>
      <w:start w:val="3"/>
    </w:lvl>
    <w:lvl w:ilvl="1">
      <w:lvlJc w:val="left"/>
      <w:lvlText w:val="-"/>
      <w:numFmt w:val="bullet"/>
      <w:start w:val="1"/>
    </w:lvl>
  </w:abstractNum>
  <w:abstractNum w:abstractNumId="5">
    <w:nsid w:val="14330624"/>
    <w:multiLevelType w:val="hybridMultilevel"/>
    <w:lvl w:ilvl="0">
      <w:lvlJc w:val="left"/>
      <w:lvlText w:val="(%1)"/>
      <w:numFmt w:val="lowerLetter"/>
      <w:start w:val="4"/>
    </w:lvl>
  </w:abstractNum>
  <w:abstractNum w:abstractNumId="6">
    <w:nsid w:val="7FFFCA11"/>
    <w:multiLevelType w:val="hybridMultilevel"/>
    <w:lvl w:ilvl="0">
      <w:lvlJc w:val="left"/>
      <w:lvlText w:val="(%1)"/>
      <w:numFmt w:val="lowerLetter"/>
      <w:start w:val="5"/>
    </w:lvl>
    <w:lvl w:ilvl="1">
      <w:lvlJc w:val="left"/>
      <w:lvlText w:val="-"/>
      <w:numFmt w:val="bullet"/>
      <w:start w:val="1"/>
    </w:lvl>
  </w:abstractNum>
  <w:abstractNum w:abstractNumId="7">
    <w:nsid w:val="1A27709E"/>
    <w:multiLevelType w:val="hybridMultilevel"/>
    <w:lvl w:ilvl="0">
      <w:lvlJc w:val="left"/>
      <w:lvlText w:val="(%1)"/>
      <w:numFmt w:val="lowerLetter"/>
      <w:start w:val="7"/>
    </w:lvl>
    <w:lvl w:ilvl="1">
      <w:lvlJc w:val="left"/>
      <w:lvlText w:val="-"/>
      <w:numFmt w:val="bullet"/>
      <w:start w:val="1"/>
    </w:lvl>
  </w:abstractNum>
  <w:abstractNum w:abstractNumId="8">
    <w:nsid w:val="71EA1109"/>
    <w:multiLevelType w:val="hybridMultilevel"/>
    <w:lvl w:ilvl="0">
      <w:lvlJc w:val="left"/>
      <w:lvlText w:val="(%1)"/>
      <w:numFmt w:val="lowerLetter"/>
      <w:start w:val="8"/>
    </w:lvl>
    <w:lvl w:ilvl="1">
      <w:lvlJc w:val="left"/>
      <w:lvlText w:val="-"/>
      <w:numFmt w:val="bullet"/>
      <w:start w:val="1"/>
    </w:lvl>
  </w:abstractNum>
  <w:abstractNum w:abstractNumId="9">
    <w:nsid w:val="100F59DC"/>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0">
    <w:nsid w:val="7FB7E0AA"/>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1">
    <w:nsid w:val="6EB5BD4"/>
    <w:multiLevelType w:val="hybridMultilevel"/>
    <w:lvl w:ilvl="0">
      <w:lvlJc w:val="left"/>
      <w:lvlText w:val="%1."/>
      <w:numFmt w:val="decimal"/>
      <w:start w:val="5"/>
    </w:lvl>
    <w:lvl w:ilvl="1">
      <w:lvlJc w:val="left"/>
      <w:lvlText w:val="-"/>
      <w:numFmt w:val="bullet"/>
      <w:start w:val="1"/>
    </w:lvl>
  </w:abstractNum>
  <w:abstractNum w:abstractNumId="12">
    <w:nsid w:val="6F6DD9A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3">
    <w:nsid w:val="94211F2"/>
    <w:multiLevelType w:val="hybridMultilevel"/>
    <w:lvl w:ilvl="0">
      <w:lvlJc w:val="left"/>
      <w:lvlText w:val="%1."/>
      <w:numFmt w:val="decimal"/>
      <w:start w:val="8"/>
    </w:lvl>
  </w:abstractNum>
  <w:abstractNum w:abstractNumId="14">
    <w:nsid w:val="885E1B"/>
    <w:multiLevelType w:val="hybridMultilevel"/>
    <w:lvl w:ilvl="0">
      <w:lvlJc w:val="left"/>
      <w:lvlText w:val="(%1)"/>
      <w:numFmt w:val="lowerRoman"/>
      <w:start w:val="2"/>
    </w:lvl>
  </w:abstractNum>
  <w:abstractNum w:abstractNumId="15">
    <w:nsid w:val="76272110"/>
    <w:multiLevelType w:val="hybridMultilevel"/>
    <w:lvl w:ilvl="0">
      <w:lvlJc w:val="left"/>
      <w:lvlText w:val="%1."/>
      <w:numFmt w:val="decimal"/>
      <w:start w:val="9"/>
    </w:lvl>
    <w:lvl w:ilvl="1">
      <w:lvlJc w:val="left"/>
      <w:lvlText w:val="-"/>
      <w:numFmt w:val="bullet"/>
      <w:start w:val="1"/>
    </w:lvl>
  </w:abstractNum>
  <w:abstractNum w:abstractNumId="16">
    <w:nsid w:val="4C04A8AF"/>
    <w:multiLevelType w:val="hybridMultilevel"/>
    <w:lvl w:ilvl="0">
      <w:lvlJc w:val="left"/>
      <w:lvlText w:val="%1."/>
      <w:numFmt w:val="decimal"/>
      <w:start w:val="11"/>
    </w:lvl>
    <w:lvl w:ilvl="1">
      <w:lvlJc w:val="left"/>
      <w:lvlText w:val="(%2)"/>
      <w:numFmt w:val="lowerLetter"/>
      <w:start w:val="1"/>
    </w:lvl>
  </w:abstractNum>
  <w:abstractNum w:abstractNumId="17">
    <w:nsid w:val="1716703B"/>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8">
    <w:nsid w:val="14E17E33"/>
    <w:multiLevelType w:val="hybridMultilevel"/>
    <w:lvl w:ilvl="0">
      <w:lvlJc w:val="left"/>
      <w:lvlText w:val="(%1)"/>
      <w:numFmt w:val="lowerLetter"/>
      <w:start w:val="4"/>
    </w:lvl>
    <w:lvl w:ilvl="1">
      <w:lvlJc w:val="left"/>
      <w:lvlText w:val="-"/>
      <w:numFmt w:val="bullet"/>
      <w:start w:val="1"/>
    </w:lvl>
  </w:abstractNum>
  <w:abstractNum w:abstractNumId="19">
    <w:nsid w:val="3222E7CD"/>
    <w:multiLevelType w:val="hybridMultilevel"/>
    <w:lvl w:ilvl="0">
      <w:lvlJc w:val="left"/>
      <w:lvlText w:val="%1."/>
      <w:numFmt w:val="decimal"/>
      <w:start w:val="15"/>
    </w:lvl>
    <w:lvl w:ilvl="1">
      <w:lvlJc w:val="left"/>
      <w:lvlText w:val="-"/>
      <w:numFmt w:val="bullet"/>
      <w:start w:val="1"/>
    </w:lvl>
  </w:abstractNum>
  <w:abstractNum w:abstractNumId="20">
    <w:nsid w:val="74DE0EE3"/>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21">
    <w:nsid w:val="68EBC550"/>
    <w:multiLevelType w:val="hybridMultilevel"/>
    <w:lvl w:ilvl="0">
      <w:lvlJc w:val="left"/>
      <w:lvlText w:val="(%1)"/>
      <w:numFmt w:val="lowerLetter"/>
      <w:start w:val="7"/>
    </w:lvl>
    <w:lvl w:ilvl="1">
      <w:lvlJc w:val="left"/>
      <w:lvlText w:val="-"/>
      <w:numFmt w:val="bullet"/>
      <w:start w:val="1"/>
    </w:lvl>
  </w:abstractNum>
  <w:abstractNum w:abstractNumId="22">
    <w:nsid w:val="2DF6D648"/>
    <w:multiLevelType w:val="hybridMultilevel"/>
    <w:lvl w:ilvl="0">
      <w:lvlJc w:val="left"/>
      <w:lvlText w:val="(%1)"/>
      <w:numFmt w:val="lowerLetter"/>
      <w:start w:val="12"/>
    </w:lvl>
    <w:lvl w:ilvl="1">
      <w:lvlJc w:val="left"/>
      <w:lvlText w:val="-"/>
      <w:numFmt w:val="bullet"/>
      <w:start w:val="1"/>
    </w:lvl>
  </w:abstractNum>
  <w:abstractNum w:abstractNumId="23">
    <w:nsid w:val="46B7D447"/>
    <w:multiLevelType w:val="hybridMultilevel"/>
    <w:lvl w:ilvl="0">
      <w:lvlJc w:val="left"/>
      <w:lvlText w:val="(%1)"/>
      <w:numFmt w:val="lowerLetter"/>
      <w:start w:val="15"/>
    </w:lvl>
  </w:abstractNum>
  <w:abstractNum w:abstractNumId="24">
    <w:nsid w:val="4A2AC315"/>
    <w:multiLevelType w:val="hybridMultilevel"/>
    <w:lvl w:ilvl="0">
      <w:lvlJc w:val="left"/>
      <w:lvlText w:val="(%1)"/>
      <w:numFmt w:val="lowerLetter"/>
      <w:start w:val="17"/>
    </w:lvl>
    <w:lvl w:ilvl="1">
      <w:lvlJc w:val="left"/>
      <w:lvlText w:val="-"/>
      <w:numFmt w:val="bullet"/>
      <w:start w:val="1"/>
    </w:lvl>
  </w:abstractNum>
  <w:abstractNum w:abstractNumId="25">
    <w:nsid w:val="39EE015C"/>
    <w:multiLevelType w:val="hybridMultilevel"/>
    <w:lvl w:ilvl="0">
      <w:lvlJc w:val="left"/>
      <w:lvlText w:val="(%1)"/>
      <w:numFmt w:val="lowerLetter"/>
      <w:start w:val="26"/>
    </w:lvl>
  </w:abstractNum>
  <w:abstractNum w:abstractNumId="26">
    <w:nsid w:val="57FC4FBB"/>
    <w:multiLevelType w:val="hybridMultilevel"/>
    <w:lvl w:ilvl="0">
      <w:lvlJc w:val="left"/>
      <w:lvlText w:val="(%1)"/>
      <w:numFmt w:val="lowerLetter"/>
      <w:start w:val="27"/>
    </w:lvl>
  </w:abstractNum>
  <w:abstractNum w:abstractNumId="27">
    <w:nsid w:val="CC1016F"/>
    <w:multiLevelType w:val="hybridMultilevel"/>
    <w:lvl w:ilvl="0">
      <w:lvlJc w:val="left"/>
      <w:lvlText w:val="%1."/>
      <w:numFmt w:val="decimal"/>
      <w:start w:val="1"/>
    </w:lvl>
  </w:abstractNum>
  <w:abstractNum w:abstractNumId="28">
    <w:nsid w:val="43F18422"/>
    <w:multiLevelType w:val="hybridMultilevel"/>
    <w:lvl w:ilvl="0">
      <w:lvlJc w:val="left"/>
      <w:lvlText w:val="(%1)"/>
      <w:numFmt w:val="upperLetter"/>
      <w:start w:val="1"/>
    </w:lvl>
  </w:abstractNum>
  <w:abstractNum w:abstractNumId="29">
    <w:nsid w:val="60EF0119"/>
    <w:multiLevelType w:val="hybridMultilevel"/>
    <w:lvl w:ilvl="0">
      <w:lvlJc w:val="left"/>
      <w:lvlText w:val="(%1)"/>
      <w:numFmt w:val="upperLetter"/>
      <w:start w:val="1"/>
    </w:lvl>
  </w:abstractNum>
  <w:abstractNum w:abstractNumId="30">
    <w:nsid w:val="26F324BA"/>
    <w:multiLevelType w:val="hybridMultilevel"/>
    <w:lvl w:ilvl="0">
      <w:lvlJc w:val="left"/>
      <w:lvlText w:val="(%1)"/>
      <w:numFmt w:val="upperLetter"/>
      <w:start w:val="1"/>
    </w:lvl>
  </w:abstractNum>
  <w:abstractNum w:abstractNumId="31">
    <w:nsid w:val="7F01579B"/>
    <w:multiLevelType w:val="hybridMultilevel"/>
    <w:lvl w:ilvl="0">
      <w:lvlJc w:val="left"/>
      <w:lvlText w:val="(%1)"/>
      <w:numFmt w:val="upperLetter"/>
      <w:start w:val="1"/>
    </w:lvl>
  </w:abstractNum>
  <w:abstractNum w:abstractNumId="32">
    <w:nsid w:val="49DA307D"/>
    <w:multiLevelType w:val="hybridMultilevel"/>
    <w:lvl w:ilvl="0">
      <w:lvlJc w:val="left"/>
      <w:lvlText w:val="(%1)"/>
      <w:numFmt w:val="lowerRoman"/>
      <w:start w:val="10"/>
    </w:lvl>
  </w:abstractNum>
  <w:abstractNum w:abstractNumId="33">
    <w:nsid w:val="7055A5F5"/>
    <w:multiLevelType w:val="hybridMultilevel"/>
    <w:lvl w:ilvl="0">
      <w:lvlJc w:val="left"/>
      <w:lvlText w:val="(%1)"/>
      <w:numFmt w:val="upperLetter"/>
      <w:start w:val="9"/>
    </w:lvl>
  </w:abstractNum>
  <w:abstractNum w:abstractNumId="34">
    <w:nsid w:val="5FB8370B"/>
    <w:multiLevelType w:val="hybridMultilevel"/>
    <w:lvl w:ilvl="0">
      <w:lvlJc w:val="left"/>
      <w:lvlText w:val="(%1)"/>
      <w:numFmt w:val="lowerRoman"/>
      <w:start w:val="8"/>
    </w:lvl>
  </w:abstractNum>
  <w:abstractNum w:abstractNumId="35">
    <w:nsid w:val="50801EE1"/>
    <w:multiLevelType w:val="hybridMultilevel"/>
    <w:lvl w:ilvl="0">
      <w:lvlJc w:val="left"/>
      <w:lvlText w:val="(%1)"/>
      <w:numFmt w:val="upperLetter"/>
      <w:start w:val="1"/>
    </w:lvl>
    <w:lvl w:ilvl="1">
      <w:lvlJc w:val="left"/>
      <w:lvlText w:val="(%2)"/>
      <w:numFmt w:val="lowerRoman"/>
      <w:start w:val="1"/>
    </w:lvl>
  </w:abstractNum>
  <w:abstractNum w:abstractNumId="36">
    <w:nsid w:val="488AC1A"/>
    <w:multiLevelType w:val="hybridMultilevel"/>
    <w:lvl w:ilvl="0">
      <w:lvlJc w:val="left"/>
      <w:lvlText w:val="(%1)"/>
      <w:numFmt w:val="upperLetter"/>
      <w:start w:val="1"/>
    </w:lvl>
  </w:abstractNum>
  <w:abstractNum w:abstractNumId="37">
    <w:nsid w:val="5FB8011C"/>
    <w:multiLevelType w:val="hybridMultilevel"/>
    <w:lvl w:ilvl="0">
      <w:lvlJc w:val="left"/>
      <w:lvlText w:val="(%1)"/>
      <w:numFmt w:val="upperLetter"/>
      <w:start w:val="1"/>
    </w:lvl>
  </w:abstractNum>
  <w:abstractNum w:abstractNumId="38">
    <w:nsid w:val="6AA78F7F"/>
    <w:multiLevelType w:val="hybridMultilevel"/>
    <w:lvl w:ilvl="0">
      <w:lvlJc w:val="left"/>
      <w:lvlText w:val="(%1)"/>
      <w:numFmt w:val="upperLetter"/>
      <w:start w:val="4"/>
    </w:lvl>
  </w:abstractNum>
  <w:abstractNum w:abstractNumId="39">
    <w:nsid w:val="7672BD23"/>
    <w:multiLevelType w:val="hybridMultilevel"/>
    <w:lvl w:ilvl="0">
      <w:lvlJc w:val="left"/>
      <w:lvlText w:val="(%1)"/>
      <w:numFmt w:val="upperLetter"/>
      <w:start w:val="1"/>
    </w:lvl>
  </w:abstractNum>
  <w:abstractNum w:abstractNumId="40">
    <w:nsid w:val="6FC75AF8"/>
    <w:multiLevelType w:val="hybridMultilevel"/>
    <w:lvl w:ilvl="0">
      <w:lvlJc w:val="left"/>
      <w:lvlText w:val="(%1)"/>
      <w:numFmt w:val="upperLetter"/>
      <w:start w:val="1"/>
    </w:lvl>
    <w:lvl w:ilvl="1">
      <w:lvlJc w:val="left"/>
      <w:lvlText w:val="(%2)"/>
      <w:numFmt w:val="lowerRoman"/>
      <w:start w:val="1"/>
    </w:lvl>
  </w:abstractNum>
  <w:abstractNum w:abstractNumId="41">
    <w:nsid w:val="6A5F7029"/>
    <w:multiLevelType w:val="hybridMultilevel"/>
    <w:lvl w:ilvl="0">
      <w:lvlJc w:val="left"/>
      <w:lvlText w:val="%1"/>
      <w:numFmt w:val="decimal"/>
      <w:start w:val="1"/>
    </w:lvl>
    <w:lvl w:ilvl="1">
      <w:lvlJc w:val="left"/>
      <w:lvlText w:val="(%2)"/>
      <w:numFmt w:val="upperLetter"/>
      <w:start w:val="3"/>
    </w:lvl>
  </w:abstractNum>
  <w:abstractNum w:abstractNumId="42">
    <w:nsid w:val="7D5E18F8"/>
    <w:multiLevelType w:val="hybridMultilevel"/>
    <w:lvl w:ilvl="0">
      <w:lvlJc w:val="left"/>
      <w:lvlText w:val="(%1)"/>
      <w:numFmt w:val="decimal"/>
      <w:start w:val="181"/>
    </w:lvl>
    <w:lvl w:ilvl="1">
      <w:lvlJc w:val="left"/>
      <w:lvlText w:val="(%2)"/>
      <w:numFmt w:val="upperLetter"/>
      <w:start w:val="5"/>
    </w:lvl>
  </w:abstractNum>
  <w:abstractNum w:abstractNumId="43">
    <w:nsid w:val="5F3534A4"/>
    <w:multiLevelType w:val="hybridMultilevel"/>
    <w:lvl w:ilvl="0">
      <w:lvlJc w:val="left"/>
      <w:lvlText w:val="(%1)"/>
      <w:numFmt w:val="upperLetter"/>
      <w:start w:val="8"/>
    </w:lvl>
    <w:lvl w:ilvl="1">
      <w:lvlJc w:val="left"/>
      <w:lvlText w:val="(%2)"/>
      <w:numFmt w:val="lowerRoman"/>
      <w:start w:val="1"/>
    </w:lvl>
  </w:abstractNum>
  <w:abstractNum w:abstractNumId="44">
    <w:nsid w:val="73A1821B"/>
    <w:multiLevelType w:val="hybridMultilevel"/>
    <w:lvl w:ilvl="0">
      <w:lvlJc w:val="left"/>
      <w:lvlText w:val="(%1)"/>
      <w:numFmt w:val="upperLetter"/>
      <w:start w:val="16"/>
    </w:lvl>
  </w:abstractNum>
  <w:abstractNum w:abstractNumId="45">
    <w:nsid w:val="7DE67713"/>
    <w:multiLevelType w:val="hybridMultilevel"/>
    <w:lvl w:ilvl="0">
      <w:lvlJc w:val="left"/>
      <w:lvlText w:val="(%1)"/>
      <w:numFmt w:val="upperLetter"/>
      <w:start w:val="21"/>
    </w:lvl>
  </w:abstractNum>
  <w:abstractNum w:abstractNumId="46">
    <w:nsid w:val="555C55B5"/>
    <w:multiLevelType w:val="hybridMultilevel"/>
    <w:lvl w:ilvl="0">
      <w:lvlJc w:val="left"/>
      <w:lvlText w:val="(%1)"/>
      <w:numFmt w:val="upperLetter"/>
      <w:start w:val="1"/>
    </w:lvl>
  </w:abstractNum>
  <w:abstractNum w:abstractNumId="47">
    <w:nsid w:val="3FA62ACA"/>
    <w:multiLevelType w:val="hybridMultilevel"/>
    <w:lvl w:ilvl="0">
      <w:lvlJc w:val="left"/>
      <w:lvlText w:val="(%1)"/>
      <w:numFmt w:val="upperLetter"/>
      <w:start w:val="1"/>
    </w:lvl>
    <w:lvl w:ilvl="1">
      <w:lvlJc w:val="left"/>
      <w:lvlText w:val="(%2)"/>
      <w:numFmt w:val="lowerRoman"/>
      <w:start w:val="1"/>
    </w:lvl>
  </w:abstractNum>
  <w:abstractNum w:abstractNumId="48">
    <w:nsid w:val="14FCE74E"/>
    <w:multiLevelType w:val="hybridMultilevel"/>
    <w:lvl w:ilvl="0">
      <w:lvlJc w:val="left"/>
      <w:lvlText w:val="(%1)"/>
      <w:numFmt w:val="lowerRoman"/>
      <w:start w:val="3"/>
    </w:lvl>
  </w:abstractNum>
  <w:abstractNum w:abstractNumId="49">
    <w:nsid w:val="6A3DD3E8"/>
    <w:multiLevelType w:val="hybridMultilevel"/>
    <w:lvl w:ilvl="0">
      <w:lvlJc w:val="left"/>
      <w:lvlText w:val="(%1)"/>
      <w:numFmt w:val="lowerRoman"/>
      <w:start w:val="14"/>
    </w:lvl>
    <w:lvl w:ilvl="1">
      <w:lvlJc w:val="left"/>
      <w:lvlText w:val="(%2)"/>
      <w:numFmt w:val="decimal"/>
      <w:start w:val="1"/>
    </w:lvl>
  </w:abstractNum>
  <w:abstractNum w:abstractNumId="50">
    <w:nsid w:val="71C91298"/>
    <w:multiLevelType w:val="hybridMultilevel"/>
    <w:lvl w:ilvl="0">
      <w:lvlJc w:val="left"/>
      <w:lvlText w:val="%1"/>
      <w:numFmt w:val="upperLetter"/>
      <w:start w:val="1"/>
    </w:lvl>
    <w:lvl w:ilvl="1">
      <w:lvlJc w:val="left"/>
      <w:lvlText w:val="(%2)"/>
      <w:numFmt w:val="lowerRoman"/>
      <w:start w:val="18"/>
    </w:lvl>
  </w:abstractNum>
  <w:abstractNum w:abstractNumId="51">
    <w:nsid w:val="9DAF632"/>
    <w:multiLevelType w:val="hybridMultilevel"/>
    <w:lvl w:ilvl="0">
      <w:lvlJc w:val="left"/>
      <w:lvlText w:val="(%1)"/>
      <w:numFmt w:val="upperLetter"/>
      <w:start w:val="2"/>
    </w:lvl>
    <w:lvl w:ilvl="1">
      <w:lvlJc w:val="left"/>
      <w:lvlText w:val="(%2)"/>
      <w:numFmt w:val="lowerRoman"/>
      <w:start w:val="1"/>
    </w:lvl>
  </w:abstractNum>
  <w:abstractNum w:abstractNumId="52">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3">
    <w:nsid w:val="1FBFE8E0"/>
    <w:multiLevelType w:val="hybridMultilevel"/>
    <w:lvl w:ilvl="0">
      <w:lvlJc w:val="left"/>
      <w:lvlText w:val="(%1)"/>
      <w:numFmt w:val="lowerRoman"/>
      <w:start w:val="2"/>
    </w:lvl>
  </w:abstractNum>
  <w:abstractNum w:abstractNumId="54">
    <w:nsid w:val="5092CA79"/>
    <w:multiLevelType w:val="hybridMultilevel"/>
    <w:lvl w:ilvl="0">
      <w:lvlJc w:val="left"/>
      <w:lvlText w:val="(%1)"/>
      <w:numFmt w:val="lowerRoman"/>
      <w:start w:val="3"/>
    </w:lvl>
    <w:lvl w:ilvl="1">
      <w:lvlJc w:val="left"/>
      <w:lvlText w:val="(%2)"/>
      <w:numFmt w:val="upperLetter"/>
      <w:start w:val="1"/>
    </w:lvl>
  </w:abstractNum>
  <w:abstractNum w:abstractNumId="55">
    <w:nsid w:val="1D545C4D"/>
    <w:multiLevelType w:val="hybridMultilevel"/>
    <w:lvl w:ilvl="0">
      <w:lvlJc w:val="left"/>
      <w:lvlText w:val="(%1)"/>
      <w:numFmt w:val="lowerRoman"/>
      <w:start w:val="6"/>
    </w:lvl>
    <w:lvl w:ilvl="1">
      <w:lvlJc w:val="left"/>
      <w:lvlText w:val="(%2)"/>
      <w:numFmt w:val="upperLetter"/>
      <w:start w:val="1"/>
    </w:lvl>
  </w:abstractNum>
  <w:abstractNum w:abstractNumId="56">
    <w:nsid w:val="59ADEA3D"/>
    <w:multiLevelType w:val="hybridMultilevel"/>
    <w:lvl w:ilvl="0">
      <w:lvlJc w:val="left"/>
      <w:lvlText w:val="(%1)"/>
      <w:numFmt w:val="lowerRoman"/>
      <w:start w:val="7"/>
    </w:lvl>
    <w:lvl w:ilvl="1">
      <w:lvlJc w:val="left"/>
      <w:lvlText w:val="(%2)"/>
      <w:numFmt w:val="upperLetter"/>
      <w:start w:val="1"/>
    </w:lvl>
  </w:abstractNum>
  <w:abstractNum w:abstractNumId="57">
    <w:nsid w:val="288F1A34"/>
    <w:multiLevelType w:val="hybridMultilevel"/>
    <w:lvl w:ilvl="0">
      <w:lvlJc w:val="left"/>
      <w:lvlText w:val="%1"/>
      <w:numFmt w:val="lowerRoman"/>
      <w:start w:val="1"/>
    </w:lvl>
    <w:lvl w:ilvl="1">
      <w:lvlJc w:val="left"/>
      <w:lvlText w:val="(%2)"/>
      <w:numFmt w:val="upperLetter"/>
      <w:start w:val="2"/>
    </w:lvl>
  </w:abstractNum>
  <w:abstractNum w:abstractNumId="58">
    <w:nsid w:val="2A155DBC"/>
    <w:multiLevelType w:val="hybridMultilevel"/>
    <w:lvl w:ilvl="0">
      <w:lvlJc w:val="left"/>
      <w:lvlText w:val="(%1)"/>
      <w:numFmt w:val="lowerRoman"/>
      <w:start w:val="9"/>
    </w:lvl>
    <w:lvl w:ilvl="1">
      <w:lvlJc w:val="left"/>
      <w:lvlText w:val="(%2)"/>
      <w:numFmt w:val="upperLetter"/>
      <w:start w:val="1"/>
    </w:lvl>
  </w:abstractNum>
  <w:abstractNum w:abstractNumId="59">
    <w:nsid w:val="1D9F6E5F"/>
    <w:multiLevelType w:val="hybridMultilevel"/>
    <w:lvl w:ilvl="0">
      <w:lvlJc w:val="left"/>
      <w:lvlText w:val="(%1)"/>
      <w:numFmt w:val="lowerRoman"/>
      <w:start w:val="10"/>
    </w:lvl>
    <w:lvl w:ilvl="1">
      <w:lvlJc w:val="left"/>
      <w:lvlText w:val="(%2)"/>
      <w:numFmt w:val="upperLetter"/>
      <w:start w:val="1"/>
    </w:lvl>
  </w:abstractNum>
  <w:abstractNum w:abstractNumId="60">
    <w:nsid w:val="97E1B4E"/>
    <w:multiLevelType w:val="hybridMultilevel"/>
    <w:lvl w:ilvl="0">
      <w:lvlJc w:val="left"/>
      <w:lvlText w:val="(%1)"/>
      <w:numFmt w:val="upperLetter"/>
      <w:start w:val="3"/>
    </w:lvl>
  </w:abstractNum>
  <w:abstractNum w:abstractNumId="61">
    <w:nsid w:val="51088277"/>
    <w:multiLevelType w:val="hybridMultilevel"/>
    <w:lvl w:ilvl="0">
      <w:lvlJc w:val="left"/>
      <w:lvlText w:val="(%1)"/>
      <w:numFmt w:val="lowerRoman"/>
      <w:start w:val="11"/>
    </w:lvl>
    <w:lvl w:ilvl="1">
      <w:lvlJc w:val="left"/>
      <w:lvlText w:val="(%2)"/>
      <w:numFmt w:val="upperLetter"/>
      <w:start w:val="1"/>
    </w:lvl>
  </w:abstractNum>
  <w:abstractNum w:abstractNumId="62">
    <w:nsid w:val="1CA0C5FA"/>
    <w:multiLevelType w:val="hybridMultilevel"/>
    <w:lvl w:ilvl="0">
      <w:lvlJc w:val="left"/>
      <w:lvlText w:val="%1"/>
      <w:numFmt w:val="decimal"/>
      <w:start w:val="1"/>
    </w:lvl>
    <w:lvl w:ilvl="1">
      <w:lvlJc w:val="left"/>
      <w:lvlText w:val="(%2)"/>
      <w:numFmt w:val="lowerLetter"/>
      <w:start w:val="2"/>
    </w:lvl>
  </w:abstractNum>
  <w:abstractNum w:abstractNumId="63">
    <w:nsid w:val="53584BCB"/>
    <w:multiLevelType w:val="hybridMultilevel"/>
    <w:lvl w:ilvl="0">
      <w:lvlJc w:val="left"/>
      <w:lvlText w:val="%1."/>
      <w:numFmt w:val="decimal"/>
      <w:start w:val="2"/>
    </w:lvl>
    <w:lvl w:ilvl="1">
      <w:lvlJc w:val="left"/>
      <w:lvlText w:val="%2"/>
      <w:numFmt w:val="lowerLetter"/>
      <w:start w:val="1"/>
    </w:lvl>
  </w:abstractNum>
  <w:abstractNum w:abstractNumId="64">
    <w:nsid w:val="415E286C"/>
    <w:multiLevelType w:val="hybridMultilevel"/>
    <w:lvl w:ilvl="0">
      <w:lvlJc w:val="left"/>
      <w:lvlText w:val="(%1)"/>
      <w:numFmt w:val="lowerLetter"/>
      <w:start w:val="1"/>
    </w:lvl>
  </w:abstractNum>
  <w:abstractNum w:abstractNumId="65">
    <w:nsid w:val="7C58FD05"/>
    <w:multiLevelType w:val="hybridMultilevel"/>
    <w:lvl w:ilvl="0">
      <w:lvlJc w:val="left"/>
      <w:lvlText w:val="%1"/>
      <w:numFmt w:val="lowerLetter"/>
      <w:start w:val="1"/>
    </w:lvl>
    <w:lvl w:ilvl="1">
      <w:lvlJc w:val="left"/>
      <w:lvlText w:val="(%2)"/>
      <w:numFmt w:val="lowerLetter"/>
      <w:start w:val="5"/>
    </w:lvl>
  </w:abstractNum>
  <w:abstractNum w:abstractNumId="66">
    <w:nsid w:val="23D86AAC"/>
    <w:multiLevelType w:val="hybridMultilevel"/>
    <w:lvl w:ilvl="0">
      <w:lvlJc w:val="left"/>
      <w:lvlText w:val="(%1)"/>
      <w:numFmt w:val="lowerLetter"/>
      <w:start w:val="9"/>
    </w:lvl>
    <w:lvl w:ilvl="1">
      <w:lvlJc w:val="left"/>
      <w:lvlText w:val="(%2)"/>
      <w:numFmt w:val="lowerLetter"/>
      <w:start w:val="6"/>
    </w:lvl>
  </w:abstractNum>
  <w:abstractNum w:abstractNumId="67">
    <w:nsid w:val="45E6D486"/>
    <w:multiLevelType w:val="hybridMultilevel"/>
    <w:lvl w:ilvl="0">
      <w:lvlJc w:val="left"/>
      <w:lvlText w:val="%1"/>
      <w:numFmt w:val="upperLetter"/>
      <w:start w:val="1"/>
    </w:lvl>
    <w:lvl w:ilvl="1">
      <w:lvlJc w:val="left"/>
      <w:lvlText w:val="(%2)"/>
      <w:numFmt w:val="lowerLetter"/>
      <w:start w:val="7"/>
    </w:lvl>
  </w:abstractNum>
  <w:abstractNum w:abstractNumId="68">
    <w:nsid w:val="5C10FE21"/>
    <w:multiLevelType w:val="hybridMultilevel"/>
    <w:lvl w:ilvl="0">
      <w:lvlJc w:val="left"/>
      <w:lvlText w:val="(%1)"/>
      <w:numFmt w:val="upperLetter"/>
      <w:start w:val="2"/>
    </w:lvl>
    <w:lvl w:ilvl="1">
      <w:lvlJc w:val="left"/>
      <w:lvlText w:val="(%2)"/>
      <w:numFmt w:val="lowerLetter"/>
      <w:start w:val="8"/>
    </w:lvl>
  </w:abstractNum>
  <w:abstractNum w:abstractNumId="69">
    <w:nsid w:val="E7FFA2B"/>
    <w:multiLevelType w:val="hybridMultilevel"/>
    <w:lvl w:ilvl="0">
      <w:lvlJc w:val="left"/>
      <w:lvlText w:val="%1"/>
      <w:numFmt w:val="decimal"/>
      <w:start w:val="1"/>
    </w:lvl>
    <w:lvl w:ilvl="1">
      <w:lvlJc w:val="left"/>
      <w:lvlText w:val="(%2)"/>
      <w:numFmt w:val="lowerLetter"/>
      <w:start w:val="10"/>
    </w:lvl>
  </w:abstractNum>
  <w:abstractNum w:abstractNumId="70">
    <w:nsid w:val="3C5991AA"/>
    <w:multiLevelType w:val="hybridMultilevel"/>
    <w:lvl w:ilvl="0">
      <w:lvlJc w:val="left"/>
      <w:lvlText w:val="%1."/>
      <w:numFmt w:val="decimal"/>
      <w:start w:val="3"/>
    </w:lvl>
    <w:lvl w:ilvl="1">
      <w:lvlJc w:val="left"/>
      <w:lvlText w:val="%2"/>
      <w:numFmt w:val="lowerLetter"/>
      <w:start w:val="1"/>
    </w:lvl>
  </w:abstractNum>
  <w:abstractNum w:abstractNumId="71">
    <w:nsid w:val="4BD8591A"/>
    <w:multiLevelType w:val="hybridMultilevel"/>
    <w:lvl w:ilvl="0">
      <w:lvlJc w:val="left"/>
      <w:lvlText w:val="(%1)"/>
      <w:numFmt w:val="lowerLetter"/>
      <w:start w:val="1"/>
    </w:lvl>
  </w:abstractNum>
  <w:abstractNum w:abstractNumId="72">
    <w:nsid w:val="78DF6A55"/>
    <w:multiLevelType w:val="hybridMultilevel"/>
    <w:lvl w:ilvl="0">
      <w:lvlJc w:val="left"/>
      <w:lvlText w:val="(%1)"/>
      <w:numFmt w:val="lowerLetter"/>
      <w:start w:val="2"/>
    </w:lvl>
  </w:abstractNum>
  <w:abstractNum w:abstractNumId="73">
    <w:nsid w:val="39B7AAA2"/>
    <w:multiLevelType w:val="hybridMultilevel"/>
    <w:lvl w:ilvl="0">
      <w:lvlJc w:val="left"/>
      <w:lvlText w:val="%1"/>
      <w:numFmt w:val="lowerLetter"/>
      <w:start w:val="1"/>
    </w:lvl>
    <w:lvl w:ilvl="1">
      <w:lvlJc w:val="left"/>
      <w:lvlText w:val="(%2)"/>
      <w:numFmt w:val="lowerLetter"/>
      <w:start w:val="4"/>
    </w:lvl>
  </w:abstractNum>
  <w:abstractNum w:abstractNumId="74">
    <w:nsid w:val="2B0D8DBE"/>
    <w:multiLevelType w:val="hybridMultilevel"/>
    <w:lvl w:ilvl="0">
      <w:lvlJc w:val="left"/>
      <w:lvlText w:val="(%1)"/>
      <w:numFmt w:val="lowerLetter"/>
      <w:start w:val="61"/>
    </w:lvl>
    <w:lvl w:ilvl="1">
      <w:lvlJc w:val="left"/>
      <w:lvlText w:val="(%2)"/>
      <w:numFmt w:val="lowerLetter"/>
      <w:start w:val="5"/>
    </w:lvl>
  </w:abstractNum>
  <w:abstractNum w:abstractNumId="75">
    <w:nsid w:val="6C80EC70"/>
    <w:multiLevelType w:val="hybridMultilevel"/>
    <w:lvl w:ilvl="0">
      <w:lvlJc w:val="left"/>
      <w:lvlText w:val="%1"/>
      <w:numFmt w:val="lowerLetter"/>
      <w:start w:val="1"/>
    </w:lvl>
    <w:lvl w:ilvl="1">
      <w:lvlJc w:val="left"/>
      <w:lvlText w:val="(%2)"/>
      <w:numFmt w:val="lowerLetter"/>
      <w:start w:val="6"/>
    </w:lvl>
  </w:abstractNum>
  <w:abstractNum w:abstractNumId="76">
    <w:nsid w:val="379E21B5"/>
    <w:multiLevelType w:val="hybridMultilevel"/>
    <w:lvl w:ilvl="0">
      <w:lvlJc w:val="left"/>
      <w:lvlText w:val="(%1)"/>
      <w:numFmt w:val="lowerLetter"/>
      <w:start w:val="9"/>
    </w:lvl>
    <w:lvl w:ilvl="1">
      <w:lvlJc w:val="left"/>
      <w:lvlText w:val="%2"/>
      <w:numFmt w:val="lowerLetter"/>
      <w:start w:val="1"/>
    </w:lvl>
  </w:abstractNum>
  <w:abstractNum w:abstractNumId="77">
    <w:nsid w:val="69E373"/>
    <w:multiLevelType w:val="hybridMultilevel"/>
    <w:lvl w:ilvl="0">
      <w:lvlJc w:val="left"/>
      <w:lvlText w:val="(%1)"/>
      <w:numFmt w:val="lowerLetter"/>
      <w:start w:val="61"/>
    </w:lvl>
    <w:lvl w:ilvl="1">
      <w:lvlJc w:val="left"/>
      <w:lvlText w:val="(%2)"/>
      <w:numFmt w:val="lowerLetter"/>
      <w:start w:val="7"/>
    </w:lvl>
  </w:abstractNum>
  <w:abstractNum w:abstractNumId="78">
    <w:nsid w:val="2C27173B"/>
    <w:multiLevelType w:val="hybridMultilevel"/>
    <w:lvl w:ilvl="0">
      <w:lvlJc w:val="left"/>
      <w:lvlText w:val="(%1)"/>
      <w:numFmt w:val="lowerLetter"/>
      <w:start w:val="11"/>
    </w:lvl>
  </w:abstractNum>
  <w:abstractNum w:abstractNumId="79">
    <w:nsid w:val="4C9B0904"/>
    <w:multiLevelType w:val="hybridMultilevel"/>
    <w:lvl w:ilvl="0">
      <w:lvlJc w:val="left"/>
      <w:lvlText w:val="%1"/>
      <w:numFmt w:val="upperLetter"/>
      <w:start w:val="1"/>
    </w:lvl>
    <w:lvl w:ilvl="1">
      <w:lvlJc w:val="left"/>
      <w:lvlText w:val="(%2)"/>
      <w:numFmt w:val="lowerLetter"/>
      <w:start w:val="12"/>
    </w:lvl>
  </w:abstractNum>
  <w:abstractNum w:abstractNumId="80">
    <w:nsid w:val="6AA7B75C"/>
    <w:multiLevelType w:val="hybridMultilevel"/>
    <w:lvl w:ilvl="0">
      <w:lvlJc w:val="left"/>
      <w:lvlText w:val="(%1)"/>
      <w:numFmt w:val="upperLetter"/>
      <w:start w:val="3"/>
    </w:lvl>
    <w:lvl w:ilvl="1">
      <w:lvlJc w:val="left"/>
      <w:lvlText w:val="(%2)"/>
      <w:numFmt w:val="lowerLetter"/>
      <w:start w:val="14"/>
    </w:lvl>
  </w:abstractNum>
  <w:abstractNum w:abstractNumId="81">
    <w:nsid w:val="1DF029D3"/>
    <w:multiLevelType w:val="hybridMultilevel"/>
    <w:lvl w:ilvl="0">
      <w:lvlJc w:val="left"/>
      <w:lvlText w:val="(%1)"/>
      <w:numFmt w:val="lowerLetter"/>
      <w:start w:val="15"/>
    </w:lvl>
    <w:lvl w:ilvl="1">
      <w:lvlJc w:val="left"/>
      <w:lvlText w:val="(%2)"/>
      <w:numFmt w:val="lowerRoman"/>
      <w:start w:val="1"/>
    </w:lvl>
  </w:abstractNum>
  <w:abstractNum w:abstractNumId="82">
    <w:nsid w:val="5675FF36"/>
    <w:multiLevelType w:val="hybridMultilevel"/>
    <w:lvl w:ilvl="0">
      <w:lvlJc w:val="left"/>
      <w:lvlText w:val="%1"/>
      <w:numFmt w:val="lowerLetter"/>
      <w:start w:val="1"/>
    </w:lvl>
    <w:lvl w:ilvl="1">
      <w:lvlJc w:val="left"/>
      <w:lvlText w:val="(%2)"/>
      <w:numFmt w:val="lowerLetter"/>
      <w:start w:val="16"/>
    </w:lvl>
  </w:abstractNum>
  <w:abstractNum w:abstractNumId="83">
    <w:nsid w:val="3DD15094"/>
    <w:multiLevelType w:val="hybridMultilevel"/>
    <w:lvl w:ilvl="0">
      <w:lvlJc w:val="left"/>
      <w:lvlText w:val="(%1)"/>
      <w:numFmt w:val="lowerLetter"/>
      <w:start w:val="35"/>
    </w:lvl>
    <w:lvl w:ilvl="1">
      <w:lvlJc w:val="left"/>
      <w:lvlText w:val="%2"/>
      <w:numFmt w:val="lowerLetter"/>
      <w:start w:val="1"/>
    </w:lvl>
  </w:abstractNum>
  <w:abstractNum w:abstractNumId="84">
    <w:nsid w:val="3DB012B3"/>
    <w:multiLevelType w:val="hybridMultilevel"/>
    <w:lvl w:ilvl="0">
      <w:lvlJc w:val="left"/>
      <w:lvlText w:val="(%1)"/>
      <w:numFmt w:val="lowerLetter"/>
      <w:start w:val="18"/>
    </w:lvl>
    <w:lvl w:ilvl="1">
      <w:lvlJc w:val="left"/>
      <w:lvlText w:val="(%2)"/>
      <w:numFmt w:val="lowerRoman"/>
      <w:start w:val="1"/>
    </w:lvl>
  </w:abstractNum>
  <w:abstractNum w:abstractNumId="85">
    <w:nsid w:val="2708C9AF"/>
    <w:multiLevelType w:val="hybridMultilevel"/>
    <w:lvl w:ilvl="0">
      <w:lvlJc w:val="left"/>
      <w:lvlText w:val="%1"/>
      <w:numFmt w:val="upperLetter"/>
      <w:start w:val="1"/>
    </w:lvl>
    <w:lvl w:ilvl="1">
      <w:lvlJc w:val="left"/>
      <w:lvlText w:val="(%2)"/>
      <w:numFmt w:val="lowerRoman"/>
      <w:start w:val="3"/>
    </w:lvl>
  </w:abstractNum>
  <w:abstractNum w:abstractNumId="86">
    <w:nsid w:val="5B25ACE2"/>
    <w:multiLevelType w:val="hybridMultilevel"/>
    <w:lvl w:ilvl="0">
      <w:lvlJc w:val="left"/>
      <w:lvlText w:val="(%1)"/>
      <w:numFmt w:val="upperLetter"/>
      <w:start w:val="6"/>
    </w:lvl>
    <w:lvl w:ilvl="1">
      <w:lvlJc w:val="left"/>
      <w:lvlText w:val="(%2)"/>
      <w:numFmt w:val="lowerRoman"/>
      <w:start w:val="4"/>
    </w:lvl>
  </w:abstractNum>
  <w:abstractNum w:abstractNumId="87">
    <w:nsid w:val="175DFCF0"/>
    <w:multiLevelType w:val="hybridMultilevel"/>
    <w:lvl w:ilvl="0">
      <w:lvlJc w:val="left"/>
      <w:lvlText w:val="(%1)"/>
      <w:numFmt w:val="lowerLetter"/>
      <w:start w:val="19"/>
    </w:lvl>
  </w:abstractNum>
  <w:abstractNum w:abstractNumId="88">
    <w:nsid w:val="4F97E3E4"/>
    <w:multiLevelType w:val="hybridMultilevel"/>
    <w:lvl w:ilvl="0">
      <w:lvlJc w:val="left"/>
      <w:lvlText w:val="(%1)"/>
      <w:numFmt w:val="lowerLetter"/>
      <w:start w:val="21"/>
    </w:lvl>
  </w:abstractNum>
  <w:abstractNum w:abstractNumId="89">
    <w:nsid w:val="53B0A9E"/>
    <w:multiLevelType w:val="hybridMultilevel"/>
    <w:lvl w:ilvl="0">
      <w:lvlJc w:val="left"/>
      <w:lvlText w:val="%1"/>
      <w:numFmt w:val="upperLetter"/>
      <w:start w:val="1"/>
    </w:lvl>
    <w:lvl w:ilvl="1">
      <w:lvlJc w:val="left"/>
      <w:lvlText w:val="(%2)"/>
      <w:numFmt w:val="lowerLetter"/>
      <w:start w:val="24"/>
    </w:lvl>
  </w:abstractNum>
  <w:abstractNum w:abstractNumId="90">
    <w:nsid w:val="34FD6B4F"/>
    <w:multiLevelType w:val="hybridMultilevel"/>
    <w:lvl w:ilvl="0">
      <w:lvlJc w:val="left"/>
      <w:lvlText w:val="(%1)"/>
      <w:numFmt w:val="upperLetter"/>
      <w:start w:val="2"/>
    </w:lvl>
    <w:lvl w:ilvl="1">
      <w:lvlJc w:val="left"/>
      <w:lvlText w:val="%2"/>
      <w:numFmt w:val="lowerLetter"/>
      <w:start w:val="1"/>
    </w:lvl>
  </w:abstractNum>
  <w:abstractNum w:abstractNumId="91">
    <w:nsid w:val="5915FF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2">
    <w:nsid w:val="56438D15"/>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93">
    <w:nsid w:val="519E3149"/>
    <w:multiLevelType w:val="hybridMultilevel"/>
    <w:lvl w:ilvl="0">
      <w:lvlJc w:val="left"/>
      <w:lvlText w:val="(%1)"/>
      <w:numFmt w:val="lowerLetter"/>
      <w:start w:val="28"/>
    </w:lvl>
  </w:abstractNum>
  <w:abstractNum w:abstractNumId="94">
    <w:nsid w:val="2C6E4AFD"/>
    <w:multiLevelType w:val="hybridMultilevel"/>
    <w:lvl w:ilvl="0">
      <w:lvlJc w:val="left"/>
      <w:lvlText w:val="(%1)"/>
      <w:numFmt w:val="lowerLetter"/>
      <w:start w:val="31"/>
    </w:lvl>
  </w:abstractNum>
  <w:abstractNum w:abstractNumId="95">
    <w:nsid w:val="17A1B582"/>
    <w:multiLevelType w:val="hybridMultilevel"/>
    <w:lvl w:ilvl="0">
      <w:lvlJc w:val="left"/>
      <w:lvlText w:val="(%1)"/>
      <w:numFmt w:val="lowerLetter"/>
      <w:start w:val="34"/>
    </w:lvl>
  </w:abstractNum>
  <w:abstractNum w:abstractNumId="96">
    <w:nsid w:val="4DF72E4E"/>
    <w:multiLevelType w:val="hybridMultilevel"/>
    <w:lvl w:ilvl="0">
      <w:lvlJc w:val="left"/>
      <w:lvlText w:val="(%1)"/>
      <w:numFmt w:val="lowerLetter"/>
      <w:start w:val="40"/>
    </w:lvl>
    <w:lvl w:ilvl="1">
      <w:lvlJc w:val="left"/>
      <w:lvlText w:val="(%2)"/>
      <w:numFmt w:val="lowerRoman"/>
      <w:start w:val="1"/>
    </w:lvl>
    <w:lvl w:ilvl="2">
      <w:lvlJc w:val="left"/>
      <w:lvlText w:val="(%3)"/>
      <w:numFmt w:val="decimal"/>
      <w:start w:val="1"/>
    </w:lvl>
  </w:abstractNum>
  <w:abstractNum w:abstractNumId="97">
    <w:nsid w:val="5046B5A9"/>
    <w:multiLevelType w:val="hybridMultilevel"/>
    <w:lvl w:ilvl="0">
      <w:lvlJc w:val="left"/>
      <w:lvlText w:val="(%1)"/>
      <w:numFmt w:val="lowerLetter"/>
      <w:start w:val="42"/>
    </w:lvl>
  </w:abstractNum>
  <w:abstractNum w:abstractNumId="98">
    <w:nsid w:val="5D888A08"/>
    <w:multiLevelType w:val="hybridMultilevel"/>
    <w:lvl w:ilvl="0">
      <w:lvlJc w:val="left"/>
      <w:lvlText w:val="(%1)"/>
      <w:numFmt w:val="lowerLetter"/>
      <w:start w:val="44"/>
    </w:lvl>
  </w:abstractNum>
  <w:abstractNum w:abstractNumId="99">
    <w:nsid w:val="2A082C70"/>
    <w:multiLevelType w:val="hybridMultilevel"/>
    <w:lvl w:ilvl="0">
      <w:lvlJc w:val="left"/>
      <w:lvlText w:val="%1."/>
      <w:numFmt w:val="decimal"/>
      <w:start w:val="4"/>
    </w:lvl>
    <w:lvl w:ilvl="1">
      <w:lvlJc w:val="left"/>
      <w:lvlText w:val="(%2)"/>
      <w:numFmt w:val="lowerLetter"/>
      <w:start w:val="1"/>
    </w:lvl>
  </w:abstractNum>
  <w:abstractNum w:abstractNumId="100">
    <w:nsid w:val="5EC6AFD4"/>
    <w:multiLevelType w:val="hybridMultilevel"/>
    <w:lvl w:ilvl="0">
      <w:lvlJc w:val="left"/>
      <w:lvlText w:val="(%1)"/>
      <w:numFmt w:val="lowerLetter"/>
      <w:start w:val="5"/>
    </w:lvl>
  </w:abstractNum>
  <w:abstractNum w:abstractNumId="101">
    <w:nsid w:val="19E21BB2"/>
    <w:multiLevelType w:val="hybridMultilevel"/>
    <w:lvl w:ilvl="0">
      <w:lvlJc w:val="left"/>
      <w:lvlText w:val="(%1)"/>
      <w:numFmt w:val="lowerLetter"/>
      <w:start w:val="8"/>
    </w:lvl>
  </w:abstractNum>
  <w:abstractNum w:abstractNumId="102">
    <w:nsid w:val="75E0858A"/>
    <w:multiLevelType w:val="hybridMultilevel"/>
    <w:lvl w:ilvl="0">
      <w:lvlJc w:val="left"/>
      <w:lvlText w:val="(%1)"/>
      <w:numFmt w:val="lowerRoman"/>
      <w:start w:val="1"/>
    </w:lvl>
  </w:abstractNum>
  <w:abstractNum w:abstractNumId="103">
    <w:nsid w:val="57A61A29"/>
    <w:multiLevelType w:val="hybridMultilevel"/>
    <w:lvl w:ilvl="0">
      <w:lvlJc w:val="left"/>
      <w:lvlText w:val="(%1)"/>
      <w:numFmt w:val="lowerRoman"/>
      <w:start w:val="2"/>
    </w:lvl>
  </w:abstractNum>
  <w:abstractNum w:abstractNumId="104">
    <w:nsid w:val="5399C654"/>
    <w:multiLevelType w:val="hybridMultilevel"/>
    <w:lvl w:ilvl="0">
      <w:lvlJc w:val="left"/>
      <w:lvlText w:val="(%1)"/>
      <w:numFmt w:val="lowerLetter"/>
      <w:start w:val="10"/>
    </w:lvl>
    <w:lvl w:ilvl="1">
      <w:lvlJc w:val="left"/>
      <w:lvlText w:val="(%2)"/>
      <w:numFmt w:val="lowerRoman"/>
      <w:start w:val="1"/>
    </w:lvl>
  </w:abstractNum>
  <w:abstractNum w:abstractNumId="105">
    <w:nsid w:val="20EE1348"/>
    <w:multiLevelType w:val="hybridMultilevel"/>
    <w:lvl w:ilvl="0">
      <w:lvlJc w:val="left"/>
      <w:lvlText w:val="%1"/>
      <w:numFmt w:val="lowerLetter"/>
      <w:start w:val="1"/>
    </w:lvl>
    <w:lvl w:ilvl="1">
      <w:lvlJc w:val="left"/>
      <w:lvlText w:val="(%2)"/>
      <w:numFmt w:val="lowerRoman"/>
      <w:start w:val="3"/>
    </w:lvl>
  </w:abstractNum>
  <w:abstractNum w:abstractNumId="106">
    <w:nsid w:val="4427069A"/>
    <w:multiLevelType w:val="hybridMultilevel"/>
    <w:lvl w:ilvl="0">
      <w:lvlJc w:val="left"/>
      <w:lvlText w:val="(%1)"/>
      <w:numFmt w:val="lowerLetter"/>
      <w:start w:val="11"/>
    </w:lvl>
    <w:lvl w:ilvl="1">
      <w:lvlJc w:val="left"/>
      <w:lvlText w:val="%2"/>
      <w:numFmt w:val="lowerRoman"/>
      <w:start w:val="1"/>
    </w:lvl>
  </w:abstractNum>
  <w:abstractNum w:abstractNumId="107">
    <w:nsid w:val="B37E80A"/>
    <w:multiLevelType w:val="hybridMultilevel"/>
    <w:lvl w:ilvl="0">
      <w:lvlJc w:val="left"/>
      <w:lvlText w:val="(%1)"/>
      <w:numFmt w:val="lowerLetter"/>
      <w:start w:val="12"/>
    </w:lvl>
  </w:abstractNum>
  <w:abstractNum w:abstractNumId="108">
    <w:nsid w:val="2157F6BC"/>
    <w:multiLevelType w:val="hybridMultilevel"/>
    <w:lvl w:ilvl="0">
      <w:lvlJc w:val="left"/>
      <w:lvlText w:val="(%1)"/>
      <w:numFmt w:val="lowerLetter"/>
      <w:start w:val="15"/>
    </w:lvl>
  </w:abstractNum>
  <w:abstractNum w:abstractNumId="109">
    <w:nsid w:val="704E1DD5"/>
    <w:multiLevelType w:val="hybridMultilevel"/>
    <w:lvl w:ilvl="0">
      <w:lvlJc w:val="left"/>
      <w:lvlText w:val="(%1)"/>
      <w:numFmt w:val="lowerLetter"/>
      <w:start w:val="21"/>
    </w:lvl>
    <w:lvl w:ilvl="1">
      <w:lvlJc w:val="left"/>
      <w:lvlText w:val="(%2)"/>
      <w:numFmt w:val="upperLetter"/>
      <w:start w:val="1"/>
    </w:lvl>
  </w:abstractNum>
  <w:abstractNum w:abstractNumId="110">
    <w:nsid w:val="57D2F10E"/>
    <w:multiLevelType w:val="hybridMultilevel"/>
    <w:lvl w:ilvl="0">
      <w:lvlJc w:val="left"/>
      <w:lvlText w:val="(%1)"/>
      <w:numFmt w:val="upperLetter"/>
      <w:start w:val="3"/>
    </w:lvl>
  </w:abstractNum>
  <w:abstractNum w:abstractNumId="111">
    <w:nsid w:val="BFFAE18"/>
    <w:multiLevelType w:val="hybridMultilevel"/>
    <w:lvl w:ilvl="0">
      <w:lvlJc w:val="left"/>
      <w:lvlText w:val="(%1)"/>
      <w:numFmt w:val="upperLetter"/>
      <w:start w:val="7"/>
    </w:lvl>
  </w:abstractNum>
  <w:abstractNum w:abstractNumId="112">
    <w:nsid w:val="E3E47A8"/>
    <w:multiLevelType w:val="hybridMultilevel"/>
    <w:lvl w:ilvl="0">
      <w:lvlJc w:val="left"/>
      <w:lvlText w:val="(%1)"/>
      <w:numFmt w:val="upperLetter"/>
      <w:start w:val="9"/>
    </w:lvl>
  </w:abstractNum>
  <w:abstractNum w:abstractNumId="113">
    <w:nsid w:val="2E48F044"/>
    <w:multiLevelType w:val="hybridMultilevel"/>
    <w:lvl w:ilvl="0">
      <w:lvlJc w:val="left"/>
      <w:lvlText w:val="(%1)"/>
      <w:numFmt w:val="lowerLetter"/>
      <w:start w:val="22"/>
    </w:lvl>
    <w:lvl w:ilvl="1">
      <w:lvlJc w:val="left"/>
      <w:lvlText w:val="(%2)"/>
      <w:numFmt w:val="lowerLetter"/>
      <w:start w:val="9"/>
    </w:lvl>
  </w:abstractNum>
  <w:abstractNum w:abstractNumId="114">
    <w:nsid w:val="49D0FEAC"/>
    <w:multiLevelType w:val="hybridMultilevel"/>
    <w:lvl w:ilvl="0">
      <w:lvlJc w:val="left"/>
      <w:lvlText w:val="(%1)"/>
      <w:numFmt w:val="lowerRoman"/>
      <w:start w:val="2"/>
    </w:lvl>
  </w:abstractNum>
  <w:abstractNum w:abstractNumId="115">
    <w:nsid w:val="4BEE5A5B"/>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16">
    <w:nsid w:val="5551B9F3"/>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117">
    <w:nsid w:val="24F6AB8E"/>
    <w:multiLevelType w:val="hybridMultilevel"/>
    <w:lvl w:ilvl="0">
      <w:lvlJc w:val="left"/>
      <w:lvlText w:val="(%1)"/>
      <w:numFmt w:val="lowerRoman"/>
      <w:start w:val="2"/>
    </w:lvl>
  </w:abstractNum>
  <w:abstractNum w:abstractNumId="118">
    <w:nsid w:val="634C574C"/>
    <w:multiLevelType w:val="hybridMultilevel"/>
    <w:lvl w:ilvl="0">
      <w:lvlJc w:val="left"/>
      <w:lvlText w:val="(%1)"/>
      <w:numFmt w:val="lowerLetter"/>
      <w:start w:val="26"/>
    </w:lvl>
  </w:abstractNum>
  <w:abstractNum w:abstractNumId="119">
    <w:nsid w:val="24E99DD7"/>
    <w:multiLevelType w:val="hybridMultilevel"/>
    <w:lvl w:ilvl="0">
      <w:lvlJc w:val="left"/>
      <w:lvlText w:val="%1"/>
      <w:numFmt w:val="decimal"/>
      <w:start w:val="1"/>
    </w:lvl>
    <w:lvl w:ilvl="1">
      <w:lvlJc w:val="left"/>
      <w:lvlText w:val="(%2)"/>
      <w:numFmt w:val="lowerLetter"/>
      <w:start w:val="27"/>
    </w:lvl>
  </w:abstractNum>
  <w:abstractNum w:abstractNumId="120">
    <w:nsid w:val="2A31B62D"/>
    <w:multiLevelType w:val="hybridMultilevel"/>
    <w:lvl w:ilvl="0">
      <w:lvlJc w:val="left"/>
      <w:lvlText w:val="%1."/>
      <w:numFmt w:val="decimal"/>
      <w:start w:val="5"/>
    </w:lvl>
    <w:lvl w:ilvl="1">
      <w:lvlJc w:val="left"/>
      <w:lvlText w:val="(%2)"/>
      <w:numFmt w:val="lowerLetter"/>
      <w:start w:val="1"/>
    </w:lvl>
  </w:abstractNum>
  <w:abstractNum w:abstractNumId="121">
    <w:nsid w:val="1849C29B"/>
    <w:multiLevelType w:val="hybridMultilevel"/>
    <w:lvl w:ilvl="0">
      <w:lvlJc w:val="left"/>
      <w:lvlText w:val="(%1)"/>
      <w:numFmt w:val="lowerLetter"/>
      <w:start w:val="2"/>
    </w:lvl>
  </w:abstractNum>
  <w:abstractNum w:abstractNumId="122">
    <w:nsid w:val="7DFF9D09"/>
    <w:multiLevelType w:val="hybridMultilevel"/>
    <w:lvl w:ilvl="0">
      <w:lvlJc w:val="left"/>
      <w:lvlText w:val="%1"/>
      <w:numFmt w:val="lowerLetter"/>
      <w:start w:val="1"/>
    </w:lvl>
    <w:lvl w:ilvl="1">
      <w:lvlJc w:val="left"/>
      <w:lvlText w:val="(%2)"/>
      <w:numFmt w:val="lowerLetter"/>
      <w:start w:val="4"/>
    </w:lvl>
  </w:abstractNum>
  <w:abstractNum w:abstractNumId="123">
    <w:nsid w:val="754342"/>
    <w:multiLevelType w:val="hybridMultilevel"/>
    <w:lvl w:ilvl="0">
      <w:lvlJc w:val="left"/>
      <w:lvlText w:val="(%1)"/>
      <w:numFmt w:val="lowerLetter"/>
      <w:start w:val="9"/>
    </w:lvl>
    <w:lvl w:ilvl="1">
      <w:lvlJc w:val="left"/>
      <w:lvlText w:val="(%2)"/>
      <w:numFmt w:val="lowerLetter"/>
      <w:start w:val="5"/>
    </w:lvl>
  </w:abstractNum>
  <w:abstractNum w:abstractNumId="124">
    <w:nsid w:val="69E7F3E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25">
    <w:nsid w:val="2A6DE80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6">
    <w:nsid w:val="1816F8C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7">
    <w:nsid w:val="37DF2233"/>
    <w:multiLevelType w:val="hybridMultilevel"/>
    <w:lvl w:ilvl="0">
      <w:lvlJc w:val="left"/>
      <w:lvlText w:val="%1"/>
      <w:numFmt w:val="decimal"/>
      <w:start w:val="1"/>
    </w:lvl>
    <w:lvl w:ilvl="1">
      <w:lvlJc w:val="left"/>
      <w:lvlText w:val="(%2)"/>
      <w:numFmt w:val="lowerRoman"/>
      <w:start w:val="9"/>
    </w:lvl>
  </w:abstractNum>
  <w:abstractNum w:abstractNumId="128">
    <w:nsid w:val="7AB49DAF"/>
    <w:multiLevelType w:val="hybridMultilevel"/>
    <w:lvl w:ilvl="0">
      <w:lvlJc w:val="left"/>
      <w:lvlText w:val="(%1)"/>
      <w:numFmt w:val="decimal"/>
      <w:start w:val="2"/>
    </w:lvl>
    <w:lvl w:ilvl="1">
      <w:lvlJc w:val="left"/>
      <w:lvlText w:val="(%2)"/>
      <w:numFmt w:val="lowerRoman"/>
      <w:start w:val="12"/>
    </w:lvl>
  </w:abstractNum>
  <w:abstractNum w:abstractNumId="129">
    <w:nsid w:val="759F82CD"/>
    <w:multiLevelType w:val="hybridMultilevel"/>
    <w:lvl w:ilvl="0">
      <w:lvlJc w:val="left"/>
      <w:lvlText w:val="%1"/>
      <w:numFmt w:val="lowerLetter"/>
      <w:start w:val="1"/>
    </w:lvl>
    <w:lvl w:ilvl="1">
      <w:lvlJc w:val="left"/>
      <w:lvlText w:val="(%2)"/>
      <w:numFmt w:val="lowerRoman"/>
      <w:start w:val="17"/>
    </w:lvl>
  </w:abstractNum>
  <w:abstractNum w:abstractNumId="130">
    <w:nsid w:val="61E74EA3"/>
    <w:multiLevelType w:val="hybridMultilevel"/>
    <w:lvl w:ilvl="0">
      <w:lvlJc w:val="left"/>
      <w:lvlText w:val="(%1)"/>
      <w:numFmt w:val="lowerLetter"/>
      <w:start w:val="2"/>
    </w:lvl>
    <w:lvl w:ilvl="1">
      <w:lvlJc w:val="left"/>
      <w:lvlText w:val="(%2)"/>
      <w:numFmt w:val="lowerRoman"/>
      <w:start w:val="1"/>
    </w:lvl>
  </w:abstractNum>
  <w:abstractNum w:abstractNumId="131">
    <w:nsid w:val="597B4D84"/>
    <w:multiLevelType w:val="hybridMultilevel"/>
    <w:lvl w:ilvl="0">
      <w:lvlJc w:val="left"/>
      <w:lvlText w:val="%1"/>
      <w:numFmt w:val="lowerRoman"/>
      <w:start w:val="1"/>
    </w:lvl>
    <w:lvl w:ilvl="1">
      <w:lvlJc w:val="left"/>
      <w:lvlText w:val="(%2)"/>
      <w:numFmt w:val="lowerRoman"/>
      <w:start w:val="2"/>
    </w:lvl>
  </w:abstractNum>
  <w:abstractNum w:abstractNumId="132">
    <w:nsid w:val="F819E7F"/>
    <w:multiLevelType w:val="hybridMultilevel"/>
    <w:lvl w:ilvl="0">
      <w:lvlJc w:val="left"/>
      <w:lvlText w:val="(%1)"/>
      <w:numFmt w:val="lowerRoman"/>
      <w:start w:val="3"/>
    </w:lvl>
    <w:lvl w:ilvl="1">
      <w:lvlJc w:val="left"/>
      <w:lvlText w:val="%2"/>
      <w:numFmt w:val="lowerRoman"/>
      <w:start w:val="1"/>
    </w:lvl>
  </w:abstractNum>
  <w:abstractNum w:abstractNumId="133">
    <w:nsid w:val="57C7D42D"/>
    <w:multiLevelType w:val="hybridMultilevel"/>
    <w:lvl w:ilvl="0">
      <w:lvlJc w:val="left"/>
      <w:lvlText w:val="(%1)"/>
      <w:numFmt w:val="lowerRoman"/>
      <w:start w:val="9"/>
    </w:lvl>
  </w:abstractNum>
  <w:abstractNum w:abstractNumId="134">
    <w:nsid w:val="312167AD"/>
    <w:multiLevelType w:val="hybridMultilevel"/>
    <w:lvl w:ilvl="0">
      <w:lvlJc w:val="left"/>
      <w:lvlText w:val="%1"/>
      <w:numFmt w:val="lowerLetter"/>
      <w:start w:val="1"/>
    </w:lvl>
    <w:lvl w:ilvl="1">
      <w:lvlJc w:val="left"/>
      <w:lvlText w:val="(%2)"/>
      <w:numFmt w:val="lowerRoman"/>
      <w:start w:val="17"/>
    </w:lvl>
  </w:abstractNum>
  <w:abstractNum w:abstractNumId="135">
    <w:nsid w:val="631B64D4"/>
    <w:multiLevelType w:val="hybridMultilevel"/>
    <w:lvl w:ilvl="0">
      <w:lvlJc w:val="left"/>
      <w:lvlText w:val="(%1)"/>
      <w:numFmt w:val="lowerLetter"/>
      <w:start w:val="3"/>
    </w:lvl>
    <w:lvl w:ilvl="1">
      <w:lvlJc w:val="left"/>
      <w:lvlText w:val="(%2)"/>
      <w:numFmt w:val="lowerRoman"/>
      <w:start w:val="1"/>
    </w:lvl>
  </w:abstractNum>
  <w:abstractNum w:abstractNumId="136">
    <w:nsid w:val="78B5E776"/>
    <w:multiLevelType w:val="hybridMultilevel"/>
    <w:lvl w:ilvl="0">
      <w:lvlJc w:val="left"/>
      <w:lvlText w:val="(%1)"/>
      <w:numFmt w:val="lowerRoman"/>
      <w:start w:val="4"/>
    </w:lvl>
  </w:abstractNum>
  <w:abstractNum w:abstractNumId="137">
    <w:nsid w:val="75486E47"/>
    <w:multiLevelType w:val="hybridMultilevel"/>
    <w:lvl w:ilvl="0">
      <w:lvlJc w:val="left"/>
      <w:lvlText w:val="(%1)"/>
      <w:numFmt w:val="lowerRoman"/>
      <w:start w:val="11"/>
    </w:lvl>
  </w:abstractNum>
  <w:abstractNum w:abstractNumId="138">
    <w:nsid w:val="6E534CDE"/>
    <w:multiLevelType w:val="hybridMultilevel"/>
    <w:lvl w:ilvl="0">
      <w:lvlJc w:val="left"/>
      <w:lvlText w:val="%1"/>
      <w:numFmt w:val="decimal"/>
      <w:start w:val="1"/>
    </w:lvl>
    <w:lvl w:ilvl="1">
      <w:lvlJc w:val="left"/>
      <w:lvlText w:val="(%2)"/>
      <w:numFmt w:val="lowerRoman"/>
      <w:start w:val="21"/>
    </w:lvl>
  </w:abstractNum>
  <w:abstractNum w:abstractNumId="139">
    <w:nsid w:val="1A0DDE32"/>
    <w:multiLevelType w:val="hybridMultilevel"/>
    <w:lvl w:ilvl="0">
      <w:lvlJc w:val="left"/>
      <w:lvlText w:val="%1."/>
      <w:numFmt w:val="decimal"/>
      <w:start w:val="8"/>
    </w:lvl>
    <w:lvl w:ilvl="1">
      <w:lvlJc w:val="left"/>
      <w:lvlText w:val="%2"/>
      <w:numFmt w:val="lowerRoman"/>
      <w:start w:val="1"/>
    </w:lvl>
  </w:abstractNum>
  <w:abstractNum w:abstractNumId="140">
    <w:nsid w:val="65968C1C"/>
    <w:multiLevelType w:val="hybridMultilevel"/>
    <w:lvl w:ilvl="0">
      <w:lvlJc w:val="left"/>
      <w:lvlText w:val="%1."/>
      <w:numFmt w:val="decimal"/>
      <w:start w:val="9"/>
    </w:lvl>
    <w:lvl w:ilvl="1">
      <w:lvlJc w:val="left"/>
      <w:lvlText w:val="(%2)"/>
      <w:numFmt w:val="lowerLetter"/>
      <w:start w:val="1"/>
    </w:lvl>
  </w:abstractNum>
  <w:abstractNum w:abstractNumId="141">
    <w:nsid w:val="46263DEC"/>
    <w:multiLevelType w:val="hybridMultilevel"/>
    <w:lvl w:ilvl="0">
      <w:lvlJc w:val="left"/>
      <w:lvlText w:val="%1"/>
      <w:numFmt w:val="lowerLetter"/>
      <w:start w:val="1"/>
    </w:lvl>
    <w:lvl w:ilvl="1">
      <w:lvlJc w:val="left"/>
      <w:lvlText w:val="(%2)"/>
      <w:numFmt w:val="lowerLetter"/>
      <w:start w:val="2"/>
    </w:lvl>
  </w:abstractNum>
  <w:abstractNum w:abstractNumId="142">
    <w:nsid w:val="260D8C4A"/>
    <w:multiLevelType w:val="hybridMultilevel"/>
    <w:lvl w:ilvl="0">
      <w:lvlJc w:val="left"/>
      <w:lvlText w:val="(%1)"/>
      <w:numFmt w:val="lowerLetter"/>
      <w:start w:val="26"/>
    </w:lvl>
    <w:lvl w:ilvl="1">
      <w:lvlJc w:val="left"/>
      <w:lvlText w:val="(%2)"/>
      <w:numFmt w:val="lowerLetter"/>
      <w:start w:val="4"/>
    </w:lvl>
  </w:abstractNum>
  <w:abstractNum w:abstractNumId="143">
    <w:nsid w:val="73D4D3C4"/>
    <w:multiLevelType w:val="hybridMultilevel"/>
    <w:lvl w:ilvl="0">
      <w:lvlJc w:val="left"/>
      <w:lvlText w:val="(%1)"/>
      <w:numFmt w:val="lowerLetter"/>
      <w:start w:val="5"/>
    </w:lvl>
  </w:abstractNum>
  <w:abstractNum w:abstractNumId="144">
    <w:nsid w:val="746F2E30"/>
    <w:multiLevelType w:val="hybridMultilevel"/>
    <w:lvl w:ilvl="0">
      <w:lvlJc w:val="left"/>
      <w:lvlText w:val="(%1)"/>
      <w:numFmt w:val="lowerLetter"/>
      <w:start w:val="6"/>
    </w:lvl>
  </w:abstractNum>
  <w:abstractNum w:abstractNumId="145">
    <w:nsid w:val="6FDE8AF6"/>
    <w:multiLevelType w:val="hybridMultilevel"/>
    <w:lvl w:ilvl="0">
      <w:lvlJc w:val="left"/>
      <w:lvlText w:val="(%1)"/>
      <w:numFmt w:val="lowerLetter"/>
      <w:start w:val="7"/>
    </w:lvl>
    <w:lvl w:ilvl="1">
      <w:lvlJc w:val="left"/>
      <w:lvlText w:val="(%2)"/>
      <w:numFmt w:val="lowerRoman"/>
      <w:start w:val="1"/>
    </w:lvl>
  </w:abstractNum>
  <w:abstractNum w:abstractNumId="146">
    <w:nsid w:val="3FC32E20"/>
    <w:multiLevelType w:val="hybridMultilevel"/>
    <w:lvl w:ilvl="0">
      <w:lvlJc w:val="left"/>
      <w:lvlText w:val="(%1)"/>
      <w:numFmt w:val="lowerLetter"/>
      <w:start w:val="35"/>
    </w:lvl>
    <w:lvl w:ilvl="1">
      <w:lvlJc w:val="left"/>
      <w:lvlText w:val="%2"/>
      <w:numFmt w:val="lowerRoman"/>
      <w:start w:val="1"/>
    </w:lvl>
  </w:abstractNum>
  <w:abstractNum w:abstractNumId="147">
    <w:nsid w:val="49C0E823"/>
    <w:multiLevelType w:val="hybridMultilevel"/>
    <w:lvl w:ilvl="0">
      <w:lvlJc w:val="left"/>
      <w:lvlText w:val="(%1)"/>
      <w:numFmt w:val="lowerLetter"/>
      <w:start w:val="61"/>
    </w:lvl>
    <w:lvl w:ilvl="1">
      <w:lvlJc w:val="left"/>
      <w:lvlText w:val="%2"/>
      <w:numFmt w:val="lowerRoman"/>
      <w:start w:val="1"/>
    </w:lvl>
  </w:abstractNum>
  <w:abstractNum w:abstractNumId="148">
    <w:nsid w:val="14D53685"/>
    <w:multiLevelType w:val="hybridMultilevel"/>
    <w:lvl w:ilvl="0">
      <w:lvlJc w:val="left"/>
      <w:lvlText w:val="%1"/>
      <w:numFmt w:val="lowerRoman"/>
      <w:start w:val="1"/>
    </w:lvl>
    <w:lvl w:ilvl="1">
      <w:lvlJc w:val="left"/>
      <w:lvlText w:val="(%2)"/>
      <w:numFmt w:val="lowerRoman"/>
      <w:start w:val="2"/>
    </w:lvl>
  </w:abstractNum>
  <w:abstractNum w:abstractNumId="149">
    <w:nsid w:val="230F856C"/>
    <w:multiLevelType w:val="hybridMultilevel"/>
    <w:lvl w:ilvl="0">
      <w:lvlJc w:val="left"/>
      <w:lvlText w:val="(%1)"/>
      <w:numFmt w:val="lowerRoman"/>
      <w:start w:val="2"/>
    </w:lvl>
    <w:lvl w:ilvl="1">
      <w:lvlJc w:val="left"/>
      <w:lvlText w:val="%2"/>
      <w:numFmt w:val="lowerRoman"/>
      <w:start w:val="1"/>
    </w:lvl>
  </w:abstractNum>
  <w:abstractNum w:abstractNumId="150">
    <w:nsid w:val="6EAA85FB"/>
    <w:multiLevelType w:val="hybridMultilevel"/>
    <w:lvl w:ilvl="0">
      <w:lvlJc w:val="left"/>
      <w:lvlText w:val="(%1)"/>
      <w:numFmt w:val="lowerLetter"/>
      <w:start w:val="12"/>
    </w:lvl>
  </w:abstractNum>
  <w:abstractNum w:abstractNumId="151">
    <w:nsid w:val="3F06ECB2"/>
    <w:multiLevelType w:val="hybridMultilevel"/>
    <w:lvl w:ilvl="0">
      <w:lvlJc w:val="left"/>
      <w:lvlText w:val="(%1)"/>
      <w:numFmt w:val="lowerLetter"/>
      <w:start w:val="16"/>
    </w:lvl>
    <w:lvl w:ilvl="1">
      <w:lvlJc w:val="left"/>
      <w:lvlText w:val="(%2)"/>
      <w:numFmt w:val="lowerRoman"/>
      <w:start w:val="1"/>
    </w:lvl>
    <w:lvl w:ilvl="2">
      <w:lvlJc w:val="left"/>
      <w:lvlText w:val="(%3)"/>
      <w:numFmt w:val="decimal"/>
      <w:start w:val="1"/>
    </w:lvl>
  </w:abstractNum>
  <w:abstractNum w:abstractNumId="152">
    <w:nsid w:val="3B594807"/>
    <w:multiLevelType w:val="hybridMultilevel"/>
    <w:lvl w:ilvl="0">
      <w:lvlJc w:val="left"/>
      <w:lvlText w:val="(%1)"/>
      <w:numFmt w:val="lowerLetter"/>
      <w:start w:val="18"/>
    </w:lvl>
    <w:lvl w:ilvl="1">
      <w:lvlJc w:val="left"/>
      <w:lvlText w:val="(%2)"/>
      <w:numFmt w:val="lowerLetter"/>
      <w:start w:val="9"/>
    </w:lvl>
  </w:abstractNum>
  <w:abstractNum w:abstractNumId="153">
    <w:nsid w:val="6CAA230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4">
    <w:nsid w:val="3F7C2FF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5">
    <w:nsid w:val="25413BEC"/>
    <w:multiLevelType w:val="hybridMultilevel"/>
    <w:lvl w:ilvl="0">
      <w:lvlJc w:val="left"/>
      <w:lvlText w:val="(%1)"/>
      <w:numFmt w:val="lowerRoman"/>
      <w:start w:val="4"/>
    </w:lvl>
  </w:abstractNum>
  <w:abstractNum w:abstractNumId="156">
    <w:nsid w:val="17180B0B"/>
    <w:multiLevelType w:val="hybridMultilevel"/>
    <w:lvl w:ilvl="0">
      <w:lvlJc w:val="left"/>
      <w:lvlText w:val="%1"/>
      <w:numFmt w:val="lowerRoman"/>
      <w:start w:val="1"/>
    </w:lvl>
    <w:lvl w:ilvl="1">
      <w:lvlJc w:val="left"/>
      <w:lvlText w:val="(%2)"/>
      <w:numFmt w:val="lowerRoman"/>
      <w:start w:val="8"/>
    </w:lvl>
  </w:abstractNum>
  <w:abstractNum w:abstractNumId="157">
    <w:nsid w:val="579328B9"/>
    <w:multiLevelType w:val="hybridMultilevel"/>
    <w:lvl w:ilvl="0">
      <w:lvlJc w:val="left"/>
      <w:lvlText w:val="(%1)"/>
      <w:numFmt w:val="lowerRoman"/>
      <w:start w:val="9"/>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2022-03-18T15:41:02Z</dcterms:created>
  <dcterms:modified xsi:type="dcterms:W3CDTF">2022-03-18T15:41:02Z</dcterms:modified>
</cp:coreProperties>
</file>