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6)</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54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286" w:lineRule="auto"/>
        <w:tabs>
          <w:tab w:leader="none" w:pos="9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I-Tseng Jenny Chan</w:t>
      </w:r>
    </w:p>
    <w:p>
      <w:pPr>
        <w:spacing w:after="0" w:line="23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40" w:right="9060" w:hanging="802"/>
        <w:spacing w:after="0" w:line="317" w:lineRule="auto"/>
        <w:tabs>
          <w:tab w:leader="none" w:pos="9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PF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20" w:hanging="774"/>
        <w:spacing w:after="0" w:line="286" w:lineRule="auto"/>
        <w:tabs>
          <w:tab w:leader="none" w:pos="2600"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68" w:lineRule="exact"/>
        <w:rPr>
          <w:sz w:val="20"/>
          <w:szCs w:val="20"/>
          <w:color w:val="auto"/>
        </w:rPr>
      </w:pPr>
    </w:p>
    <w:tbl>
      <w:tblPr>
        <w:tblLayout w:type="fixed"/>
        <w:tblInd w:w="360" w:type="dxa"/>
        <w:tblCellMar>
          <w:top w:w="0" w:type="dxa"/>
          <w:left w:w="0" w:type="dxa"/>
          <w:bottom w:w="0" w:type="dxa"/>
          <w:right w:w="0" w:type="dxa"/>
        </w:tblCellMar>
      </w:tblPr>
      <w:tr>
        <w:trPr>
          <w:trHeight w:val="43"/>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vMerge w:val="continue"/>
          </w:tcPr>
          <w:p>
            <w:pPr>
              <w:spacing w:after="0"/>
              <w:rPr>
                <w:sz w:val="6"/>
                <w:szCs w:val="6"/>
                <w:color w:val="auto"/>
              </w:rPr>
            </w:pPr>
          </w:p>
        </w:tc>
        <w:tc>
          <w:tcPr>
            <w:tcW w:w="8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1,040,087</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60" w:hanging="774"/>
        <w:spacing w:after="0" w:line="276"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1,040,087</w:t>
      </w:r>
    </w:p>
    <w:p>
      <w:pPr>
        <w:spacing w:after="0" w:line="244" w:lineRule="exact"/>
        <w:rPr>
          <w:rFonts w:ascii="Times New Roman" w:cs="Times New Roman" w:eastAsia="Times New Roman" w:hAnsi="Times New Roman"/>
          <w:sz w:val="18"/>
          <w:szCs w:val="18"/>
          <w:b w:val="1"/>
          <w:bCs w:val="1"/>
          <w:color w:val="auto"/>
        </w:rPr>
      </w:pPr>
    </w:p>
    <w:p>
      <w:pPr>
        <w:ind w:left="940" w:right="5240" w:hanging="802"/>
        <w:spacing w:after="0" w:line="286" w:lineRule="auto"/>
        <w:tabs>
          <w:tab w:leader="none" w:pos="94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0.00%</w:t>
      </w:r>
      <w:r>
        <w:rPr>
          <w:rFonts w:ascii="Times New Roman" w:cs="Times New Roman" w:eastAsia="Times New Roman" w:hAnsi="Times New Roman"/>
          <w:sz w:val="29"/>
          <w:szCs w:val="29"/>
          <w:color w:val="auto"/>
          <w:vertAlign w:val="superscript"/>
        </w:rPr>
        <w:t>(1)</w:t>
      </w:r>
    </w:p>
    <w:p>
      <w:pPr>
        <w:spacing w:after="0" w:line="197"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54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Zion Capital,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OO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20" w:hanging="774"/>
        <w:spacing w:after="0" w:line="286" w:lineRule="auto"/>
        <w:tabs>
          <w:tab w:leader="none" w:pos="2600" w:val="left"/>
        </w:tabs>
        <w:numPr>
          <w:ilvl w:val="2"/>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68" w:lineRule="exact"/>
        <w:rPr>
          <w:sz w:val="20"/>
          <w:szCs w:val="20"/>
          <w:color w:val="auto"/>
        </w:rPr>
      </w:pPr>
    </w:p>
    <w:tbl>
      <w:tblPr>
        <w:tblLayout w:type="fixed"/>
        <w:tblInd w:w="360" w:type="dxa"/>
        <w:tblCellMar>
          <w:top w:w="0" w:type="dxa"/>
          <w:left w:w="0" w:type="dxa"/>
          <w:bottom w:w="0" w:type="dxa"/>
          <w:right w:w="0" w:type="dxa"/>
        </w:tblCellMar>
      </w:tblPr>
      <w:tr>
        <w:trPr>
          <w:trHeight w:val="43"/>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2"/>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vMerge w:val="continue"/>
          </w:tcPr>
          <w:p>
            <w:pPr>
              <w:spacing w:after="0"/>
              <w:rPr>
                <w:sz w:val="6"/>
                <w:szCs w:val="6"/>
                <w:color w:val="auto"/>
              </w:rPr>
            </w:pPr>
          </w:p>
        </w:tc>
        <w:tc>
          <w:tcPr>
            <w:tcW w:w="8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60" w:hanging="774"/>
        <w:spacing w:after="0" w:line="276" w:lineRule="auto"/>
        <w:tabs>
          <w:tab w:leader="none" w:pos="26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spacing w:after="0" w:line="244" w:lineRule="exact"/>
        <w:rPr>
          <w:rFonts w:ascii="Times New Roman" w:cs="Times New Roman" w:eastAsia="Times New Roman" w:hAnsi="Times New Roman"/>
          <w:sz w:val="18"/>
          <w:szCs w:val="18"/>
          <w:b w:val="1"/>
          <w:bCs w:val="1"/>
          <w:color w:val="auto"/>
        </w:rPr>
      </w:pPr>
    </w:p>
    <w:p>
      <w:pPr>
        <w:ind w:left="940" w:right="5240" w:hanging="802"/>
        <w:spacing w:after="0" w:line="286" w:lineRule="auto"/>
        <w:tabs>
          <w:tab w:leader="none" w:pos="94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0.00%</w:t>
      </w:r>
      <w:r>
        <w:rPr>
          <w:rFonts w:ascii="Times New Roman" w:cs="Times New Roman" w:eastAsia="Times New Roman" w:hAnsi="Times New Roman"/>
          <w:sz w:val="29"/>
          <w:szCs w:val="29"/>
          <w:color w:val="auto"/>
          <w:vertAlign w:val="superscript"/>
        </w:rPr>
        <w:t>(1)</w:t>
      </w:r>
    </w:p>
    <w:p>
      <w:pPr>
        <w:spacing w:after="0" w:line="197"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54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Olivet Capital,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20" w:hanging="774"/>
        <w:spacing w:after="0" w:line="286" w:lineRule="auto"/>
        <w:tabs>
          <w:tab w:leader="none" w:pos="2600"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68" w:lineRule="exact"/>
        <w:rPr>
          <w:sz w:val="20"/>
          <w:szCs w:val="20"/>
          <w:color w:val="auto"/>
        </w:rPr>
      </w:pPr>
    </w:p>
    <w:tbl>
      <w:tblPr>
        <w:tblLayout w:type="fixed"/>
        <w:tblInd w:w="360" w:type="dxa"/>
        <w:tblCellMar>
          <w:top w:w="0" w:type="dxa"/>
          <w:left w:w="0" w:type="dxa"/>
          <w:bottom w:w="0" w:type="dxa"/>
          <w:right w:w="0" w:type="dxa"/>
        </w:tblCellMar>
      </w:tblPr>
      <w:tr>
        <w:trPr>
          <w:trHeight w:val="43"/>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vMerge w:val="continue"/>
          </w:tcPr>
          <w:p>
            <w:pPr>
              <w:spacing w:after="0"/>
              <w:rPr>
                <w:sz w:val="6"/>
                <w:szCs w:val="6"/>
                <w:color w:val="auto"/>
              </w:rPr>
            </w:pPr>
          </w:p>
        </w:tc>
        <w:tc>
          <w:tcPr>
            <w:tcW w:w="8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60" w:hanging="774"/>
        <w:spacing w:after="0" w:line="276" w:lineRule="auto"/>
        <w:tabs>
          <w:tab w:leader="none" w:pos="26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spacing w:after="0" w:line="244" w:lineRule="exact"/>
        <w:rPr>
          <w:rFonts w:ascii="Times New Roman" w:cs="Times New Roman" w:eastAsia="Times New Roman" w:hAnsi="Times New Roman"/>
          <w:sz w:val="18"/>
          <w:szCs w:val="18"/>
          <w:b w:val="1"/>
          <w:bCs w:val="1"/>
          <w:color w:val="auto"/>
        </w:rPr>
      </w:pPr>
    </w:p>
    <w:p>
      <w:pPr>
        <w:ind w:left="940" w:right="5240" w:hanging="802"/>
        <w:spacing w:after="0" w:line="286" w:lineRule="auto"/>
        <w:tabs>
          <w:tab w:leader="none" w:pos="94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0.00%</w:t>
      </w:r>
      <w:r>
        <w:rPr>
          <w:rFonts w:ascii="Times New Roman" w:cs="Times New Roman" w:eastAsia="Times New Roman" w:hAnsi="Times New Roman"/>
          <w:sz w:val="29"/>
          <w:szCs w:val="29"/>
          <w:color w:val="auto"/>
          <w:vertAlign w:val="superscript"/>
        </w:rPr>
        <w:t>(1)</w:t>
      </w:r>
    </w:p>
    <w:p>
      <w:pPr>
        <w:spacing w:after="0" w:line="197"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54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Cannan Capital,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4"/>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4"/>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20" w:hanging="774"/>
        <w:spacing w:after="0" w:line="286" w:lineRule="auto"/>
        <w:tabs>
          <w:tab w:leader="none" w:pos="2600" w:val="left"/>
        </w:tabs>
        <w:numPr>
          <w:ilvl w:val="2"/>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68" w:lineRule="exact"/>
        <w:rPr>
          <w:sz w:val="20"/>
          <w:szCs w:val="20"/>
          <w:color w:val="auto"/>
        </w:rPr>
      </w:pPr>
    </w:p>
    <w:tbl>
      <w:tblPr>
        <w:tblLayout w:type="fixed"/>
        <w:tblInd w:w="360" w:type="dxa"/>
        <w:tblCellMar>
          <w:top w:w="0" w:type="dxa"/>
          <w:left w:w="0" w:type="dxa"/>
          <w:bottom w:w="0" w:type="dxa"/>
          <w:right w:w="0" w:type="dxa"/>
        </w:tblCellMar>
      </w:tblPr>
      <w:tr>
        <w:trPr>
          <w:trHeight w:val="43"/>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2"/>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vMerge w:val="continue"/>
          </w:tcPr>
          <w:p>
            <w:pPr>
              <w:spacing w:after="0"/>
              <w:rPr>
                <w:sz w:val="6"/>
                <w:szCs w:val="6"/>
                <w:color w:val="auto"/>
              </w:rPr>
            </w:pPr>
          </w:p>
        </w:tc>
        <w:tc>
          <w:tcPr>
            <w:tcW w:w="8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60" w:hanging="774"/>
        <w:spacing w:after="0" w:line="276" w:lineRule="auto"/>
        <w:tabs>
          <w:tab w:leader="none" w:pos="2600"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spacing w:after="0" w:line="244" w:lineRule="exact"/>
        <w:rPr>
          <w:rFonts w:ascii="Times New Roman" w:cs="Times New Roman" w:eastAsia="Times New Roman" w:hAnsi="Times New Roman"/>
          <w:sz w:val="18"/>
          <w:szCs w:val="18"/>
          <w:b w:val="1"/>
          <w:bCs w:val="1"/>
          <w:color w:val="auto"/>
        </w:rPr>
      </w:pPr>
    </w:p>
    <w:p>
      <w:pPr>
        <w:ind w:left="940" w:right="5240" w:hanging="802"/>
        <w:spacing w:after="0" w:line="286" w:lineRule="auto"/>
        <w:tabs>
          <w:tab w:leader="none" w:pos="94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0.00%</w:t>
      </w:r>
      <w:r>
        <w:rPr>
          <w:rFonts w:ascii="Times New Roman" w:cs="Times New Roman" w:eastAsia="Times New Roman" w:hAnsi="Times New Roman"/>
          <w:sz w:val="29"/>
          <w:szCs w:val="29"/>
          <w:color w:val="auto"/>
          <w:vertAlign w:val="superscript"/>
        </w:rPr>
        <w:t>(1)</w:t>
      </w:r>
    </w:p>
    <w:p>
      <w:pPr>
        <w:spacing w:after="0" w:line="197"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8"/>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8"/>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60" w:hanging="774"/>
        <w:spacing w:after="0" w:line="289" w:lineRule="auto"/>
        <w:tabs>
          <w:tab w:leader="none" w:pos="2600"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802"/>
        <w:spacing w:after="0" w:line="295" w:lineRule="auto"/>
        <w:tabs>
          <w:tab w:leader="none" w:pos="94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40.84%</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4" w:lineRule="exact"/>
        <w:rPr>
          <w:rFonts w:ascii="Times New Roman" w:cs="Times New Roman" w:eastAsia="Times New Roman" w:hAnsi="Times New Roman"/>
          <w:sz w:val="18"/>
          <w:szCs w:val="18"/>
          <w:b w:val="1"/>
          <w:bCs w:val="1"/>
          <w:color w:val="auto"/>
        </w:rPr>
      </w:pPr>
    </w:p>
    <w:p>
      <w:pPr>
        <w:jc w:val="both"/>
        <w:ind w:left="340" w:hanging="332"/>
        <w:spacing w:after="0" w:line="25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that number of shares of Common Stock issuable to CP Acquisitions, LLC, an entity controlled by Ms. I-Tseng Jenny Chan (“</w:t>
      </w:r>
      <w:r>
        <w:rPr>
          <w:rFonts w:ascii="Times New Roman" w:cs="Times New Roman" w:eastAsia="Times New Roman" w:hAnsi="Times New Roman"/>
          <w:sz w:val="18"/>
          <w:szCs w:val="18"/>
          <w:i w:val="1"/>
          <w:iCs w:val="1"/>
          <w:color w:val="auto"/>
        </w:rPr>
        <w:t>Ms. Chan</w:t>
      </w:r>
      <w:r>
        <w:rPr>
          <w:rFonts w:ascii="Times New Roman" w:cs="Times New Roman" w:eastAsia="Times New Roman" w:hAnsi="Times New Roman"/>
          <w:sz w:val="18"/>
          <w:szCs w:val="18"/>
          <w:color w:val="auto"/>
        </w:rPr>
        <w:t>”), issuable to Ms. Chan upon the conversion of the Convertible Note due 2025 described herein with an outstanding principal amount of $3,500,000.00 and a conversion price of $21.90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Raymond N. Chang and/or Ms. Chan, each a member of the Board of Directors of the Issuer, in which case the 49.99% beneficial ownership limitation will apply to each of them individually, and (ii) that number of shares of Common Stock issuable to CP Acquisitions or, at CP Acquisition’s election, pre-funded warrants to purchase shares of Common Stock issuable to CP Acquisitions upon conversion of the Junior Note due July 1, 2025, as amended by that certain Amendment No. 1, dated October 18, 2024 described herein with an outstanding principal amount of $3,000,000.00 and a conversion price of $3.9495 (as may be adjusted per the Junior Note), which pre-funded warrants are exercisable subject to a 49.99% beneficial ownership limitation.</w:t>
      </w:r>
    </w:p>
    <w:p>
      <w:pPr>
        <w:spacing w:after="0" w:line="7"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 plus the shares of Common Stock issuable and issued upon exercise of the warrants and options and conversion of the Convertible Note in footnote (1) above, subject to applicable beneficial ownership limitations.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6 to the statement on Schedule 13D (“</w:t>
      </w:r>
      <w:r>
        <w:rPr>
          <w:rFonts w:ascii="Times New Roman" w:cs="Times New Roman" w:eastAsia="Times New Roman" w:hAnsi="Times New Roman"/>
          <w:sz w:val="18"/>
          <w:szCs w:val="18"/>
          <w:i w:val="1"/>
          <w:iCs w:val="1"/>
          <w:color w:val="auto"/>
        </w:rPr>
        <w:t>Amendment No. 6</w:t>
      </w:r>
      <w:r>
        <w:rPr>
          <w:rFonts w:ascii="Times New Roman" w:cs="Times New Roman" w:eastAsia="Times New Roman" w:hAnsi="Times New Roman"/>
          <w:sz w:val="18"/>
          <w:szCs w:val="18"/>
          <w:color w:val="auto"/>
        </w:rPr>
        <w:t>”) amends the Schedule 13D originally filed by the Reporting Persons (as defined herein) on January 25, 2024, as amended by that certain Amendment No. 1 filed on May 23, 2024, Amendment No. 2 filed on August 6, 2024, Amendment No. 3 filed on August 16, 2024, Amendment No. 4 filed on September 4, 2024, and Amendment No. 5 filed October 24,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M Zion Capital, LLC (“</w:t>
      </w:r>
      <w:r>
        <w:rPr>
          <w:rFonts w:ascii="Times New Roman" w:cs="Times New Roman" w:eastAsia="Times New Roman" w:hAnsi="Times New Roman"/>
          <w:sz w:val="18"/>
          <w:szCs w:val="18"/>
          <w:i w:val="1"/>
          <w:iCs w:val="1"/>
          <w:color w:val="auto"/>
        </w:rPr>
        <w:t>M Zion Capital</w:t>
      </w:r>
      <w:r>
        <w:rPr>
          <w:rFonts w:ascii="Times New Roman" w:cs="Times New Roman" w:eastAsia="Times New Roman" w:hAnsi="Times New Roman"/>
          <w:sz w:val="18"/>
          <w:szCs w:val="18"/>
          <w:color w:val="auto"/>
        </w:rPr>
        <w:t>”), M Olivet Capital, LLC (“</w:t>
      </w:r>
      <w:r>
        <w:rPr>
          <w:rFonts w:ascii="Times New Roman" w:cs="Times New Roman" w:eastAsia="Times New Roman" w:hAnsi="Times New Roman"/>
          <w:sz w:val="18"/>
          <w:szCs w:val="18"/>
          <w:i w:val="1"/>
          <w:iCs w:val="1"/>
          <w:color w:val="auto"/>
        </w:rPr>
        <w:t>M Olivet Capital</w:t>
      </w:r>
      <w:r>
        <w:rPr>
          <w:rFonts w:ascii="Times New Roman" w:cs="Times New Roman" w:eastAsia="Times New Roman" w:hAnsi="Times New Roman"/>
          <w:sz w:val="18"/>
          <w:szCs w:val="18"/>
          <w:color w:val="auto"/>
        </w:rPr>
        <w:t>”), M Cannan Capital, LLC (“</w:t>
      </w:r>
      <w:r>
        <w:rPr>
          <w:rFonts w:ascii="Times New Roman" w:cs="Times New Roman" w:eastAsia="Times New Roman" w:hAnsi="Times New Roman"/>
          <w:sz w:val="18"/>
          <w:szCs w:val="18"/>
          <w:i w:val="1"/>
          <w:iCs w:val="1"/>
          <w:color w:val="auto"/>
        </w:rPr>
        <w:t>M Cannan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and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(each of M Zion Capital, M Olivet Capital, M Cannan Capital CP Acquisitions,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6 does not modify any of the information previously reported on the Schedule 13D. Capitalized terms used but not otherwise defined in this Amendment No. 6 shall have the meanings ascribed to them in the Schedule 13D.</w:t>
      </w:r>
    </w:p>
    <w:p>
      <w:pPr>
        <w:spacing w:after="0" w:line="172" w:lineRule="exact"/>
        <w:rPr>
          <w:sz w:val="20"/>
          <w:szCs w:val="20"/>
          <w:color w:val="auto"/>
        </w:rPr>
      </w:pPr>
    </w:p>
    <w:p>
      <w:pPr>
        <w:jc w:val="center"/>
        <w:ind w:right="8040"/>
        <w:spacing w:after="0"/>
        <w:rPr>
          <w:sz w:val="20"/>
          <w:szCs w:val="20"/>
          <w:color w:val="auto"/>
        </w:rPr>
      </w:pPr>
      <w:r>
        <w:rPr>
          <w:rFonts w:ascii="Times New Roman" w:cs="Times New Roman" w:eastAsia="Times New Roman" w:hAnsi="Times New Roman"/>
          <w:sz w:val="17"/>
          <w:szCs w:val="17"/>
          <w:b w:val="1"/>
          <w:bCs w:val="1"/>
          <w:color w:val="auto"/>
        </w:rPr>
        <w:t>Item 5. Interest in Securities of the Issuer.</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Transactions with Investor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RSLGH, LLC (the “</w:t>
      </w:r>
      <w:r>
        <w:rPr>
          <w:rFonts w:ascii="Times New Roman" w:cs="Times New Roman" w:eastAsia="Times New Roman" w:hAnsi="Times New Roman"/>
          <w:sz w:val="18"/>
          <w:szCs w:val="18"/>
          <w:i w:val="1"/>
          <w:iCs w:val="1"/>
          <w:color w:val="auto"/>
        </w:rPr>
        <w:t>Investor</w:t>
      </w:r>
      <w:r>
        <w:rPr>
          <w:rFonts w:ascii="Times New Roman" w:cs="Times New Roman" w:eastAsia="Times New Roman" w:hAnsi="Times New Roman"/>
          <w:sz w:val="18"/>
          <w:szCs w:val="18"/>
          <w:color w:val="auto"/>
        </w:rPr>
        <w:t>”), a subsidiary of Green Thumb Industries Inc. (“</w:t>
      </w:r>
      <w:r>
        <w:rPr>
          <w:rFonts w:ascii="Times New Roman" w:cs="Times New Roman" w:eastAsia="Times New Roman" w:hAnsi="Times New Roman"/>
          <w:sz w:val="18"/>
          <w:szCs w:val="18"/>
          <w:i w:val="1"/>
          <w:iCs w:val="1"/>
          <w:color w:val="auto"/>
        </w:rPr>
        <w:t>Green Thumb</w:t>
      </w:r>
      <w:r>
        <w:rPr>
          <w:rFonts w:ascii="Times New Roman" w:cs="Times New Roman" w:eastAsia="Times New Roman" w:hAnsi="Times New Roman"/>
          <w:sz w:val="18"/>
          <w:szCs w:val="18"/>
          <w:color w:val="auto"/>
        </w:rPr>
        <w:t>”), entered into that certain Purchase Agreement (the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dated November 5, 2024, with Mr. Chang (individually, and as the representative of the Sellers (as defined herein)), Chinwei Wang, Ms. Chan, CP Acquisitions, GIC, RTC, M Zion Capital, LLC, M Olivet Capital, LLC and M Cannan Capital, LLC (collectively, the “</w:t>
      </w:r>
      <w:r>
        <w:rPr>
          <w:rFonts w:ascii="Times New Roman" w:cs="Times New Roman" w:eastAsia="Times New Roman" w:hAnsi="Times New Roman"/>
          <w:sz w:val="18"/>
          <w:szCs w:val="18"/>
          <w:i w:val="1"/>
          <w:iCs w:val="1"/>
          <w:color w:val="auto"/>
        </w:rPr>
        <w:t>Sellers</w:t>
      </w:r>
      <w:r>
        <w:rPr>
          <w:rFonts w:ascii="Times New Roman" w:cs="Times New Roman" w:eastAsia="Times New Roman" w:hAnsi="Times New Roman"/>
          <w:sz w:val="18"/>
          <w:szCs w:val="18"/>
          <w:color w:val="auto"/>
        </w:rPr>
        <w:t>”) to purchase Common Stock and warrants to purchase Common Stock held by the Sellers (collectively, the “</w:t>
      </w:r>
      <w:r>
        <w:rPr>
          <w:rFonts w:ascii="Times New Roman" w:cs="Times New Roman" w:eastAsia="Times New Roman" w:hAnsi="Times New Roman"/>
          <w:sz w:val="18"/>
          <w:szCs w:val="18"/>
          <w:i w:val="1"/>
          <w:iCs w:val="1"/>
          <w:color w:val="auto"/>
        </w:rPr>
        <w:t>Sellers Equity</w:t>
      </w:r>
      <w:r>
        <w:rPr>
          <w:rFonts w:ascii="Times New Roman" w:cs="Times New Roman" w:eastAsia="Times New Roman" w:hAnsi="Times New Roman"/>
          <w:sz w:val="18"/>
          <w:szCs w:val="18"/>
          <w:color w:val="auto"/>
        </w:rPr>
        <w:t>”). In particular, with respect to the Reporting Persons entered into stock powers and common stock warrant assignment forms to dispose of each of the following:</w:t>
      </w:r>
    </w:p>
    <w:p>
      <w:pPr>
        <w:spacing w:after="0" w:line="18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Zion Capital, LLC transferred 67,997 shares of Common Stock to Investor;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Olivet Capital, LLC transferred 67,997 shares of Common Stock to Investor;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Cannan Capital, LLC transferred 67,997 shares of Common Stock to Investor; and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Acquisitions assigned warrants to purchase 5,069,162 shares of Common Stock held by CP Acquisitions that are exercisable within 60 days of the date hereof, subject to a 49.99% beneficial ownership limitation, to Investor.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exchange for the Sellers Equity, subject to the other terms and conditions in the Purchase Agreement, Investor shall pay Sellers $18,280,000.00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comprised of a combination of cash and subordinate voting shares of Green Thumb (the “</w:t>
      </w:r>
      <w:r>
        <w:rPr>
          <w:rFonts w:ascii="Times New Roman" w:cs="Times New Roman" w:eastAsia="Times New Roman" w:hAnsi="Times New Roman"/>
          <w:sz w:val="18"/>
          <w:szCs w:val="18"/>
          <w:i w:val="1"/>
          <w:iCs w:val="1"/>
          <w:color w:val="auto"/>
        </w:rPr>
        <w:t>Share Consideration</w:t>
      </w:r>
      <w:r>
        <w:rPr>
          <w:rFonts w:ascii="Times New Roman" w:cs="Times New Roman" w:eastAsia="Times New Roman" w:hAnsi="Times New Roman"/>
          <w:sz w:val="18"/>
          <w:szCs w:val="18"/>
          <w:color w:val="auto"/>
        </w:rPr>
        <w:t>”) as payment, in three tranches. The second tranche is subject to other future contingencies, after which the Reporting Persons expect to cease to be Reporting Persons.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includes customary indemnification, limitations of liability, and representations and warranties. No price per share was associated with these disposals of the Sellers Equity.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Resignation of Director and Chief Executive Officer</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On November 5, 2024, immediately following the execution of the Purchase Agreement, I-Tseng Jenny Chan (“</w:t>
      </w:r>
      <w:r>
        <w:rPr>
          <w:rFonts w:ascii="Times New Roman" w:cs="Times New Roman" w:eastAsia="Times New Roman" w:hAnsi="Times New Roman"/>
          <w:sz w:val="18"/>
          <w:szCs w:val="18"/>
          <w:i w:val="1"/>
          <w:iCs w:val="1"/>
          <w:color w:val="auto"/>
        </w:rPr>
        <w:t>Ms. Chan</w:t>
      </w:r>
      <w:r>
        <w:rPr>
          <w:rFonts w:ascii="Times New Roman" w:cs="Times New Roman" w:eastAsia="Times New Roman" w:hAnsi="Times New Roman"/>
          <w:sz w:val="18"/>
          <w:szCs w:val="18"/>
          <w:color w:val="auto"/>
        </w:rPr>
        <w:t>”) resigned as a member of the Board of Directors of the Issuer and any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The information provided or incorporated by reference in </w:t>
      </w:r>
      <w:r>
        <w:rPr>
          <w:rFonts w:ascii="Times New Roman" w:cs="Times New Roman" w:eastAsia="Times New Roman" w:hAnsi="Times New Roman"/>
          <w:sz w:val="18"/>
          <w:szCs w:val="18"/>
          <w:i w:val="1"/>
          <w:iCs w:val="1"/>
          <w:u w:val="single" w:color="auto"/>
          <w:color w:val="auto"/>
        </w:rPr>
        <w:t>Item 5</w:t>
      </w:r>
      <w:r>
        <w:rPr>
          <w:rFonts w:ascii="Times New Roman" w:cs="Times New Roman" w:eastAsia="Times New Roman" w:hAnsi="Times New Roman"/>
          <w:sz w:val="18"/>
          <w:szCs w:val="18"/>
          <w:i w:val="1"/>
          <w:iCs w:val="1"/>
          <w:color w:val="auto"/>
        </w:rPr>
        <w:t xml:space="preserve"> of this Schedule 13D, is hereby incorporated herein by this reference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Purchase Agreement,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I-Tseng Jenny Chan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Zion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 Olivet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 Cannan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140E0F7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3352255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109CF92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DED7263"/>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6">
    <w:nsid w:val="7FDCC233"/>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7">
    <w:nsid w:val="1BEFD79F"/>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8">
    <w:nsid w:val="41A7C4C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6B68079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0">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1">
    <w:nsid w:val="25E45D3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2">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431BD7B7"/>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4">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5">
    <w:nsid w:val="7C83E4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6">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9">
    <w:nsid w:val="628C895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0">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2024-11-07T21:04:22Z</dcterms:created>
  <dcterms:modified xsi:type="dcterms:W3CDTF">2024-11-07T21:04:22Z</dcterms:modified>
</cp:coreProperties>
</file>