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8, 2025</w:t>
      </w:r>
    </w:p>
    <w:p>
      <w:pPr>
        <w:spacing w:after="0" w:line="31"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30-0943453</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2220 Hicks Road, Suite 210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Rolling Meadows, Illinois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Benjamin Kovler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2220 Hicks Road, Suite 210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Rolling Meadows, Illinois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Robert A. Petitt,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Blank Rome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 High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415-1200</w:t>
      </w:r>
    </w:p>
    <w:p>
      <w:pPr>
        <w:spacing w:after="0" w:line="122"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Approximate date of commencement of proposed sale to the public: </w:t>
      </w:r>
      <w:r>
        <w:rPr>
          <w:rFonts w:ascii="Times New Roman" w:cs="Times New Roman" w:eastAsia="Times New Roman" w:hAnsi="Times New Roman"/>
          <w:sz w:val="18"/>
          <w:szCs w:val="18"/>
          <w:b w:val="1"/>
          <w:bCs w:val="1"/>
          <w:color w:val="auto"/>
        </w:rPr>
        <w:t>From time to time after the effective date of this registration statement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determined by the registrant.</w:t>
      </w:r>
    </w:p>
    <w:p>
      <w:pPr>
        <w:spacing w:after="0" w:line="3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8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8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4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4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7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85"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915" w:gutter="0" w:footer="0" w:header="0"/>
        </w:sectPr>
      </w:pPr>
    </w:p>
    <w:bookmarkStart w:id="1" w:name="page2"/>
    <w:bookmarkEnd w:id="1"/>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contained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OCTOBER 8,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114300</wp:posOffset>
            </wp:positionV>
            <wp:extent cx="1628775" cy="1440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1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from time to time issue, in one or more series or classes, up to $100,000,000 in aggregate principal amount of our common stock, preferred stock, debt securities, warrants, and/or units. We may offer these securities separately or together in units.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We will provide the specific terms of the securities offered in one or more supplements to this prospectus. The prospectus supplements will also describe the specific manner in which these securities will be offered. We may also authorize one or more free writing prospectuses to be provided to you in connection with these offerings. The prospectus supplement and any related free writing prospectus may add, update or change information contained in this prospectus. Please read carefully this prospectus, the applicable prospectus supplement, any related free writing prospectus, and the documents incorporated by reference before you invest in any of our securities. This prospectus may not be used to offer or sell any securities unless accompanied by the applicable prospectus supplement.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“RYM”. On October 8, 2025, the last reported sale price of our common stock was $47.75 per share. The applicable prospectus supplement will contain information, where applicable, as to any other listing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October 8, 2025, the aggregate market value of our outstanding common stock held by non-affiliates, or public float, was approximately $60,295,902, based on 1,249,656 shares of common stock held by non-affiliates and a per share price of $48.25 based on the closing sale price of our common stock on the Nasdaq Capital Market on October 7, 2025, which was the highest closing price of our common stock within the last 60 days prior to the date of this filing. Pursuant to General Instruction I.B.6 of Form S-3, in no event will we sell securities registered on this registration statement, of which any prospectus supplement forms a part, in a public primary offering with a value exceeding more than one-third of our public float in any 12-month period so long as our public float remains below $75.0 million. During the 12 calendar months prior to and including the date of this prospectus, we have not offered or sold any securities pursuant to General Instruction I.B.6 of Form S-3.</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contained in this prospectus beginning on page 7 and any applicable prospectus supplement, and under similar headings in the other documents that are incorporated by reference into this prospectus.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sell these securities directly to investors, through agents designated from time to time or to or through underwriters or dealers. For additional information on the methods of sale, please see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If any underwriters, dealers or agents are involved in the sale of any securities with respect to which this prospectus is being delivered, the names of such underwriters, dealers or agents and any applicable commissions or discounts will be set forth in a prospectus supplement. The price to the public of such securities and the net proceeds we expect to receive from such sale will also be set forth in a prospectus supplement.</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ACCURATE, TRUTHFUL OR COMPLETE. ANY REPRESENTATION TO THE CONTRARY IS A CRIMINAL OFFENSE.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87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615"/>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014"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3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53"/>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7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01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under the Securities Act of 1933, as amended, or the “Securities Act,” using a “shelf” registration process. Under this shelf registration process, we may, from time to time, offer and sell any combination of the securities described in this prospectus, in one or more offerings, for an aggregate initial offering price of up to $100 million.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OFFER AND SELL SECURITIES UNLESS IT IS ACCOMPANIED BY A PROSPECTUS SUPPLEMENT.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a particular offering. The prospectus supplement and any related free writing prospectus may also add, update or change information contained in this prospectus or in any documents that we have incorporated by reference into this prospectus. To the extent there is a conflict between any statement contained in this prospectus, any applicable prospectus supplement, any related free writing prospectus or any document incorporated by reference into this prospectus, the statement in the document having the later date modifies or supersedes the earlier statement.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appearing in this prospectus, any prospectus supplement or any related free writing prospectus is accurate only as of their respective dates, and any information we have incorporated by reference is accurate only as of the date of the document incorporated by reference, regardless of the time of delivery of this prospectus, any applicable prospectus supplement or any related free writing prospectus, or the time of any sale of a security. Our business, financial condition, results of operations and prospects may have changed materially since those dates.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rely only on the information contained in, or incorporated by reference into, this prospectus and any applicable prospectus supplement, or the information contained in any free writing prospectus we have authorized for use in connection with a specific offering. We have not authorized anyone to provide you with different or additional information.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any prospectus supplement or any related free writing prospectus does not constitute an offer to sell or the solicitation of an offer to buy any securities other than the securities described in this prospectus or an applicable prospectus supplement or an offer to sell or the solicitation of an offer to buy such securities in any circumstances or in any jurisdictions where it is unlawful to do so.</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permitted by SEC rules and regulations, the registration statement of which this prospectus forms a part includes additional information not contained in this prospectus. This prospectus also contains summaries of certain provisions of the documents described herein, but all summaries are qualified in their entirety by reference to the actual documents. You may read the registration statement and the other reports we file with the SEC, and you may obtain copies of the actual documents summarized herein (if and when filed with the SEC), at the SEC’s website or at its offices described in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representations, warranties and covenants made by us in any agreement that is filed as an exhibit to the registration statement of which this prospectus forms a part or any document that is incorporated by reference into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5876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1840" cy="5876290"/>
                    </a:xfrm>
                    <a:prstGeom prst="rect">
                      <a:avLst/>
                    </a:prstGeom>
                    <a:noFill/>
                  </pic:spPr>
                </pic:pic>
              </a:graphicData>
            </a:graphic>
          </wp:anchor>
        </w:drawing>
        <w:t>PROSPECTUS 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or incorporated by reference into this prospectus. This summary may not contain all the information that you should consider before investing in our securities. Before making an investment decision, please carefully read this entire prospectus and the documents incorporated by reference into this prospectus, especially the “Risk Factors” section of this prospectus and our financial statements and the related notes incorporated by reference into this prospectus. See “Special Note Regarding Forward-Looking Statements.” In this prospectus, unless the context otherwise requires, the terms “RYTHM,” “the Company,” “we,” “us” and “our” refer to RYTHM, Inc. together with its consolidated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RYTHM,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developer of branded innovative solutions for the cannabis and hemp industries. Our portfolio of consumer-packaged goods brands includes our Señorita brand which offers consumers hemp-derived tetrahydrocannabinol (“THC”) beverages that mirror well-known cocktails like a margarita – in four flavors – classic Lime Jalapeño Margarita, Mango Margarita, Paloma and Ranch Water. Known for its clean, fresh taste and commitment to high-quality, natural ingredients, Señorita offers a low-sugar, low-calorie alternative to alcoholic beverages and is available at top retailers including Total Wine, ABC Fine Wine &amp; Spirits, and Binny’s in eleven U.S. states and Canada, with plans for expansion and future availability in premier on-premises destinations. Products are also available for direct-to-consumer purchase where permissible under state law at senoritadrinks.com. Other hemp-derived products, including edible products, are primarily sold online and through direct-to-retail partnerships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hemp-derived products, we have also historically been a leading provider of innovative cultivation and extraction solutions for the cannabis industry (the “Extraction Business”). Prior to our exit of the Extraction Business on March 30, 2025, our comprehensive extraction product line, which includes hydrocarbon, alcohol, solventless, post-processing, and lab equipment, empowered producers to maximize the quantity and quality of extract required for premium concentrates. Additionally, prior to its sale on December 31, 2024, our proprietary micro-environment-controlled Vertical Farming Units (“VFUs”) enabled cultivators to produce high quality products for the cannabis industry (the “Cultivation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Lines of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Brands and Royalties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May 20, 2025, we acquired MC Brands, LLC from Green Thumb Industries Inc. (“Green Thumb”), a related party, the assets of which consist primarily of intellectual property rights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Concurrent with the MC Brands acquisition, we entered a license agreement with GTI Core, LLC, a subsidiary of Green Thumb, to use certain intellectual property related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license agreement grants GTI Core, LLC the rights to use certain intellectual property related to the </w:t>
      </w:r>
      <w:r>
        <w:rPr>
          <w:rFonts w:ascii="Times New Roman" w:cs="Times New Roman" w:eastAsia="Times New Roman" w:hAnsi="Times New Roman"/>
          <w:sz w:val="18"/>
          <w:szCs w:val="18"/>
          <w:i w:val="1"/>
          <w:iCs w:val="1"/>
          <w:color w:val="auto"/>
        </w:rPr>
        <w:t>incredibles</w:t>
      </w:r>
      <w:r>
        <w:rPr>
          <w:rFonts w:ascii="Times New Roman" w:cs="Times New Roman" w:eastAsia="Times New Roman" w:hAnsi="Times New Roman"/>
          <w:sz w:val="18"/>
          <w:szCs w:val="18"/>
          <w:color w:val="auto"/>
        </w:rPr>
        <w:t xml:space="preserve"> brand in connection with GTI Core’s existing businesses. The consideration payable by GTI Core for the license rights consists of a monthly license fee, payable in cash, based on sales of product using the licensed intellectual property. Benjamin Kovler, our Chairman and Interim Chief Executive Officer, is the Chairman and Chief Executive Officer on Green Thumb, and Armon Vakili, a member of our Board of Directors, is an employee of Green Thumb. Green Thumb, through its subsidiaries, currently holds approximately 35% of our outstanding shares of common stock and beneficially owns 49.99% of our common stock, taking into account beneficial ownership limitations contained in the warrants and convertible notes held by subsidiaries of Green Thumb</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5739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1840" cy="5739130"/>
                    </a:xfrm>
                    <a:prstGeom prst="rect">
                      <a:avLst/>
                    </a:prstGeom>
                    <a:noFill/>
                  </pic:spPr>
                </pic:pic>
              </a:graphicData>
            </a:graphic>
          </wp:anchor>
        </w:drawing>
        <w:t xml:space="preserve">On August 27, 2025, we acquired VCP IP Holdings, LLC from Green Thumb, the assets of which consist primarily of intellectual property rights to the </w:t>
      </w:r>
      <w:r>
        <w:rPr>
          <w:rFonts w:ascii="Times New Roman" w:cs="Times New Roman" w:eastAsia="Times New Roman" w:hAnsi="Times New Roman"/>
          <w:sz w:val="18"/>
          <w:szCs w:val="18"/>
          <w:i w:val="1"/>
          <w:iCs w:val="1"/>
          <w:color w:val="auto"/>
        </w:rPr>
        <w:t>RYTHM, Beboe, Dogwalkers, Doctor Solomon’s, &amp;Shine, and Good Green</w:t>
      </w:r>
      <w:r>
        <w:rPr>
          <w:rFonts w:ascii="Times New Roman" w:cs="Times New Roman" w:eastAsia="Times New Roman" w:hAnsi="Times New Roman"/>
          <w:sz w:val="18"/>
          <w:szCs w:val="18"/>
          <w:color w:val="auto"/>
        </w:rPr>
        <w:t xml:space="preserve"> brands. Concurrent with the acquisition, we entered a license agreement with GTI Core, LLC to use certain intellectual property related to the acquired brand. The license agreement grants GTI Core, LLC the rights to use certain intellectual property related to the </w:t>
      </w:r>
      <w:r>
        <w:rPr>
          <w:rFonts w:ascii="Times New Roman" w:cs="Times New Roman" w:eastAsia="Times New Roman" w:hAnsi="Times New Roman"/>
          <w:sz w:val="18"/>
          <w:szCs w:val="18"/>
          <w:i w:val="1"/>
          <w:iCs w:val="1"/>
          <w:color w:val="auto"/>
        </w:rPr>
        <w:t>RYTHM, Beboe, Dogwalkers, Doctor Solomon’s, &amp;Shine, and Good Green</w:t>
      </w:r>
      <w:r>
        <w:rPr>
          <w:rFonts w:ascii="Times New Roman" w:cs="Times New Roman" w:eastAsia="Times New Roman" w:hAnsi="Times New Roman"/>
          <w:sz w:val="18"/>
          <w:szCs w:val="18"/>
          <w:color w:val="auto"/>
        </w:rPr>
        <w:t xml:space="preserve"> brands in connection with GTI Core’s existing businesses. The consideration payable by GTI Core for the license rights consists of a monthly license fee, payable in cash, based on sales of product using the licensed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Hemp-Derived Products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acquired the Señorita brand of hemp-derived THC beverages in November 2024. Señorita was designed and formulated by world-class winemakers Charles Bieler and Joel Gott. Recognizing a growing generational demand for adult beverage alternatives, Bieler and Gott gave the classic margarita a modern twist—replacing alcohol with hemp-derived to create a delightful adult beverage alternative. Through the use of all-natural, premium ingredients like organic Mexican agave, fresh lime juice and sweet, tangy mango, Señorita quickly gained acclaim, taking home the top spot in The High Times Cannabis Cup just one year after inception. Gott and Bieler continue to collaborate on the brand with Mr. Kovler and the RYTHM team.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Señorita currently offers four award-winning flavors – classic Lime Jalapeño Margarita, Paloma, Mango Margarita, and Ranch Water. Señorita’s hemp-derived beverages are currently available at top retailers including Total Wine, ABC Fine Wine &amp; Spirits, and Binny’s in eleven U.S. states and Canada. Products are also available for direct-to-consumer purchase where permissible under state law at senoritadrinks.com.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Co-Manufacturing Arrangements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finished goods are manufactured by various third-party co-manufacturers situated throughout the United States and Canada, under separate arrangements with each party. Our co-manufacturing arrangements vary in terms and, from time to time, we may enter into manufacturing contracts with agreed upon minimum quantities to ensure continuity of supply of certain products in certain territories. We continue to actively seek alternative and/or additional co-manufacturing facilities with adequate capacity and capability for the production of our various products to minimize transportation costs as well as mitigate the risk of disruption in production.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estimate demand for our products is imprecise, particularly with new products, and may be less precise during periods of rapid growth, including in new markets. If we materially underestimate demand for our products and/or are unable to secure sufficient ingredients or raw materials and/or procure adequate co-manufacturing arrangements and/or obtain adequate or timely shipment of our products, we might not be able to satisfy demand on a short-term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half of 2025, we continued to expand distribution of our hemp-derived beverage products in our domestic markets. We have entered into agreements with various distributors providing for the distribution of certain of our hemp-derived beverage products, subject to certain terms and conditions, which may vary depending on the form of the agreement. Such agreements remain in effect for their then-current term as long as our products are being distributed, but are subject to specified termination rights held by each party. Additionally, we are entitled to terminate certain distribution agreements at any time without cause upon payment of a termination fee, which may be material depending on the agreement.</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9"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01840" cy="6013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1840" cy="6013450"/>
                    </a:xfrm>
                    <a:prstGeom prst="rect">
                      <a:avLst/>
                    </a:prstGeom>
                    <a:noFill/>
                  </pic:spPr>
                </pic:pic>
              </a:graphicData>
            </a:graphic>
          </wp:anchor>
        </w:drawing>
        <w:t>Regulatory Landscape 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regulatory landscape for products infused with hemp-derived delta-9 tetrahydrocannabinol and other psychoactive cannabinoids (collectively “hemp-derived THC”) is a source of material risk for the Company. While the 2018 Farm Bill both defined and legalized hemp under federal law, the subsequent use of hemp to make psychoactive or intoxicating consumer products created an unexpected new market. This market mirrors the state-legal and federally illegal cannabis industry, but without the rigid regulations and heavy tax burdens and without the prohibition on interstate shipping. As the industry expanded, lawmakers at the federal, state, and local levels raised concerns about minors’ easy access to these products, inadequate testing, and the need for regulations governing the manufacturing, marketing, testing, sale, and transportation of hemp products. As a result, to date, several states have passed laws regulating, restricting, or banning hemp-derived THC products. In addition, during each renewal of the 2018 Farm Bill, legislators proposed amendments that would make hemp-derived delta-9 THC products federally illegal by adopting a total THC standard. Although these amendments have not passed, and the 2018 Farm Bill expired on September 30, 2025, the current definition of “hemp” remains codified in the Federal Register, so its legality does not depend on the 2018 Farm Bill’s renewal. Notably, however, Congress can amend the definition of “hemp” and there are efforts underway to adopt a “total THC” standard (inclusive of THCA), rather than one that depends on the delta-9 THC concentration. All of this creates significant uncertainty for our business of manufacturing, marketing and selling hemp-derived delta-9 THC products.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Landscape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cannabis and cannabis-related industries are, and are expected to continue to be, competitive. A number of other companies engage in, and may in the future engage in, cannabis-related businesses, operate businesses in competition with us and purchase businesses and assets or make investments that we will also seek to purchase or make. We face and expect to continue to face competition from state-licensed medical and adult-use dispensaries.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Large chain stores, manufacturers, retailers, beverage and other consumer products companies that also recognize the potential for financial success through acquisitions and investment in the hemp-derived beverage industry could strategically acquire competitors or invest in creating their own brands. In doing so, these larger competitors could produce and sell competing products at a lower price and establish a larger brand presence. We may not have the personnel, products, marketing and distribution capabilities, and/or financial resources to compete effectively against such larger competitors.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face competition from the illicit market and illegal dispensaries and cultivation operations that are unlicensed, not regulated and that are selling cannabis or hemp products. Any inability or unwillingness of law enforcement authorities to enforce existing laws prohibiting the unlicensed production and sale of cannabis or hemp products could result in increased competition for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a combination of patent, trademark, copyright, and trade secret, including federal, state and common law rights in the U.S.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01840" cy="6562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1840" cy="6562090"/>
                    </a:xfrm>
                    <a:prstGeom prst="rect">
                      <a:avLst/>
                    </a:prstGeom>
                    <a:noFill/>
                  </pic:spPr>
                </pic:pic>
              </a:graphicData>
            </a:graphic>
          </wp:anchor>
        </w:drawing>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 Change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Following our acquisition of VCP IP Holdings, LLC and the </w:t>
      </w:r>
      <w:r>
        <w:rPr>
          <w:rFonts w:ascii="Times New Roman" w:cs="Times New Roman" w:eastAsia="Times New Roman" w:hAnsi="Times New Roman"/>
          <w:sz w:val="18"/>
          <w:szCs w:val="18"/>
          <w:i w:val="1"/>
          <w:iCs w:val="1"/>
          <w:color w:val="auto"/>
        </w:rPr>
        <w:t>RYTHM</w:t>
      </w:r>
      <w:r>
        <w:rPr>
          <w:rFonts w:ascii="Times New Roman" w:cs="Times New Roman" w:eastAsia="Times New Roman" w:hAnsi="Times New Roman"/>
          <w:sz w:val="18"/>
          <w:szCs w:val="18"/>
          <w:color w:val="auto"/>
        </w:rPr>
        <w:t xml:space="preserve"> brand, we changed our name from Agrify Corporation to RYTHM, Inc. effective as of September 2, 2025, and changed our ticker symbol on the Nasdaq Capital Market from AGFY to RYM effective as of the market open on that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Shared Services Agreements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20, 2025, we entered into an Amended and Restated Shared Services Agreement (the “Services Agreement”) with Vision Management Services, LLC (“VMS”), an indirect wholly-owned subsidiary of Green Thumb, a related party. Under the Services Agreement, VMS provides certain administrative, supply chain, operations management, sales and marketing, and technical services to us and our subsidiaries. As consideration for those services, we pay VMS service fees equal to (i) 125% of the costs incurred by VMS in connection with any services provided by non-dedicated personnel, including the applicable portion of salary, bonus, equity compensation cost, health care and other benefits, and (ii) 100% of such costs incurred by VMS in connection with services provided by dedicated personnel and any third-party costs incurred in connection with the services. The service fees are payable in cash or, upon mutual agreement of us and VMS and to the extent permitted under applicable Nasdaq listing rules, in common stock or in pre-funded warrants, with the value per share of common stock or pre-funded warrant being equal to $26.68. The maximum cost for services provided by non-dedicated personnel during the one-year term of the Services Agreement may not exceed $3.0 million unless the parties otherwise agree in writing. The Services Agreement is for a term of one year, is terminable by either party on 90 days’ notice for any or no reason, and will automatically renew for successive one year terms unless terminated by either party at least thirty days prior to the end of the applicable term.</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21, 2025, we entered into a Shared Services Agreement (the “CFO Services Agreement”) with VMS, pursuant to which our Chief Financial Officer provides his services. As consideration for those services, we pay VMS a monthly fee based on its direct costs in providing such services, with a maximum of $72,552 per month. The CFO Services Agreement has a term of one year, is terminable by either party on 90 days’ notice for any or no reason, and will automatically renew for successive one year terms unless terminated by either party at least thirty days prior to the end of the applicable term. As a result of the services provided under the Services Agreement and the CFO Services Agreement, we do not have any direct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Issuances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5, 2024, we issued a Secured Convertible Note (the “November 2024 Note”) with an original principal amount of $10.0 million to RSLGH, LLC (“RSLGH”), a subsidiary of Green Thumb, a related party. The November 2024 Note will mature on November 5, 2025 and is convertible into shares of common stock or, at the holder’s election, pre-funded warrants, at a conversion price of $3.158, subject to a 49.99% beneficial ownership limitation and any required approval of stockholders under Nasdaq listing rules.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22, 2025, we issued Secured Convertible Notes with an aggregate original principal amount of $30.0 million (the “May 2025 Notes”) to RSLGH and to certain other accredited investors. The May 2025 Notes will mature on November 22, 2026 and are convertible into shares of common stock or, at the holder’s election, pre-funded warrants, at a conversion price of $23.53, subject to a 49.99% beneficial ownership limitation for RSLGH, a 4.99% beneficial ownership limitation for the other holders, and any required approval of stockholders under Nasdaq listing rules.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25, 2025, we issued Secured Convertible Notes with an aggregate original principal amount of $50.0 million (the “August 2025 Notes” and, collectively with the November 2024 Note and the May 2025 Notes, the “Notes”) to RSLGH and to certain other accredited investors. The August 2025 Notes will mature on February 25, 2027 and are convertible into shares of common stock or, at the holder’s election, pre-funded warrants, at a conversion price of $29.475, subject to a 49.99% beneficial ownership limitation for RSLGH, a 4.99% beneficial ownership limitation for the other holders, and any required approval of stockholders under Nasdaq listing rules.</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01840" cy="69735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1840" cy="6973570"/>
                    </a:xfrm>
                    <a:prstGeom prst="rect">
                      <a:avLst/>
                    </a:prstGeom>
                    <a:noFill/>
                  </pic:spPr>
                </pic:pic>
              </a:graphicData>
            </a:graphic>
          </wp:anchor>
        </w:drawing>
        <w:t>Each Note is a secured obligation and ranks senior to all of our indebtedness except for the other Notes. Each Note accrues interest at a 10.0% annualized rate, with interest to be paid on the first calendar day of each September and March while the Note is outstanding, which may be paid in the form of pre-funded warrants or, in the case of the August 2025 Notes and at the election of the holders of a majority of the August 2025 Notes, cash or common stock, subject to any applicable Nasdaq restrictions. The principal amount of each Note will be payable on its applicable maturity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impose certain customary affirmative and negative covenants upon us. If an event of default under a Note occurs, the holder can elect to redeem the Note for cash equal to the then-outstanding principal amount of the Note (or such lesser principal amount accelerated by the Investor), plus accrued and unpaid interest, including default interest, which accrues at a rate per annum equal to 14% from the date of a default or event of default.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related to our business and operations, please refer to the reports incorporated herein by reference, including our Annual Report on Form 10-K for the year ended December 31, 2024, as described under the caption “Incorporation of Documents by Reference” on page 29 of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RYTHM, Inc. was incorporated in the state of Nevada on June 6, 2016, originally incorporated as Agrinamics, Inc. (or Agrinamics). On September 16, 2019, Agrinamics amended its articles of incorporation to reflect a name change to Agrify Corporation. On September 2, 2025, Agrify Corporation amended its articles of incorporation to reflect a name change to RYTHM, Inc. Our executive offices are located at 2220 Hicks Road, Suite 210, Rolling Meadows, Illinois 60008. Our telephone number at our executive offices is (855) 420-0020. Our website address is </w:t>
      </w:r>
      <w:r>
        <w:rPr>
          <w:rFonts w:ascii="Times New Roman" w:cs="Times New Roman" w:eastAsia="Times New Roman" w:hAnsi="Times New Roman"/>
          <w:sz w:val="18"/>
          <w:szCs w:val="18"/>
          <w:i w:val="1"/>
          <w:iCs w:val="1"/>
          <w:color w:val="auto"/>
        </w:rPr>
        <w:t>www.rythminc.com.</w:t>
      </w:r>
      <w:r>
        <w:rPr>
          <w:rFonts w:ascii="Times New Roman" w:cs="Times New Roman" w:eastAsia="Times New Roman" w:hAnsi="Times New Roman"/>
          <w:sz w:val="18"/>
          <w:szCs w:val="18"/>
          <w:color w:val="auto"/>
        </w:rPr>
        <w:t xml:space="preserve"> Our website and the information contained in, or accessible through, our website will not be deemed to be incorporated by reference into this prospectus and does not constitute part of this prospectus. You should not rely on any such information in making your decision whether to purchase our securities.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website as soon as reasonably practicable after we electronically file such material with, or furnish it to, the SEC.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brand names or trademarks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the market value of our voting and non-voting common stock held by non-affiliates was less than $700 million measured on the last business day of our second fiscal quarter and our annual revenue was less than $100 million during the most recently completed fiscal year prior to such date, we qualify as a “smaller reporting company” as defined in the Securities Exchange Act of 1934, as amended, or the Exchange Act. We may continue to be a smaller reporting company if either (i) the market value of our shares held by non-affiliates is less than $250 million or (ii) the market value of our shares held by non-affiliates is less than $700 million and our annual revenue was less than $100 million during the most recently completed fiscal year prior to the determination date. As a smaller reporting company, we may provide less public disclosure than larger public companies, including the inclusion of only two years of audited financial statements and only two years of related management’s discussion and analysis of financial condition and results of operations disclosure. While we are a smaller reporting company, we are also not required to comply with the auditor attestation requirements of Section 404 of the Sarbanes-Oxley Act as long as we are considered a non-accelerated filer or our annual revenues are less than $100 million. As a result, the information that we provide to our stockholders may be different than you might receive from other public reporting companies in which you hold equity interests. We cannot predict if investors will find our common stock less attractive as a result of our reliance on these exemptions. If some investors find our common stock less attractive as a result of any choice we make to reduce disclosure, there may be a less active trading market for our common stock and the market price for our common stock may be more volatile.</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9"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01840" cy="7247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1840" cy="7247890"/>
                    </a:xfrm>
                    <a:prstGeom prst="rect">
                      <a:avLst/>
                    </a:prstGeom>
                    <a:noFill/>
                  </pic:spPr>
                </pic:pic>
              </a:graphicData>
            </a:graphic>
          </wp:anchor>
        </w:drawing>
        <w:t>The Securities We May Offer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offer shares of our common stock and preferred stock, various series of debt securities, and/or warrants or rights to purchase any of such securities, either individually or as units in combination, up to a total aggregate offering price of $100,000,000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7" w:lineRule="exact"/>
        <w:rPr>
          <w:sz w:val="20"/>
          <w:szCs w:val="20"/>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exchange or sinking fund terms, if any;</w:t>
      </w:r>
    </w:p>
    <w:p>
      <w:pPr>
        <w:spacing w:after="0" w:line="225" w:lineRule="exact"/>
        <w:rPr>
          <w:rFonts w:ascii="Times New Roman" w:cs="Times New Roman" w:eastAsia="Times New Roman" w:hAnsi="Times New Roman"/>
          <w:sz w:val="18"/>
          <w:szCs w:val="18"/>
          <w:color w:val="auto"/>
        </w:rPr>
      </w:pPr>
    </w:p>
    <w:p>
      <w:pPr>
        <w:ind w:left="660" w:hanging="334"/>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161"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United States federal income tax considerations.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176" w:lineRule="exact"/>
        <w:rPr>
          <w:sz w:val="20"/>
          <w:szCs w:val="20"/>
          <w:color w:val="auto"/>
        </w:rPr>
      </w:pPr>
    </w:p>
    <w:p>
      <w:pPr>
        <w:ind w:left="660" w:hanging="334"/>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underwriters or agents;</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60" w:hanging="334"/>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5" w:right="4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described herein and in the documents incorporated by reference in this prospectus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herein and in the documents incorporated herein by reference, including (i) our Annual Report on Form 10-K for the fiscal year ended December 31, 2024, which was filed with the SEC on March 21, 2025 and amended on March 28, 2025, and is incorporated herein by reference, (ii) our Quarterly Reports on Form 10-Q for the fiscal quarters ended March 31, 2025 and June 30, 2025, which were filed with the SEC on May 9, 2025 and August 8, 2025, respectively, and are incorporated herein by reference, and (iii) other documents we file with the SEC that are deemed incorporated by reference into this prospectus.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any applicable prospectus supplement, any related free writing prospectus, and the information incorporated by reference herein and therein contain statements that are not historical facts and are considered forward-looking within the meaning of Section 27A of the Securities Act and Section 21E of the Exchange Act. These forward-looking statements contain projections of our future results of operations or of our financial position or state other forward-looking information. In some cases, you can identify these statements by forward-looking words such as “may,” “will,” “could,” “should,” “would,” “expect,” “intend,” “plan,” “anticipate,” “believe,” “estimate,” “predict,” “project,” “potential,” “continue,” or the negative of such words or other similar words or phrases. We believe that it is important to communicate our future expectations to our investors. However, there may be events in the future that we are not able to accurately predict or control and that may cause our actual results to differ materially from the expectations we describe in our forward-looking statements.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neither promises nor guarantees of future performance due to a variety of risks and uncertainties, many of which are beyond our control, which could cause actual results to differ materially from those indicated by these forward-looking statements, including, without limitation the risk factors and cautionary statements described in other documents that we file from time to time with the SEC, specifically under “Item 1A: Risk Factors” and elsewhere in our most recent Annual Report on Form 10-K, subsequent quarterly reports on Form 10-Q and other filings we make with the SEC pursuant to Section 13(a), 13(c), 14 or 15(d) of the Exchange Act, and the section of any accompanying prospectus supplement entitled “Risk Factors.” Accordingly, there are or will be important factors that could cause actual outcomes or results to differ materially from those indicated in these statements. We believe these factors include, but are not limited to, those described under “Risk Factors” and include, among other things:</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complementary businesses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management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these uncertainties, you should not place undue reliance on these forward-looking statements. These forward-looking statements speak only as of the date on which the statements were made and are not guarantees of future performance. Except as may be required by applicable law, we do not undertake or intend to update any forward-looking statements after the date of this prospectus or the respective dates of documents incorporated by reference herein that include forward-looking statements.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also contains estimates, projections and other information concerning our industry, our business and the markets for our products.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cannot guarantee that we will receive any proceeds in connection with this offering because we may be unable or choose not to issue and sell any securities covered by this prospectus.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provided in a supplement or amendment to this prospectus, we intend to use any net proceeds from this offering, together with other available funds, for working capital and for other general corporate purposes. We may also use a portion of the net proceeds from this offering for acquisitions or strategic investments in complementary businesses or technologies. We do not currently have any plans for any such acquisitions or investments. We have not allocated specific amounts of net proceeds for any of these purposes.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Pending use of the proceeds as described above, we intend to invest the net proceeds of this offering in short-term, investment-grade, interest-bearing instruments and U.S. government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We may find it necessary or advisable to use the net proceeds for other purposes, and we will have broad discretion in the application of the net proceeds and investors will be relying on the judgment of our management regarding the application of the net proceeds from this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our historical and anticipated future growth and our financial needs, we may engage in additional financings of a character and amount that we determine as the need arises. We may raise additional capital through additional public or private financings, the incurrence of debt and other available sources. Please see the discussion of the risks associated with our liquidity in the section “Risk Factors.”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future earnings, if any, and all currently available funds for use in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our current or future financing instruments.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certificate of incorporation, as amended, and amended and restated bylaws, which are exhibits to the registration statement of which this prospectus forms a part, and by applicable law. The terms of our common stock and preferred stock may also be affected by Nevada law.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35,000,000 shares of common stock, par value $0.001 per share, and 3,000,000 shares of preferred stock, par value $0.001 per share. The only equity securities currently outstanding are shares of common stock. As of October 8, 2025, there were 2,002,568 shares of common stock outstanding, warrants outstanding to purchase 7,641,866 shares of our common stock (including 7,601,788 pre-funded warrants), 75 shares of common stock subject to outstanding stock options, 82,000 shares of common stock subject to unvested restricted stock units, and 6,137,882 shares of common stock underlying convertible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common stock are entitled to receive dividends, if any, as may be declared from time to time by our Board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“RYM.” On October 8, 2025, the closing price for our common stock, as reported on The Nasdaq Capital Market was $47.75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Common Stock is Broadridge Corporate Issuer Solutions, Inc., 51 Mercedes Way, Edgewood, New York 11717.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Undesignated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is authorized to issue up to 3,000,000 shares of preferred stock in one or more series without shareholder approval. Our Board may determine the rights, preferences, privileges and restrictions, including voting rights, dividend rights, conversion rights, redemption privileges and liquidation preferences, of each series of preferred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authorizing our Board to issue preferred stock in one or more series and determine the number of shares in the series and its rights and preferences is to eliminate delays associated with a shareholder vote on specific issuances. Examples of rights and preferences that the Board may fix are:</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redemption;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existence of authorized but unissued shares of preferred stock may enable our Board to render more difficult or to discourage an attempt to obtain control of us by means of a merger, tender offer, proxy contest or otherwise. For example, if in the due exercise of its fiduciary obligations, our Board were to determine that a takeover proposal is not in the best interests of us or our stockholders, our Board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incorporate by reference as an exhibit to the registration statement, which includes this prospectus, the form of any certificate of designations that describes the terms of the series of preferred stock we are offering. This description and the applicable prospectus supplement will include:</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have, or be subject to, any preemptive or similar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 and By-laws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stock could render more difficult or discourage an attempt to obtain control of our Company by means of a proxy contest, tender offer, merger, or otherwise.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Anti-takeover Effects of Nevada Law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prior to the date the interested stockholder obtained such status; or the combination is approved by the Board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business combination provisions do not apply to a person after the expiration of four years after the person first became an interested stockholder.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Share Acquisitions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“control share” provisions of Sections 78.378 to 78.3793, inclusive, of the NRS, apply to “issuing corporations” that are Nevada corporations with at least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limit the amount of debt securities that we may issue;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issue debt securities in one or more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require us to issue all of the debt securities of a series at the same time;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reopen a series to issue additional debt securities without the consent of the holders of the debt securities of such series.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supplement for each offering will provide the following terms, where applicable:</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or subordinated;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 of that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debt securities of the series is payable;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another security of ours or the method by which any such portion shall be determined;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debt securities of the series shall bear interest or the manner of calculation of such rate or rates, if any;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debt securities of the series may be redeemed, converted or exchanged, in whole or in part;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653" w:gutter="0" w:footer="0" w:header="0"/>
        </w:sectPr>
      </w:pPr>
    </w:p>
    <w:bookmarkStart w:id="19" w:name="page20"/>
    <w:bookmarkEnd w:id="19"/>
    <w:p>
      <w:pPr>
        <w:jc w:val="both"/>
        <w:ind w:left="328" w:hanging="328"/>
        <w:spacing w:after="0" w:line="261"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or purchase debt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debt securities of the series shall be redeemed or purchased, in whole or in part, pursuant to such obligation;</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 including the form of the Certificate of Authentication for such series;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minimum denominations of one thousand U.S. dollars ($1,000) or any integral multiple of $1,000 thereof, the denominations in which the debt securities of the series shall be issuable;</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debt security or global debt securities; the terms and conditions, if any, upon which such global debt security or global debt securities may be exchanged in whole or in part for other individual debt securities; and the depositary for such global debt security or global debt securities;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convertible into or exchangeable for common stock or other securities of ours or any other Person and, if so,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and the applicable conversion or exchange period;</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 to those set forth in the indenture;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covenants to those set forth in the indenture;</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debt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175" w:lineRule="exact"/>
        <w:rPr>
          <w:rFonts w:ascii="Times New Roman" w:cs="Times New Roman" w:eastAsia="Times New Roman" w:hAnsi="Times New Roman"/>
          <w:sz w:val="18"/>
          <w:szCs w:val="18"/>
          <w:color w:val="auto"/>
        </w:rPr>
      </w:pPr>
    </w:p>
    <w:p>
      <w:pPr>
        <w:jc w:val="both"/>
        <w:ind w:left="328" w:right="20" w:hanging="328"/>
        <w:spacing w:after="0" w:line="266"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(and premium, if any), or interest, if any, on such debt securities is to be payable, at our election or at the election of any holder thereof, in a coin or currency other than that in which such debt securities are stated to be payable, then the period or periods within which, and the terms and conditions upon which, such election may be made;</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debt securities than those set forth in the indenture;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insofar as it applies to such series).</w:t>
      </w:r>
    </w:p>
    <w:p>
      <w:pPr>
        <w:spacing w:after="0" w:line="200" w:lineRule="exact"/>
        <w:rPr>
          <w:sz w:val="20"/>
          <w:szCs w:val="20"/>
          <w:color w:val="auto"/>
        </w:rPr>
      </w:pPr>
    </w:p>
    <w:p>
      <w:pPr>
        <w:spacing w:after="0" w:line="2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monies that we pay to a paying agent or a trustee for the payment of the principal of, and any premium,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62" w:lineRule="exact"/>
        <w:rPr>
          <w:sz w:val="20"/>
          <w:szCs w:val="20"/>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we are the continuing entity, or the successor entity, if other than us, assumes the obligations (a) to pay the principal of, and any premium, and interest on, all of the debt securities and (b) to duly perform and observe all of the covenants and conditions contained in the applicable indenture; and in the event the debt securities are convertible into or exchangeable for common stock or other securities of ours, such successor entity will, by such supplemental indenture, make provision so that the holders of debt securities of that series shall thereafter be entitled to receive upon conversion or exchange of such debt securities the number of securities or property to which a holder of the number of common stock or other securities of ours deliverable upon conversion or exchange of those debt securities would have been entitled had such conversion or exchange occurred immediately prior to such consolidation, merger, sale, conveyance, transfer or other disposition;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legal opinion covering such conditions are delivered to each applicable trustee.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162"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installment of interest on any debt security of such series continuing for 90 days unless such date has been extended or deferred;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or any premium on, any debt security of such series when due and payable unless such date has been extended or deferred;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in the debt securities or in the indenture by us continuing for 90 days after written notice described below;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or reorganization, or court appointment of a receiver, liquidator or trustee of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a particular series of debt securities.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the fourth bullet point above) occurs and is continuing with respect to debt securities of any series outstanding, then the applicable trustee or the holders of 25% or more in principal amount of the debt securities of that series will have the right to declare the principal amount of, and accrued interest on, all the debt securities of that series to be due and payable. If an event of default described in the fourth bullet point above occurs, the principal amount of, and accrued interest on, all the debt securities of that series will automatically become and will be immediately due and payable without any declaration or other act on the part of the trustee or the holders of the debt securities.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92" w:lineRule="exact"/>
        <w:rPr>
          <w:sz w:val="20"/>
          <w:szCs w:val="20"/>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deposited with the applicable trustee all required payments of the principal, any premium, interest and, to the extent permitted by law, interest on overdue installment of interest, plus applicable fees, expenses, disbursements and advances of the applicable trustee;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the non-payment of accelerated principal, or a specified portion thereof, and any premium, have been cured or waived.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and interest on, such debt securities at the respective due dates thereof.</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8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conflict with any law or the applicable indenture;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involve the trustee in personal liability;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unduly prejudicial to the holders of debt securities of the series not joining the proceeding.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exceptions, the indentures may be amended with the consent of the holders of a majority in aggregate principal amount of the outstanding debt securities of all series affected by such amendment (including consents obtained in connection with a tender offer or exchange for the debt securities of such series).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the applicable trustee may make modifications and amendments of an indenture without the consent of any holder of debt securities for any of the following purposes:</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applicable indenture or in the Securities of any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covenant described above under “—Merger, Consolidation or Sale of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events of default for the benefit of the holders of all or any series of debt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applicable indenture conferred upon us;</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applicable indenture;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notes under the applicable indenture in any material respect;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in the applicable indenture, to establish the form of any certifications required to be furnished pursuant to the terms of the applicable indenture or any series of debt securities under the applicable indenture, or to add to the rights of the holders of any series of debt securities;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applicable indenture by a successor trustee or to appoint a separate trustee with respect to any series;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or any successor in connection with the qualification of the indenture under the Trust Indenture Act of 1939, as amended, or the Trust Indenture Act;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applicable indenture to this “—Description of Debt Securities” or any other similarly titled section in any prospectus supplement or other offering document relating to a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Payment by us of the principal of, premium, if any, and interest on any series of subordinated debt securities issued under the subordinated indenture will be subordinated to the extent set forth in an indenture supplemental to the subordinated indenture relating to such series.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162" w:lineRule="exact"/>
        <w:rPr>
          <w:sz w:val="20"/>
          <w:szCs w:val="20"/>
          <w:color w:val="auto"/>
        </w:rPr>
      </w:pPr>
    </w:p>
    <w:p>
      <w:pPr>
        <w:jc w:val="both"/>
        <w:ind w:left="660" w:hanging="328"/>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or governmental obligations in an amount sufficient to pay the entire indebtedness on such debt securities in respect of principal and any premium, and interest to the date of such deposit if such debt securities have become due and payable or, if they have not, to the stated maturity or redemption date; or</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otherwise provided in the applicable prospectus supplement, the indentures provide that, upon our irrevocable deposit with the applicable trustee, in trust, of an amount, in such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80" w:lineRule="exact"/>
        <w:rPr>
          <w:sz w:val="20"/>
          <w:szCs w:val="20"/>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the financial and other specific terms of a particular series of units will be described in the applicable prospectus supplement.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without Consent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including modifying any provisions of the governing unit agreement that differ from those described below;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with Consent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162"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225"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Agreements Will Not Be Qualified under Trust Indenture Act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Mergers and Similar Transactions Permitted; No Restrictive Covenants or Events of Default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Nevada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 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176" w:lineRule="exact"/>
        <w:rPr>
          <w:sz w:val="20"/>
          <w:szCs w:val="20"/>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and Notices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and any accompanying prospectus supplement, if required, in any of the following ways: (i) to or through underwriters or dealers, (ii) directly to purchasers, including our affiliates, (iii) through agents, (iv) in an “at the market offering,” within the meaning of Rule 415(a)(4) of the Securities Act or (v) through a combination of any of these methods or any other method permitted by law. The securities may be distributed at a fixed price or prices, which may be changed, market prices prevailing at the time of sale, prices related to the prevailing market prices, or negotiated prices, either:</w:t>
      </w:r>
    </w:p>
    <w:p>
      <w:pPr>
        <w:spacing w:after="0" w:line="183"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The Nasdaq Capital Market or any other securities exchange or quotation or trading service on which such securities may be listed, quoted or traded at the time of sale; and/or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otherwise than on The Nasdaq Capital Market or such other securities exchanges or quotation or trading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7" w:lineRule="exact"/>
        <w:rPr>
          <w:sz w:val="20"/>
          <w:szCs w:val="20"/>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(“FINRA”).</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underwriters, dealers and agents may engage in transactions with us, or perform services for us, in the ordinary course of business for which they receive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anticipated date of delivery of offered securities will be set forth in the applicable prospectus supplement relating to each offer.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by this prospectus, and any supplement thereto, will be passed upon for us by Fennemore Craig P.C., Las Vegas, Nevada. Blank Rome LLP has acted as securities counsel to RYTHM, Inc. In connection with particular offerings of securities in the future, and if stated in the applicable prospectus supplement, Blank Rome LLP, Boston, Massachusetts may pass upon certain legal matters relating to the debt securities, warrants and units offered thereby. Additional legal matters may be passed upon for us or any underwriters, dealers or agents, by counsel that we will name in the applicable prospectus supplement.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balance sheet of Agrify Corporation (now known as RYTHM, Inc.) and subsidiaries as of December 31, 2024, and the related consolidated statements of operations, stockholders’ equity (deficit), and cash flows for the year then ended, the retrospective adjustments to our 2024 consolidated financial statements described in Note 6 thereto and the retrospective adjustments to our 2023 consolidated financial statements described in Notes 1 and 6 thereto, have been audited by GuzmanGray, our independent registered public accounting firm, as stated in their report which is incorporated by reference in this prospectus and elsewhere in the registration statement. Such financial statements have been included herein in reliance on the report of such firm given upon their authority as experts in accounting and auditing.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balance sheets of Double or Nothing LLC as of December 31, 2023 and 2022, and the related statements of operations, changes in members’ equity, and cash flows for the years then ended, have been audited by GuzmanGray, our independent registered public accounting firm, as stated in their report which is incorporated by reference in this prospectus and elsewhere in the registration statement. Such financial statements have been included herein in reliance on the report of such firm given upon their authority as experts in accounting and auditing.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balance sheet of RYTHM, Inc. (formerly Agrify Corporation) and subsidiaries as of December 31, 2023, and the related consolidated statements of operations, stockholders’ equity (deficit), and cash flows for the year then ended, excluding the retrospective adjustments described in Notes 1 and 6 thereto, have been audited by Marcum LLP, our former independent registered public accounting firm, as stated in their report which is incorporated by reference in this prospectus and elsewhere in the registration statement, which includes an explanatory paragraph relating to our ability to continue as a going concern. Such financial statements have been included herein in reliance on the report of such firm given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Our SEC filings are also available on our website, </w:t>
      </w:r>
      <w:r>
        <w:rPr>
          <w:rFonts w:ascii="Times New Roman" w:cs="Times New Roman" w:eastAsia="Times New Roman" w:hAnsi="Times New Roman"/>
          <w:sz w:val="18"/>
          <w:szCs w:val="18"/>
          <w:i w:val="1"/>
          <w:iCs w:val="1"/>
          <w:color w:val="auto"/>
        </w:rPr>
        <w:t>ir.rythminc.com</w:t>
      </w:r>
      <w:r>
        <w:rPr>
          <w:rFonts w:ascii="Times New Roman" w:cs="Times New Roman" w:eastAsia="Times New Roman" w:hAnsi="Times New Roman"/>
          <w:sz w:val="18"/>
          <w:szCs w:val="18"/>
          <w:color w:val="auto"/>
        </w:rPr>
        <w:t xml:space="preserve"> under the heading “SEC Filings.” The reference to our website is an inactive textual reference only, the information contained in, and that can be accessed through our website, is not incorporated into and is not a part of this prospectus. We make available on our website our SEC filings as soon as reasonably practicable after those reports are filed with the SEC.</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188" w:lineRule="exact"/>
        <w:rPr>
          <w:sz w:val="20"/>
          <w:szCs w:val="20"/>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2024, filed with the SEC on </w:t>
      </w:r>
      <w:hyperlink r:id="rId52">
        <w:r>
          <w:rPr>
            <w:rFonts w:ascii="Times New Roman" w:cs="Times New Roman" w:eastAsia="Times New Roman" w:hAnsi="Times New Roman"/>
            <w:sz w:val="18"/>
            <w:szCs w:val="18"/>
            <w:u w:val="single" w:color="auto"/>
            <w:color w:val="0000EE"/>
          </w:rPr>
          <w:t>March 21,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the amendment thereto filed with the SEC on </w:t>
      </w:r>
      <w:hyperlink r:id="rId53">
        <w:r>
          <w:rPr>
            <w:rFonts w:ascii="Times New Roman" w:cs="Times New Roman" w:eastAsia="Times New Roman" w:hAnsi="Times New Roman"/>
            <w:sz w:val="18"/>
            <w:szCs w:val="18"/>
            <w:u w:val="single" w:color="auto"/>
            <w:color w:val="0000EE"/>
          </w:rPr>
          <w:t>March 28,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(Items 7 and 8 from such Annual Report have been recast to retrospectively reflect discontinued operations as reflected in the Current Report on Form 8-K filed with the SEC on </w:t>
      </w:r>
      <w:hyperlink r:id="rId54">
        <w:r>
          <w:rPr>
            <w:rFonts w:ascii="Times New Roman" w:cs="Times New Roman" w:eastAsia="Times New Roman" w:hAnsi="Times New Roman"/>
            <w:sz w:val="18"/>
            <w:szCs w:val="18"/>
            <w:u w:val="single" w:color="auto"/>
            <w:color w:val="0000EE"/>
          </w:rPr>
          <w:t>October 8, 2025</w:t>
        </w:r>
      </w:hyperlink>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5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2024 from our definitive proxy statement on </w:t>
      </w:r>
      <w:hyperlink r:id="rId55">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filed with the SEC on April 30,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 ended March 31, 2025, filed with the SEC on </w:t>
      </w:r>
      <w:hyperlink r:id="rId56">
        <w:r>
          <w:rPr>
            <w:rFonts w:ascii="Times New Roman" w:cs="Times New Roman" w:eastAsia="Times New Roman" w:hAnsi="Times New Roman"/>
            <w:sz w:val="18"/>
            <w:szCs w:val="18"/>
            <w:u w:val="single" w:color="auto"/>
            <w:color w:val="0000EE"/>
          </w:rPr>
          <w:t>May 9,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for the quarter ended June 30, 2025, filed with the SEC on </w:t>
      </w:r>
      <w:hyperlink r:id="rId57">
        <w:r>
          <w:rPr>
            <w:rFonts w:ascii="Times New Roman" w:cs="Times New Roman" w:eastAsia="Times New Roman" w:hAnsi="Times New Roman"/>
            <w:sz w:val="18"/>
            <w:szCs w:val="18"/>
            <w:u w:val="single" w:color="auto"/>
            <w:color w:val="0000EE"/>
          </w:rPr>
          <w:t>August 8, 2025</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December 16, 2024</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February 25,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7,</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9">
        <w:r>
          <w:rPr>
            <w:rFonts w:ascii="Times New Roman" w:cs="Times New Roman" w:eastAsia="Times New Roman" w:hAnsi="Times New Roman"/>
            <w:sz w:val="18"/>
            <w:szCs w:val="18"/>
            <w:u w:val="single" w:color="auto"/>
            <w:color w:val="0000EE"/>
          </w:rPr>
          <w:t>February 5, 2025</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0">
        <w:r>
          <w:rPr>
            <w:rFonts w:ascii="Times New Roman" w:cs="Times New Roman" w:eastAsia="Times New Roman" w:hAnsi="Times New Roman"/>
            <w:sz w:val="18"/>
            <w:szCs w:val="18"/>
            <w:u w:val="single" w:color="auto"/>
            <w:color w:val="0000EE"/>
          </w:rPr>
          <w:t>March 21, 2025</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1">
        <w:r>
          <w:rPr>
            <w:rFonts w:ascii="Times New Roman" w:cs="Times New Roman" w:eastAsia="Times New Roman" w:hAnsi="Times New Roman"/>
            <w:sz w:val="18"/>
            <w:szCs w:val="18"/>
            <w:u w:val="single" w:color="auto"/>
            <w:color w:val="0000EE"/>
          </w:rPr>
          <w:t>March 31, 2025</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2">
        <w:r>
          <w:rPr>
            <w:rFonts w:ascii="Times New Roman" w:cs="Times New Roman" w:eastAsia="Times New Roman" w:hAnsi="Times New Roman"/>
            <w:sz w:val="18"/>
            <w:szCs w:val="18"/>
            <w:u w:val="single" w:color="auto"/>
            <w:color w:val="0000EE"/>
          </w:rPr>
          <w:t>May 22, 2025</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3">
        <w:r>
          <w:rPr>
            <w:rFonts w:ascii="Times New Roman" w:cs="Times New Roman" w:eastAsia="Times New Roman" w:hAnsi="Times New Roman"/>
            <w:sz w:val="18"/>
            <w:szCs w:val="18"/>
            <w:u w:val="single" w:color="auto"/>
            <w:color w:val="0000EE"/>
          </w:rPr>
          <w:t>June 13, 2025</w:t>
        </w:r>
      </w:hyperlink>
      <w:hyperlink r:id="rId5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4">
        <w:r>
          <w:rPr>
            <w:rFonts w:ascii="Times New Roman" w:cs="Times New Roman" w:eastAsia="Times New Roman" w:hAnsi="Times New Roman"/>
            <w:sz w:val="18"/>
            <w:szCs w:val="18"/>
            <w:u w:val="single" w:color="auto"/>
            <w:color w:val="0000EE"/>
          </w:rPr>
          <w:t xml:space="preserve">August 27, 2025 </w:t>
        </w:r>
      </w:hyperlink>
      <w:hyperlink r:id="rId58">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4">
        <w:r>
          <w:rPr>
            <w:rFonts w:ascii="Times New Roman" w:cs="Times New Roman" w:eastAsia="Times New Roman" w:hAnsi="Times New Roman"/>
            <w:sz w:val="18"/>
            <w:szCs w:val="18"/>
            <w:u w:val="single" w:color="auto"/>
            <w:color w:val="0000EE"/>
          </w:rPr>
          <w:t>October 8, 2025</w:t>
        </w:r>
      </w:hyperlink>
      <w:hyperlink r:id="rId58">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65">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w:t>
      </w:r>
      <w:hyperlink r:id="rId6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2020, filed with the SEC on April 2, 2021, including any amendments or reports filed for the purposes of updating this description.</w:t>
      </w:r>
    </w:p>
    <w:p>
      <w:pPr>
        <w:spacing w:after="0" w:line="162" w:lineRule="exact"/>
        <w:rPr>
          <w:rFonts w:ascii="Times New Roman" w:cs="Times New Roman" w:eastAsia="Times New Roman" w:hAnsi="Times New Roman"/>
          <w:sz w:val="18"/>
          <w:szCs w:val="18"/>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62" w:lineRule="exact"/>
        <w:rPr>
          <w:rFonts w:ascii="Times New Roman" w:cs="Times New Roman" w:eastAsia="Times New Roman" w:hAnsi="Times New Roman"/>
          <w:sz w:val="18"/>
          <w:szCs w:val="18"/>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RYTHM,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2220 Hicks Road, Suite 210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Rolling Meadows, Illinois 60008</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420-0020</w:t>
      </w:r>
    </w:p>
    <w:p>
      <w:pPr>
        <w:spacing w:after="0" w:line="9" w:lineRule="exact"/>
        <w:rPr>
          <w:rFonts w:ascii="Times New Roman" w:cs="Times New Roman" w:eastAsia="Times New Roman" w:hAnsi="Times New Roman"/>
          <w:sz w:val="18"/>
          <w:szCs w:val="18"/>
          <w:color w:val="auto"/>
        </w:rPr>
      </w:pPr>
    </w:p>
    <w:p>
      <w:pPr>
        <w:ind w:left="4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Corporate Secretary</w:t>
      </w:r>
    </w:p>
    <w:p>
      <w:pPr>
        <w:spacing w:after="0" w:line="207"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of 1933, as amended,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7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38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15862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713232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18"/>
          <w:szCs w:val="18"/>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431165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457200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902970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ind w:left="3140"/>
        <w:spacing w:after="0"/>
        <w:rPr>
          <w:sz w:val="20"/>
          <w:szCs w:val="20"/>
          <w:color w:val="auto"/>
        </w:rPr>
      </w:pPr>
      <w:r>
        <w:rPr>
          <w:rFonts w:ascii="Times New Roman" w:cs="Times New Roman" w:eastAsia="Times New Roman" w:hAnsi="Times New Roman"/>
          <w:sz w:val="18"/>
          <w:szCs w:val="18"/>
          <w:b w:val="1"/>
          <w:bCs w:val="1"/>
          <w:color w:val="auto"/>
        </w:rPr>
        <w:t>Part II—INFORMATION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expenses payable by RYTHM, Inc. (the “Registrant” or the “Company”) in connection with the issuance and distribution of the securities being registered (other than underwriting discounts and commissions, if any) are set forth below. Each item listed is estimated, except for the SEC registration fee.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13,810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and trustee fees</w:t>
            </w: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29,310</w:t>
            </w: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   Estimated expenses not presently known.</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current directors and executive officers. These agreements require us to indemnify these individuals to the fullest extent permitted under Nevada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Nevada corporation and generally governed by the Nevada Private Corporations Code, Title 78 of the Nevada Revised Statutes, or NRS.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Discretionary indemnification pursuant to Section 78.7502 may be made as authorized upon determination that the indemnification is proper under the circumstances. Such determination may be made by (i) 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 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filed with this registration statement on Form S-3 is set forth on the Exhibit Index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1140" w:hanging="251"/>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660" w:hanging="220"/>
        <w:spacing w:after="0"/>
        <w:tabs>
          <w:tab w:leader="none" w:pos="16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firstLine="1440"/>
        <w:spacing w:after="0" w:line="255" w:lineRule="auto"/>
        <w:tabs>
          <w:tab w:leader="none" w:pos="16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jc w:val="both"/>
        <w:ind w:firstLine="1440"/>
        <w:spacing w:after="0" w:line="258" w:lineRule="auto"/>
        <w:tabs>
          <w:tab w:leader="none" w:pos="174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(a)(l)(i), (a)(l)(ii) and (a)(l)(iii) of this section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3" w:lineRule="exact"/>
        <w:rPr>
          <w:rFonts w:ascii="Times New Roman" w:cs="Times New Roman" w:eastAsia="Times New Roman" w:hAnsi="Times New Roman"/>
          <w:sz w:val="18"/>
          <w:szCs w:val="18"/>
          <w:color w:val="auto"/>
        </w:rPr>
      </w:pPr>
    </w:p>
    <w:p>
      <w:pPr>
        <w:jc w:val="both"/>
        <w:ind w:firstLine="889"/>
        <w:spacing w:after="0" w:line="266" w:lineRule="auto"/>
        <w:tabs>
          <w:tab w:leader="none" w:pos="11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889"/>
        <w:spacing w:after="0" w:line="282" w:lineRule="auto"/>
        <w:tabs>
          <w:tab w:leader="none" w:pos="11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firstLine="1440"/>
        <w:spacing w:after="0" w:line="282" w:lineRule="auto"/>
        <w:tabs>
          <w:tab w:leader="none" w:pos="16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firstLine="1440"/>
        <w:spacing w:after="0" w:line="253" w:lineRule="auto"/>
        <w:tabs>
          <w:tab w:leader="none" w:pos="171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415(a)(l)(i),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ind w:firstLine="889"/>
        <w:spacing w:after="0" w:line="258" w:lineRule="auto"/>
        <w:tabs>
          <w:tab w:leader="none" w:pos="113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680" w:hanging="240"/>
        <w:spacing w:after="0"/>
        <w:tabs>
          <w:tab w:leader="none" w:pos="16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w:t>
      </w:r>
    </w:p>
    <w:p>
      <w:pPr>
        <w:spacing w:after="0" w:line="206" w:lineRule="exact"/>
        <w:rPr>
          <w:rFonts w:ascii="Times New Roman" w:cs="Times New Roman" w:eastAsia="Times New Roman" w:hAnsi="Times New Roman"/>
          <w:sz w:val="18"/>
          <w:szCs w:val="18"/>
          <w:color w:val="auto"/>
        </w:rPr>
      </w:pPr>
    </w:p>
    <w:p>
      <w:pPr>
        <w:ind w:firstLine="1440"/>
        <w:spacing w:after="0" w:line="282" w:lineRule="auto"/>
        <w:tabs>
          <w:tab w:leader="none" w:pos="1693"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firstLine="1440"/>
        <w:spacing w:after="0" w:line="282" w:lineRule="auto"/>
        <w:tabs>
          <w:tab w:leader="none" w:pos="176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740" w:hanging="300"/>
        <w:spacing w:after="0"/>
        <w:tabs>
          <w:tab w:leader="none" w:pos="17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firstLine="889"/>
        <w:spacing w:after="0" w:line="258" w:lineRule="auto"/>
        <w:tabs>
          <w:tab w:leader="none" w:pos="11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and</w:t>
      </w:r>
    </w:p>
    <w:p>
      <w:pPr>
        <w:spacing w:after="0" w:line="183" w:lineRule="exact"/>
        <w:rPr>
          <w:rFonts w:ascii="Times New Roman" w:cs="Times New Roman" w:eastAsia="Times New Roman" w:hAnsi="Times New Roman"/>
          <w:sz w:val="18"/>
          <w:szCs w:val="18"/>
          <w:color w:val="auto"/>
        </w:rPr>
      </w:pPr>
    </w:p>
    <w:p>
      <w:pPr>
        <w:jc w:val="both"/>
        <w:ind w:firstLine="889"/>
        <w:spacing w:after="0" w:line="266" w:lineRule="auto"/>
        <w:tabs>
          <w:tab w:leader="none" w:pos="113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jc w:val="both"/>
        <w:ind w:right="20" w:firstLine="889"/>
        <w:spacing w:after="0" w:line="266" w:lineRule="auto"/>
        <w:tabs>
          <w:tab w:leader="none" w:pos="11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firstLine="889"/>
        <w:spacing w:after="0" w:line="282" w:lineRule="auto"/>
        <w:tabs>
          <w:tab w:leader="none" w:pos="11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62" w:lineRule="exact"/>
        <w:rPr>
          <w:sz w:val="20"/>
          <w:szCs w:val="20"/>
          <w:color w:val="auto"/>
        </w:rPr>
      </w:pPr>
    </w:p>
    <w:p>
      <w:pPr>
        <w:jc w:val="both"/>
        <w:ind w:firstLine="926"/>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Rolling Hills, State of Illinois, on October 8, 2025.</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Benjamin Kovler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Interim Chief Executive Officer</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BE THESE PRESENTS, that each person whose signature appears below hereby constitutes and appoints each of Benjamin Kovler and Brad Asher as such person’s true and lawful attorney-in-fact and agent, with full power of substitution and resubstitution, for such person and in such person’s name, place and stead, in any and all capacities, to sign any or all amendments (including, without limitation,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said attorney-in-fact and agent, or any substitute or substitutes of them, may lawfully do or cause to be done by virtue hereof.</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40" w:type="dxa"/>
            <w:vAlign w:val="bottom"/>
          </w:tcPr>
          <w:p>
            <w:pPr>
              <w:spacing w:after="0"/>
              <w:rPr>
                <w:sz w:val="21"/>
                <w:szCs w:val="21"/>
                <w:color w:val="auto"/>
              </w:rPr>
            </w:pPr>
          </w:p>
        </w:tc>
        <w:tc>
          <w:tcPr>
            <w:tcW w:w="482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Chairman and Interim Chief Executive Officer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8, 2025</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Benjamin Kovler</w:t>
            </w:r>
          </w:p>
        </w:tc>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Asher</w:t>
            </w:r>
          </w:p>
        </w:tc>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8, 2025</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Brad Asher</w:t>
            </w:r>
          </w:p>
        </w:tc>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Max Holtzman</w:t>
            </w:r>
          </w:p>
        </w:tc>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8, 2025</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1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Mahoney</w:t>
            </w:r>
          </w:p>
        </w:tc>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8, 2025</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Shapiro</w:t>
            </w:r>
          </w:p>
        </w:tc>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8, 2025</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Peter Shapiro</w:t>
            </w:r>
          </w:p>
        </w:tc>
        <w:tc>
          <w:tcPr>
            <w:tcW w:w="1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Sanjay Tolia</w:t>
            </w:r>
          </w:p>
        </w:tc>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8, 2025</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Sanjay Tolia</w:t>
            </w:r>
          </w:p>
        </w:tc>
        <w:tc>
          <w:tcPr>
            <w:tcW w:w="1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Armon Vakili</w:t>
            </w:r>
          </w:p>
        </w:tc>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8, 2025</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Armon Vakili</w:t>
            </w:r>
          </w:p>
        </w:tc>
        <w:tc>
          <w:tcPr>
            <w:tcW w:w="1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Krishnan Varier</w:t>
            </w:r>
          </w:p>
        </w:tc>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8, 2025</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4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40" w:type="dxa"/>
            <w:vAlign w:val="bottom"/>
            <w:gridSpan w:val="12"/>
          </w:tcPr>
          <w:p>
            <w:pPr>
              <w:ind w:left="11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40" w:type="dxa"/>
            <w:vAlign w:val="bottom"/>
            <w:gridSpan w:val="12"/>
          </w:tcPr>
          <w:p>
            <w:pPr>
              <w:ind w:left="19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Asset Purchase Agreement, dated as of December 12, 2024, among the Registrant, Double or Nothing LLC, Joel Gott, and Charles Bieler</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(incorporated by reference to Exhibit 2.1 to the Registrant’s Current Report on Form 8-K filed with the Securities and Exchange</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Commission on December 16,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Articles of Incorporation of the Registrant, as amended (incorporated by reference to Exhibit 3.1 to the Registrant’s Amendment No. 1 to</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Registration Statement on Form S-1 filed with the Securities and Exchange Commission on January 13,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Certificate of Amendment to the Articles of Incorporation of the Registrant, filed July 11, 2022 (incorporated by reference to Exhibit 3.1 to</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the Registrant’s Current Report on Form 8-K filed with the Securities and Exchange Commission on July 14,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Certificate of Amendment to the Articles of Incorporation of the Registrant, filed October 17, 2022 (incorporated by reference to Exhibit</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Current Report on Form 8-K filed with the Securities and Exchange Commission on October 17,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Certificate of Amendment to the Articles of Incorporation of the Registrant, filed March 1, 2023 (incorporated by reference to Exhibit 3.1</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to the Registrant’s Current Report filed with the Securities and Exchange Commission on March 3, 2023)</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Certificate of Change to Articles of Incorporation of the Registrant, filed June 30, 2023 (incorporated by reference to Exhibit 3.1 to the</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Registrant’s Current Report on Form 8-K filed with the Securities and Exchange Commission on July 3, 2023)</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Certificate of Amendment to the Articles of Incorporation of the Registrant, filed January 22, 2024 (incorporated by reference to Exhibit 3.1</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to the Registrant’s Current Report on Form 8-K filed with the Securities and Exchange Commission on January 25,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Articles of Amendment to Articles of Incorporation of the Registrant, filed October 3, 2024 (incorporated by reference to Exhibit 3.1 to the</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Registrant’s Current Report on Form 8-K filed with the Securities and Exchange Commission on October 4,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Articles of Amendment to Articles of Incorporation of the Registrant, filed August 27, 2025 (incorporated by reference to Exhibit 3.1 to the</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Registrant’s Current Report on Form 8-K filed with the Securities and Exchange Commission on August 27,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Third Amended and Restated Bylaws of the Registrant (incorporated by reference to Exhibit 3.2 to Registrant’s Current Report on Form 8-</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K filed with the Securities and Exchange Commission on August 27,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Third Amended and Restated Certificate of Designations of the Series A Convertible Preferred Stock of the Registrant (incorporated by</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40" w:type="dxa"/>
            <w:vAlign w:val="bottom"/>
            <w:tcBorders>
              <w:right w:val="single" w:sz="8" w:color="CCEEFF"/>
            </w:tcBorders>
            <w:gridSpan w:val="9"/>
            <w:shd w:val="clear" w:color="auto" w:fill="0000EE"/>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reference to Exhibit 3.2 to the Registrant’s Amendment No. 1 to Registration Statement on Form S-1 filed with the Securities and Exchange</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Commission on January 13,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indenture for senior debt securities and the related form of senior debt security</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7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indenture for subordinated debt securities and the related form of subordinated debt security</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76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any certificate of designation with respect to any preferred stock issued hereunder and the related form of preferred stock</w:t>
            </w:r>
          </w:p>
        </w:tc>
      </w:tr>
      <w:tr>
        <w:trPr>
          <w:trHeight w:val="234"/>
        </w:trPr>
        <w:tc>
          <w:tcPr>
            <w:tcW w:w="1140" w:type="dxa"/>
            <w:vAlign w:val="bottom"/>
            <w:shd w:val="clear" w:color="auto" w:fill="CCEEFF"/>
          </w:tcPr>
          <w:p>
            <w:pPr>
              <w:spacing w:after="0"/>
              <w:rPr>
                <w:sz w:val="20"/>
                <w:szCs w:val="20"/>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w:t>
            </w:r>
          </w:p>
        </w:tc>
      </w:tr>
      <w:tr>
        <w:trPr>
          <w:trHeight w:val="216"/>
        </w:trPr>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any warrant agreement with respect to each particular series of warrants issued hereunder</w:t>
            </w:r>
          </w:p>
        </w:tc>
      </w:tr>
      <w:tr>
        <w:trPr>
          <w:trHeight w:val="216"/>
        </w:trPr>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any unit agreement with respect to any unit issued hereunder</w:t>
            </w:r>
          </w:p>
        </w:tc>
      </w:tr>
      <w:tr>
        <w:trPr>
          <w:trHeight w:val="216"/>
        </w:trPr>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10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Description of Registrant’s Securities (incorporated by reference to Exhibit 4.5 to the Registrant’s Annual Report on Form 10-K filed with</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the Securities and Exchange Commission on April 2,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Fennemore Craig, P.C.</w:t>
            </w:r>
          </w:p>
        </w:tc>
      </w:tr>
      <w:tr>
        <w:trPr>
          <w:trHeight w:val="216"/>
        </w:trPr>
        <w:tc>
          <w:tcPr>
            <w:tcW w:w="114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Blank Rome LLP</w:t>
            </w:r>
          </w:p>
        </w:tc>
      </w:tr>
      <w:tr>
        <w:trPr>
          <w:trHeight w:val="216"/>
        </w:trPr>
        <w:tc>
          <w:tcPr>
            <w:tcW w:w="114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Consents of GuzmanGray, Independent Registered Public Accounting Firm</w:t>
            </w:r>
          </w:p>
        </w:tc>
      </w:tr>
      <w:tr>
        <w:trPr>
          <w:trHeight w:val="216"/>
        </w:trPr>
        <w:tc>
          <w:tcPr>
            <w:tcW w:w="114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Marcum LLP, Independent Registered Public Accounting Firm</w:t>
            </w:r>
          </w:p>
        </w:tc>
      </w:tr>
      <w:tr>
        <w:trPr>
          <w:trHeight w:val="216"/>
        </w:trPr>
        <w:tc>
          <w:tcPr>
            <w:tcW w:w="114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Fennemore Craig, P.C. (included in Exhibit 5.1)</w:t>
            </w:r>
          </w:p>
        </w:tc>
      </w:tr>
      <w:tr>
        <w:trPr>
          <w:trHeight w:val="216"/>
        </w:trPr>
        <w:tc>
          <w:tcPr>
            <w:tcW w:w="114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Blank Rome LLP (included in Exhibit 5.2)</w:t>
            </w:r>
          </w:p>
        </w:tc>
      </w:tr>
      <w:tr>
        <w:trPr>
          <w:trHeight w:val="216"/>
        </w:trPr>
        <w:tc>
          <w:tcPr>
            <w:tcW w:w="114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1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in signature page)</w:t>
            </w:r>
          </w:p>
        </w:tc>
      </w:tr>
      <w:tr>
        <w:trPr>
          <w:trHeight w:val="216"/>
        </w:trPr>
        <w:tc>
          <w:tcPr>
            <w:tcW w:w="1140" w:type="dxa"/>
            <w:vAlign w:val="bottom"/>
            <w:tcBorders>
              <w:top w:val="single" w:sz="8" w:color="CCEEFF"/>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25.1**</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for senior indenture under the Trust Indenture Act of 1939</w:t>
            </w:r>
          </w:p>
        </w:tc>
      </w:tr>
      <w:tr>
        <w:trPr>
          <w:trHeight w:val="216"/>
        </w:trPr>
        <w:tc>
          <w:tcPr>
            <w:tcW w:w="1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25.2**</w:t>
            </w: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T-1 Statement of Eligibility of Trustee for subordinated indenture under the Trust Indenture Act of 1939</w:t>
            </w:r>
          </w:p>
        </w:tc>
      </w:tr>
    </w:tbl>
    <w:p>
      <w:pPr>
        <w:spacing w:after="0" w:line="198" w:lineRule="exact"/>
        <w:rPr>
          <w:sz w:val="20"/>
          <w:szCs w:val="20"/>
          <w:color w:val="auto"/>
        </w:rPr>
      </w:pPr>
    </w:p>
    <w:p>
      <w:pPr>
        <w:ind w:left="1140" w:hanging="1132"/>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Calculation of Filing Fees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if necessary, by amendment or as an exhibit to a document to be incorporated or deemed to be incorporated by reference in this registration statement, including a Current Report on Form 8-K.</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To be filed by amendment pursuant to Section 305(b)(2) of the Trust Indenture Act of 1939.</w:t>
      </w:r>
    </w:p>
    <w:p>
      <w:pPr>
        <w:spacing w:after="0" w:line="22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or similar attachments have been omitted from this exhibit in reliance upon Item 601(a)(5) of Regulation S-K.</w:t>
      </w:r>
    </w:p>
    <w:p>
      <w:pPr>
        <w:spacing w:after="0" w:line="225"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pursuant to Item 601(b)(2)(ii) of Regulation S-K because the identified confidential portions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are not material and (ii) are customarily and actually treated as private or confidential by 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tbl>
      <w:tblPr>
        <w:tblLayout w:type="fixed"/>
        <w:tblInd w:w="358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DATED AS OF</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w:t>
            </w:r>
          </w:p>
        </w:tc>
      </w:tr>
    </w:tbl>
    <w:p>
      <w:pPr>
        <w:spacing w:after="0" w:line="19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996950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81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TABLE OF CONTENTS</w:t>
            </w:r>
          </w:p>
        </w:tc>
        <w:tc>
          <w:tcPr>
            <w:tcW w:w="900" w:type="dxa"/>
            <w:vAlign w:val="bottom"/>
          </w:tcPr>
          <w:p>
            <w:pPr>
              <w:spacing w:after="0"/>
              <w:rPr>
                <w:sz w:val="20"/>
                <w:szCs w:val="20"/>
                <w:color w:val="auto"/>
              </w:rPr>
            </w:pPr>
          </w:p>
        </w:tc>
      </w:tr>
      <w:tr>
        <w:trPr>
          <w:trHeight w:val="439"/>
        </w:trPr>
        <w:tc>
          <w:tcPr>
            <w:tcW w:w="22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22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One. - DEFINITIONS AND OTHER PROVISIONS OF GENERAL APPLICATION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101. Definitions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102. Compliance Certificates and Opinions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103. Form of Documents Delivered to Trustee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104. Acts of Holders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105. Notices, etc., to Trustee and Company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106. Notice to Holders; Waiver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107. Counterparts; Effect of Headings and Table of Contents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108. Successors and Assigns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109. Severability Clause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110. Benefits of Indenture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111. Governing Law</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112. Legal Holidays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2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113.</w:t>
            </w: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Limited Liability; Immunity of Stockholders, Directors, Officers and Agents of the Company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114. Conflict with Trust Indenture Act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Two. - SECURITIES FORMS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201. Forms of Securities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2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202.</w:t>
            </w: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Trustee’s Certificate of Authentication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203. Securities Issuable in Global Form</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Three. - THE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301. Amount Unlimited; Issuable in Series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302. Denominations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303. Execution, Authentication, Delivery and Dating</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304. Temporary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22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305.</w:t>
            </w:r>
          </w:p>
        </w:tc>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Registration; Registration of Transfer; Conversion and Exchange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22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306.</w:t>
            </w: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2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307.</w:t>
            </w:r>
          </w:p>
        </w:tc>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Interest; Interest Rights Preserved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308. Persons Deemed Owners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309. Cancellation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310. Computation of Interest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311. CUSIP Numbers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Four. - SATISFACTION AND DISCHARGE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401. Satisfaction and Discharge of Indenture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402. Application of Trust Funds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ARTICLE Five. - REMEDIES</w:t>
            </w:r>
          </w:p>
        </w:tc>
        <w:tc>
          <w:tcPr>
            <w:tcW w:w="8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501. Events of Default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502. Acceleration of Maturity; Rescission and Annulment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503. Collection of Indebtedness and Suits for Enforcement by Trustee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504. Trustee May File Proofs of Claim</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505. Trustee May Enforce Claims Without Possession of Securities or Coupons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506. Application of Money Collected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507. Limitation on Suits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508. Unconditional Right of Holders to Receive Principal, Premium or Make-Whole Amount, if any, and Interest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509. Restoration of Rights and Remedies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510. Rights and Remedies Cumulative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511. Delay or Omission Not Waiver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512. Control by Holders of Securities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513. Waiver of Past Defaults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0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514. Waiver of Usury; Stay or Extension 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34"/>
        </w:trPr>
        <w:tc>
          <w:tcPr>
            <w:tcW w:w="10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SECTION 515. Undertaking for Costs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10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Six. - THE TRUSTEE</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601. Notice of Defaults</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3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602. Certain Rights of Trustee</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603. Not Responsible for Recitals or Issuance of Securities</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03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604. May Hold Securities</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605. Money Held in Trust</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3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606. Compensation and Reimbursement</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0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607. Corporate Trustee Required; Eligibility; Conflicting Interests</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3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608. Resignation and Removal; Appointment of Successor</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609. Acceptance of Appointment by Successor</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03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610. Merger, Conversion, Consolidation or Succession to Business</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611. Appointment of Authenticating Agent</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3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612. Certain Duties and Responsibilities of the Trustee</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ARTICLE Seven. - HOLDERS’ LISTS AND REPORTS BY TRUSTEE AND COMPANY</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3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701. Disclosure of Names and Addresses of Holders</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702. Reports by Trustee</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03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703. Reports by Company</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704. Company to Furnish Trustee Names and Addresses of Holders</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0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Eight. - CONSOLIDATION, MERGER, SALE, LEASE OR CONVEYANCE</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r>
      <w:tr>
        <w:trPr>
          <w:trHeight w:val="198"/>
        </w:trPr>
        <w:tc>
          <w:tcPr>
            <w:tcW w:w="10300" w:type="dxa"/>
            <w:vAlign w:val="bottom"/>
          </w:tcPr>
          <w:p>
            <w:pPr>
              <w:ind w:left="1020"/>
              <w:spacing w:after="0" w:line="198" w:lineRule="exact"/>
              <w:rPr>
                <w:sz w:val="20"/>
                <w:szCs w:val="20"/>
                <w:color w:val="auto"/>
              </w:rPr>
            </w:pPr>
            <w:r>
              <w:rPr>
                <w:rFonts w:ascii="Times New Roman" w:cs="Times New Roman" w:eastAsia="Times New Roman" w:hAnsi="Times New Roman"/>
                <w:sz w:val="18"/>
                <w:szCs w:val="18"/>
                <w:color w:val="auto"/>
              </w:rPr>
              <w:t>SECTION 801. Consolidations and Mergers of Company and Sales, Leases and Conveyances Permitted Subject to Certain</w:t>
            </w:r>
          </w:p>
        </w:tc>
        <w:tc>
          <w:tcPr>
            <w:tcW w:w="940" w:type="dxa"/>
            <w:vAlign w:val="bottom"/>
          </w:tcPr>
          <w:p>
            <w:pPr>
              <w:jc w:val="right"/>
              <w:ind w:right="270"/>
              <w:spacing w:after="0" w:line="198" w:lineRule="exact"/>
              <w:rPr>
                <w:sz w:val="20"/>
                <w:szCs w:val="20"/>
                <w:color w:val="auto"/>
              </w:rPr>
            </w:pPr>
            <w:r>
              <w:rPr>
                <w:rFonts w:ascii="Times New Roman" w:cs="Times New Roman" w:eastAsia="Times New Roman" w:hAnsi="Times New Roman"/>
                <w:sz w:val="18"/>
                <w:szCs w:val="18"/>
                <w:color w:val="auto"/>
              </w:rPr>
              <w:t>54</w:t>
            </w:r>
          </w:p>
        </w:tc>
      </w:tr>
      <w:tr>
        <w:trPr>
          <w:trHeight w:val="234"/>
        </w:trPr>
        <w:tc>
          <w:tcPr>
            <w:tcW w:w="10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Conditions</w:t>
            </w:r>
          </w:p>
        </w:tc>
        <w:tc>
          <w:tcPr>
            <w:tcW w:w="940" w:type="dxa"/>
            <w:vAlign w:val="bottom"/>
          </w:tcPr>
          <w:p>
            <w:pPr>
              <w:spacing w:after="0"/>
              <w:rPr>
                <w:sz w:val="20"/>
                <w:szCs w:val="20"/>
                <w:color w:val="auto"/>
              </w:rPr>
            </w:pPr>
          </w:p>
        </w:tc>
      </w:tr>
      <w:tr>
        <w:trPr>
          <w:trHeight w:val="216"/>
        </w:trPr>
        <w:tc>
          <w:tcPr>
            <w:tcW w:w="103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802. Rights and Duties of Successor Corporation</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0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803. Officers’ Certificate and Opinion of Counsel</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Nine. - SUPPLEMENTAL INDENTURES</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901. Supplemental Indentures Without Consent of Holders</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03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902. Supplemental Indentures with Consent of Holders</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903. Execution of Supplemental Indentures</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3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904. Effect of Supplemental Indentures</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0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905. Conformity with Trust Indenture Act</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3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906. Reference in Securities to Supplemental Indentures</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300" w:type="dxa"/>
            <w:vAlign w:val="bottom"/>
          </w:tcPr>
          <w:p>
            <w:pPr>
              <w:spacing w:after="0"/>
              <w:rPr>
                <w:sz w:val="20"/>
                <w:szCs w:val="20"/>
                <w:color w:val="auto"/>
              </w:rPr>
            </w:pPr>
            <w:r>
              <w:rPr>
                <w:rFonts w:ascii="Times New Roman" w:cs="Times New Roman" w:eastAsia="Times New Roman" w:hAnsi="Times New Roman"/>
                <w:sz w:val="18"/>
                <w:szCs w:val="18"/>
                <w:color w:val="auto"/>
              </w:rPr>
              <w:t>ARTICLE Ten. - COVENANTS</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3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1001. Payment of Principal, Premium or Make-Whole Amount, if any; and Interest</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1002. Maintenance of Office or Agency</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03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1003. Money for Securities Payments to Be Held in Trust</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1004. Existence</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3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1005. Maintenance of Properties</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1006. Insurance</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3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1007. Payment of Taxes and Other Claims</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3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1008. Statement as to Compliance</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3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1009. Waiver of Certain Covenants</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Eleven. - REDEMPTION OF SECURITIES</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1101. Applicability of Article</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1102. Election to Redeem; Notice to Trustee</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1103. Selection by Trustee of Securities to Be Redeemed</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1104. Notice of Redemption</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1105. Deposit of Redemption Price</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1106. Securities Payable on Redemption Date</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1107. Securities Redeemed in Part</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Twelve. - SINKING FUNDS</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1201. Applicability of Article</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1202. Satisfaction of Sinking Fund Payments with Securities</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1203. Redemption of Securities for Sinking Fund</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Thirteen. - REPAYMENT AT THE OPTION OF HOLDERS</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1301. Applicability of Article</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1302. Repayment of Securities</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1303. Exercise of Option</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1304. When Securities Presented for Repayment Become Due and Payable</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1305. Securities Repaid in Part</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Fourteen. - DEFEASANCE AND COVENANT DEFEASANCE</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1401. Applicability of Article; Company’s Option to Effect Defeasance or Covenant Defeasance</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1402. Defeasance and Discharge</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1403. Covenant Defeasance</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1404. Conditions to Defeasance or Covenant Defeasance</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1405. Deposited Money and Government Obligations to Be Held in Trust; Other Miscellaneous Provisions</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0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Fifteen. - MEETINGS OF HOLDERS OF SECURITIES</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1501. Purposes for Which Meetings May Be Called</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1502. Call, Notice and Place of Meetings</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1503. Persons Entitled to Vote at Meetings</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1504. Quorum; Action</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1505. Determination of Voting Rights; Conduct and Adjournment of Meetings</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1506. Counting Votes and Recording Action of Meetings</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0140" w:type="dxa"/>
            <w:vAlign w:val="bottom"/>
          </w:tcPr>
          <w:p>
            <w:pPr>
              <w:spacing w:after="0"/>
              <w:rPr>
                <w:sz w:val="20"/>
                <w:szCs w:val="20"/>
                <w:color w:val="auto"/>
              </w:rPr>
            </w:pPr>
            <w:r>
              <w:rPr>
                <w:rFonts w:ascii="Times New Roman" w:cs="Times New Roman" w:eastAsia="Times New Roman" w:hAnsi="Times New Roman"/>
                <w:sz w:val="18"/>
                <w:szCs w:val="18"/>
                <w:color w:val="auto"/>
              </w:rPr>
              <w:t>ARTICLE Sixteen. - CONVERSION OF SECURITIES</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1601. Applicability of Article; Conversion Privilege and Conversion Price</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1602. Exercise of Conversion Privilege</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1603. Fractions of Shares</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1604. Adjustment of Conversion Price</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1605. Notice of Adjustments of Conversion Price</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1606. Notice of Certain Corporate Action</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1607. Company to Reserve Common Stock</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1608. Taxes on Conversion</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1609. Covenants as to Common Stock</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1610. Cancellation of Converted Securities</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1611. Provisions in Case of Consolidation, Merger or Sale of Assets; Special Distributions</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1612. Trustee Adjustment Disclaimer; Company Determination Final</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0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SECTION 1613. When No Adjustment Required</w:t>
            </w:r>
          </w:p>
        </w:tc>
        <w:tc>
          <w:tcPr>
            <w:tcW w:w="11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101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SECTION 1614. Equivalent Adjustments</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84</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RYTHM, INC.</w:t>
      </w:r>
    </w:p>
    <w:p>
      <w:pPr>
        <w:spacing w:after="0" w:line="225" w:lineRule="exact"/>
        <w:rPr>
          <w:sz w:val="20"/>
          <w:szCs w:val="20"/>
          <w:color w:val="auto"/>
        </w:rPr>
      </w:pPr>
    </w:p>
    <w:p>
      <w:pPr>
        <w:ind w:left="640" w:hanging="21"/>
        <w:spacing w:after="0" w:line="282" w:lineRule="auto"/>
        <w:rPr>
          <w:sz w:val="20"/>
          <w:szCs w:val="20"/>
          <w:color w:val="auto"/>
        </w:rPr>
      </w:pPr>
      <w:r>
        <w:rPr>
          <w:rFonts w:ascii="Times New Roman" w:cs="Times New Roman" w:eastAsia="Times New Roman" w:hAnsi="Times New Roman"/>
          <w:sz w:val="18"/>
          <w:szCs w:val="18"/>
          <w:color w:val="auto"/>
        </w:rPr>
        <w:t>Reconciliation and tie between the Trust Indenture Act of 1939, as amended (the “Trust Indenture Act” or “TIA”) and the Indenture, dated as of, 20 .</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Trust Indenture Act Section</w:t>
            </w:r>
          </w:p>
        </w:tc>
        <w:tc>
          <w:tcPr>
            <w:tcW w:w="22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Indenture Section</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310(a)(1)</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 (2)</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607, 608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312(c)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313(a)</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314(a)</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(a)(4)</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(c)(1)</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(c)(2)</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315(b)</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316(a) (last sentence)</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101(“Outstanding”)</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(a)(1)(A)</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502, 512</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(1)(B)</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317(a)(1)</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318(a)</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a part of the Indenture.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6" w:name="page47"/>
    <w:bookmarkEnd w:id="4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INDENTURE, dated as of , 20 , between RYTHM, INC., a corporation organized under the laws of the State of Nevada (hereinafter called the “Company”), having its principal office at 2220 Hicks Road, Suite 210, Rolling Meadows, Illinois 60008, and, as Trustee hereunder (hereinafter called the “Trustee”), having a Corporate Trust Office at [ ].</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 OF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deems it necessary to issue from time to time for its lawful purposes senior debt securities (hereinafter called the “Securities”) evidencing its unsecured and senior indebtedness, and has duly authorized the execution and delivery of this Indenture to provide for the issuance from time to time of the Securities, to be issued in one or more Series as provided in this Indenture.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things necessary to make this Indenture a valid and legally binding agreement of the Company, in accordance with its terms, have been done.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ONE. - DEFINITIONS AND OTHER PROVISIONS OF GENERAL APPLICATION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all purposes of this Indenture, except as otherwise expressly provided or unless the context otherwise requires:</w:t>
      </w:r>
    </w:p>
    <w:p>
      <w:pPr>
        <w:spacing w:after="0" w:line="225" w:lineRule="exact"/>
        <w:rPr>
          <w:sz w:val="20"/>
          <w:szCs w:val="20"/>
          <w:color w:val="auto"/>
        </w:rPr>
      </w:pPr>
    </w:p>
    <w:p>
      <w:pPr>
        <w:ind w:left="1560" w:hanging="256"/>
        <w:spacing w:after="0"/>
        <w:tabs>
          <w:tab w:leader="none" w:pos="1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used herein which are defined in the TIA, either directly or by reference therein, have the meanings assigned to them therein, and the terms “cash transactions” and “self-liquidating paper,” as used in TIA Section 311, shall have the meanings assigned to them in the rules of the Commission adopted under the TIA;</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otherwise defined herein have the meanings assigned to them in accordance with GAAP;</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 “Article” or a “Section” refers to an Article or Section, as the case may be, of this Indenture;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when used with respect to any Holder, has the meaning specified in Section 104.</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 means any Person authorized by the Trustee pursuant to Section 611 hereof to act on behalf of the Trustee to authenticate Securities of one or more Series.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Newspaper</w:t>
      </w:r>
      <w:r>
        <w:rPr>
          <w:rFonts w:ascii="Times New Roman" w:cs="Times New Roman" w:eastAsia="Times New Roman" w:hAnsi="Times New Roman"/>
          <w:sz w:val="18"/>
          <w:szCs w:val="18"/>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Bearer Security</w:t>
      </w:r>
      <w:r>
        <w:rPr>
          <w:rFonts w:ascii="Times New Roman" w:cs="Times New Roman" w:eastAsia="Times New Roman" w:hAnsi="Times New Roman"/>
          <w:sz w:val="18"/>
          <w:szCs w:val="18"/>
          <w:color w:val="auto"/>
        </w:rPr>
        <w:t>” means any Security established pursuant to Section 201 which is payable to the bearer.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Resolution</w:t>
      </w:r>
      <w:r>
        <w:rPr>
          <w:rFonts w:ascii="Times New Roman" w:cs="Times New Roman" w:eastAsia="Times New Roman" w:hAnsi="Times New Roman"/>
          <w:sz w:val="18"/>
          <w:szCs w:val="18"/>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 (2) 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means Clearstream Banking Luxembourg, société anonyme, or its successor.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closing price of a share of Common Stock of the Company as reported on The Nasdaq Capital Market.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the regulations thereunder.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Depository</w:t>
      </w:r>
      <w:r>
        <w:rPr>
          <w:rFonts w:ascii="Times New Roman" w:cs="Times New Roman" w:eastAsia="Times New Roman" w:hAnsi="Times New Roman"/>
          <w:sz w:val="18"/>
          <w:szCs w:val="18"/>
          <w:color w:val="auto"/>
        </w:rPr>
        <w:t>” has the meaning specified in Section 304.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with respect to any Person, all shares of capital stock issued by such Person other than Preferred Stock.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Request</w:t>
      </w:r>
      <w:r>
        <w:rPr>
          <w:rFonts w:ascii="Times New Roman" w:cs="Times New Roman" w:eastAsia="Times New Roman" w:hAnsi="Times New Roman"/>
          <w:sz w:val="18"/>
          <w:szCs w:val="18"/>
          <w:color w:val="auto"/>
        </w:rPr>
        <w:t>” and “Company Order” mean, respectively, a written request or order signed in the name of the Company by the Chief Executive Officer, the President, or a Vice President, and by its Treasurer, an Assistant Treasurer, the Secretary or an Assistant Secretary, of the Company, and delivered to the Trustee.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Constituent Person</w:t>
      </w:r>
      <w:r>
        <w:rPr>
          <w:rFonts w:ascii="Times New Roman" w:cs="Times New Roman" w:eastAsia="Times New Roman" w:hAnsi="Times New Roman"/>
          <w:sz w:val="18"/>
          <w:szCs w:val="18"/>
          <w:color w:val="auto"/>
        </w:rPr>
        <w:t>” has the meaning specified in Section 1611.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Event</w:t>
      </w:r>
      <w:r>
        <w:rPr>
          <w:rFonts w:ascii="Times New Roman" w:cs="Times New Roman" w:eastAsia="Times New Roman" w:hAnsi="Times New Roman"/>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has the meaning specified in Section 1601.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 office at the date hereof is located at [ ].</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includes corporations, associations, companies and business trusts.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coupon</w:t>
      </w:r>
      <w:r>
        <w:rPr>
          <w:rFonts w:ascii="Times New Roman" w:cs="Times New Roman" w:eastAsia="Times New Roman" w:hAnsi="Times New Roman"/>
          <w:sz w:val="18"/>
          <w:szCs w:val="18"/>
          <w:color w:val="auto"/>
        </w:rPr>
        <w:t>” means any interest coupon appertaining to a Bearer 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has the meaning specified in Section 1403.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 has the meaning specified in Section 307.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Defeasance</w:t>
      </w:r>
      <w:r>
        <w:rPr>
          <w:rFonts w:ascii="Times New Roman" w:cs="Times New Roman" w:eastAsia="Times New Roman" w:hAnsi="Times New Roman"/>
          <w:sz w:val="18"/>
          <w:szCs w:val="18"/>
          <w:color w:val="auto"/>
        </w:rPr>
        <w:t>” has the meaning specified in Section 1402.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Record Date</w:t>
      </w:r>
      <w:r>
        <w:rPr>
          <w:rFonts w:ascii="Times New Roman" w:cs="Times New Roman" w:eastAsia="Times New Roman" w:hAnsi="Times New Roman"/>
          <w:sz w:val="18"/>
          <w:szCs w:val="18"/>
          <w:color w:val="auto"/>
        </w:rPr>
        <w:t>” has the meaning specified in Section 1611.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or the sign “$” means a dollar or other equivalent unit in such coin or currency of the United States of America as at the time of payment is legal tender for the payment of public and private debts.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 and any successor to DTC in its capacity as depository for any Securities.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ECU</w:t>
      </w:r>
      <w:r>
        <w:rPr>
          <w:rFonts w:ascii="Times New Roman" w:cs="Times New Roman" w:eastAsia="Times New Roman" w:hAnsi="Times New Roman"/>
          <w:sz w:val="18"/>
          <w:szCs w:val="18"/>
          <w:color w:val="auto"/>
        </w:rPr>
        <w:t>” means the European Currency Unit as defined and revised from time to time by the Council of the European Communities. “Euroclear” means the operator of the Euroclear System.</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Communities</w:t>
      </w:r>
      <w:r>
        <w:rPr>
          <w:rFonts w:ascii="Times New Roman" w:cs="Times New Roman" w:eastAsia="Times New Roman" w:hAnsi="Times New Roman"/>
          <w:sz w:val="18"/>
          <w:szCs w:val="18"/>
          <w:color w:val="auto"/>
        </w:rPr>
        <w:t>” means the European Economic Community, the European Coal and Steel Community and the European Atomic Energy Community.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Monetary System</w:t>
      </w:r>
      <w:r>
        <w:rPr>
          <w:rFonts w:ascii="Times New Roman" w:cs="Times New Roman" w:eastAsia="Times New Roman" w:hAnsi="Times New Roman"/>
          <w:sz w:val="18"/>
          <w:szCs w:val="18"/>
          <w:color w:val="auto"/>
        </w:rPr>
        <w:t>” means the European Monetary System established by the Resolution of December 5,1978 of the Council of the European Communities.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specified in Article Five.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as in force at the date as of which this Indenture was executed; provided, however, that in the event the Exchange Act is amended after such date, “Exchange Act” means to the extent required by any such amendment, the Exchange Act as so amended.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Date</w:t>
      </w:r>
      <w:r>
        <w:rPr>
          <w:rFonts w:ascii="Times New Roman" w:cs="Times New Roman" w:eastAsia="Times New Roman" w:hAnsi="Times New Roman"/>
          <w:sz w:val="18"/>
          <w:szCs w:val="18"/>
          <w:color w:val="auto"/>
        </w:rPr>
        <w:t>” has the meaning specified in Section 304.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Currency</w:t>
      </w:r>
      <w:r>
        <w:rPr>
          <w:rFonts w:ascii="Times New Roman" w:cs="Times New Roman" w:eastAsia="Times New Roman" w:hAnsi="Times New Roman"/>
          <w:sz w:val="18"/>
          <w:szCs w:val="18"/>
          <w:color w:val="auto"/>
        </w:rPr>
        <w:t>”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except as otherwise provided herein, generally accepted accounting principles, as in effect from time to time, as used in the United States applied on a consistent basis.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Security</w:t>
      </w:r>
      <w:r>
        <w:rPr>
          <w:rFonts w:ascii="Times New Roman" w:cs="Times New Roman" w:eastAsia="Times New Roman" w:hAnsi="Times New Roman"/>
          <w:sz w:val="18"/>
          <w:szCs w:val="18"/>
          <w:color w:val="auto"/>
        </w:rPr>
        <w:t>” means a Security evidencing all or a part of a series of Securities issued to and registered in the name of the depository for such series, or its nominee, in accordance with Section 305, and bearing the legend prescribed in Section 203.</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Obligations</w:t>
      </w:r>
      <w:r>
        <w:rPr>
          <w:rFonts w:ascii="Times New Roman" w:cs="Times New Roman" w:eastAsia="Times New Roman" w:hAnsi="Times New Roman"/>
          <w:sz w:val="18"/>
          <w:szCs w:val="18"/>
          <w:color w:val="auto"/>
        </w:rPr>
        <w:t>”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provided, however,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Indexed Security</w:t>
      </w:r>
      <w:r>
        <w:rPr>
          <w:rFonts w:ascii="Times New Roman" w:cs="Times New Roman" w:eastAsia="Times New Roman" w:hAnsi="Times New Roman"/>
          <w:sz w:val="18"/>
          <w:szCs w:val="18"/>
          <w:color w:val="auto"/>
        </w:rPr>
        <w:t>” means a Security the terms of which provide that the principal amount thereof payable at Stated Maturity may be more or less than the principal face amount thereof at original issuance.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when used with respect to an Original Issue Discount Security which by its terms bears interest only after Maturity, shall mean interest payable after Maturity.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Amount</w:t>
      </w:r>
      <w:r>
        <w:rPr>
          <w:rFonts w:ascii="Times New Roman" w:cs="Times New Roman" w:eastAsia="Times New Roman" w:hAnsi="Times New Roman"/>
          <w:sz w:val="18"/>
          <w:szCs w:val="18"/>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sinking fund payment</w:t>
      </w:r>
      <w:r>
        <w:rPr>
          <w:rFonts w:ascii="Times New Roman" w:cs="Times New Roman" w:eastAsia="Times New Roman" w:hAnsi="Times New Roman"/>
          <w:sz w:val="18"/>
          <w:szCs w:val="18"/>
          <w:color w:val="auto"/>
        </w:rPr>
        <w:t>” has the meaning specified in Section 1201.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Value of the Distribution</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w:t>
      </w:r>
      <w:r>
        <w:rPr>
          <w:rFonts w:ascii="Times New Roman" w:cs="Times New Roman" w:eastAsia="Times New Roman" w:hAnsi="Times New Roman"/>
          <w:sz w:val="18"/>
          <w:szCs w:val="18"/>
          <w:color w:val="auto"/>
        </w:rPr>
        <w:t>,”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of counsel, who may be counsel for the Company or who may be an employee of or other counsel for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sinking fund payment</w:t>
      </w:r>
      <w:r>
        <w:rPr>
          <w:rFonts w:ascii="Times New Roman" w:cs="Times New Roman" w:eastAsia="Times New Roman" w:hAnsi="Times New Roman"/>
          <w:sz w:val="18"/>
          <w:szCs w:val="18"/>
          <w:color w:val="auto"/>
        </w:rPr>
        <w:t>” has the meaning specified in Section 1201.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Discount Security</w:t>
      </w:r>
      <w:r>
        <w:rPr>
          <w:rFonts w:ascii="Times New Roman" w:cs="Times New Roman" w:eastAsia="Times New Roman" w:hAnsi="Times New Roman"/>
          <w:sz w:val="18"/>
          <w:szCs w:val="18"/>
          <w:color w:val="auto"/>
        </w:rPr>
        <w:t>”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w:t>
      </w:r>
      <w:r>
        <w:rPr>
          <w:rFonts w:ascii="Times New Roman" w:cs="Times New Roman" w:eastAsia="Times New Roman" w:hAnsi="Times New Roman"/>
          <w:sz w:val="18"/>
          <w:szCs w:val="18"/>
          <w:color w:val="auto"/>
        </w:rPr>
        <w:t>,” when used with respect to Securities, means, as of the date of determination, all Securities theretofore authenticated and delivered under this Indenture, except:</w:t>
      </w:r>
    </w:p>
    <w:p>
      <w:pPr>
        <w:spacing w:after="0" w:line="162" w:lineRule="exact"/>
        <w:rPr>
          <w:sz w:val="20"/>
          <w:szCs w:val="20"/>
          <w:color w:val="auto"/>
        </w:rPr>
      </w:pPr>
    </w:p>
    <w:p>
      <w:pPr>
        <w:ind w:left="1520" w:hanging="216"/>
        <w:spacing w:after="0"/>
        <w:tabs>
          <w:tab w:leader="none" w:pos="1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canceled by the Trustee or delivered to the Trustee for cancellation;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portions thereof, for whose payment or redemption (including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provided, however, that, if such Securities are to be redeemed, notice of such redemption has been duly given pursuant to this Indenture or provision therefor satisfactory to the Trustee has been made;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left="660" w:firstLine="644"/>
        <w:spacing w:after="0" w:line="282" w:lineRule="auto"/>
        <w:tabs>
          <w:tab w:leader="none" w:pos="1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except to the extent provided in Sections 1402 and 1403, with respect to which the Company has effected Defeasance and/or Covenant Defeasance as provided in Article Fourteen;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any Person authorized by the Company to pay the principal of (and premium or Make-Whole Amount, if any) or interest on any Securities or coupons on behalf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joint venture, association, joint-stock company, trust, unincorporated organization or government or any agency or political subdivision thereof, or any other entity or organization.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 of Payment</w:t>
      </w:r>
      <w:r>
        <w:rPr>
          <w:rFonts w:ascii="Times New Roman" w:cs="Times New Roman" w:eastAsia="Times New Roman" w:hAnsi="Times New Roman"/>
          <w:sz w:val="18"/>
          <w:szCs w:val="18"/>
          <w:color w:val="auto"/>
        </w:rPr>
        <w:t>,” when used with respect to the Securities of or within any series, means the place or places where the principal of (and premium or Make-Whole Amount, if any) and interest on such Securities are payable as specified as contemplated by Section 301 and Section 1002.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when used with respect to any Security to be redeemed, in whole or in part, means the date fixed for such redemption by or pursuant to this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Security</w:t>
      </w:r>
      <w:r>
        <w:rPr>
          <w:rFonts w:ascii="Times New Roman" w:cs="Times New Roman" w:eastAsia="Times New Roman" w:hAnsi="Times New Roman"/>
          <w:sz w:val="18"/>
          <w:szCs w:val="18"/>
          <w:color w:val="auto"/>
        </w:rPr>
        <w:t>” shall mean any Security which is registered in the Security Register.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Date</w:t>
      </w:r>
      <w:r>
        <w:rPr>
          <w:rFonts w:ascii="Times New Roman" w:cs="Times New Roman" w:eastAsia="Times New Roman" w:hAnsi="Times New Roman"/>
          <w:sz w:val="18"/>
          <w:szCs w:val="18"/>
          <w:color w:val="auto"/>
        </w:rPr>
        <w:t>” means, when used with respect to any Security to be repaid at the option of the Holder, the date fixed for such repayment by or pursuant to this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Price</w:t>
      </w:r>
      <w:r>
        <w:rPr>
          <w:rFonts w:ascii="Times New Roman" w:cs="Times New Roman" w:eastAsia="Times New Roman" w:hAnsi="Times New Roman"/>
          <w:sz w:val="18"/>
          <w:szCs w:val="18"/>
          <w:color w:val="auto"/>
        </w:rPr>
        <w:t>” means, when used with respect to any Security to be repaid at the option of the Holder, the price at which it is to be repaid by or pursuant to this Indenture.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Record Date</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Security or Securities authenticated and delivered under this Indenture; provided, however,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Security Registrar</w:t>
      </w:r>
      <w:r>
        <w:rPr>
          <w:rFonts w:ascii="Times New Roman" w:cs="Times New Roman" w:eastAsia="Times New Roman" w:hAnsi="Times New Roman"/>
          <w:sz w:val="18"/>
          <w:szCs w:val="18"/>
          <w:color w:val="auto"/>
        </w:rPr>
        <w:t>” have the respective meanings specified in Section 305.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of Securities means all securities denoted as part of the same series authorized by or pursuant to a particular Board Resolution.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Term Rights</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for the payment of any Defaulted Interest on the Registered Securities of or within any series means a date fixed by the Company pursuant to Section 307.</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Nasdaq Capital Market is open for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or “TIA” means the Trust Indenture Act of 1939, as amended and as in force at the date as of which this Indenture was executed, except as provided in Section 905.</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 provided, however, that if at any time there is more than one such Person, “Trustee” as used with respect to the Securities of any series shall mean only the Trustee with respect to Securities of that series.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Distribution</w:t>
      </w:r>
      <w:r>
        <w:rPr>
          <w:rFonts w:ascii="Times New Roman" w:cs="Times New Roman" w:eastAsia="Times New Roman" w:hAnsi="Times New Roman"/>
          <w:sz w:val="18"/>
          <w:szCs w:val="18"/>
          <w:color w:val="auto"/>
        </w:rPr>
        <w:t>” has the meaning specified in Section 1604.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Yield to Maturity</w:t>
      </w:r>
      <w:r>
        <w:rPr>
          <w:rFonts w:ascii="Times New Roman" w:cs="Times New Roman" w:eastAsia="Times New Roman" w:hAnsi="Times New Roman"/>
          <w:sz w:val="18"/>
          <w:szCs w:val="18"/>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Compliance Certificates and Opinions</w:t>
      </w:r>
      <w:r>
        <w:rPr>
          <w:rFonts w:ascii="Times New Roman" w:cs="Times New Roman" w:eastAsia="Times New Roman" w:hAnsi="Times New Roman"/>
          <w:sz w:val="18"/>
          <w:szCs w:val="18"/>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Every certificate or opinion with respect to compliance with a condition or covenant provided for in this Indenture (including certificates delivered pursuant to Section 1008) shall include:</w:t>
      </w:r>
    </w:p>
    <w:p>
      <w:pPr>
        <w:spacing w:after="0" w:line="162" w:lineRule="exact"/>
        <w:rPr>
          <w:sz w:val="20"/>
          <w:szCs w:val="20"/>
          <w:color w:val="auto"/>
        </w:rPr>
      </w:pPr>
    </w:p>
    <w:p>
      <w:pPr>
        <w:ind w:left="660" w:firstLine="644"/>
        <w:spacing w:after="0" w:line="282" w:lineRule="auto"/>
        <w:tabs>
          <w:tab w:leader="none" w:pos="15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each individual signing such certificate or opinion has read such condition or covenant and the definitions herein relating thereto;</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condition or covenant has been complied with.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Form of Documents Delivered to Trustee</w:t>
      </w:r>
      <w:r>
        <w:rPr>
          <w:rFonts w:ascii="Times New Roman" w:cs="Times New Roman" w:eastAsia="Times New Roman" w:hAnsi="Times New Roman"/>
          <w:sz w:val="18"/>
          <w:szCs w:val="18"/>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56"/>
        <w:spacing w:after="0" w:line="258" w:lineRule="auto"/>
        <w:tabs>
          <w:tab w:leader="none" w:pos="92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89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1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8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56"/>
        <w:spacing w:after="0" w:line="261" w:lineRule="auto"/>
        <w:tabs>
          <w:tab w:leader="none" w:pos="87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Notices, etc., to Trustee and Compan</w:t>
      </w:r>
      <w:r>
        <w:rPr>
          <w:rFonts w:ascii="Times New Roman" w:cs="Times New Roman" w:eastAsia="Times New Roman" w:hAnsi="Times New Roman"/>
          <w:sz w:val="18"/>
          <w:szCs w:val="18"/>
          <w:color w:val="auto"/>
        </w:rPr>
        <w:t>y. Any request, demand, authorization, direction, notice, consent, waiver or Act of Holders or other document provided or permitted by this Indenture to be made upon, given or furnished to, or filed with,</w:t>
      </w:r>
    </w:p>
    <w:p>
      <w:pPr>
        <w:spacing w:after="0" w:line="162" w:lineRule="exact"/>
        <w:rPr>
          <w:sz w:val="20"/>
          <w:szCs w:val="20"/>
          <w:color w:val="auto"/>
        </w:rPr>
      </w:pPr>
    </w:p>
    <w:p>
      <w:pPr>
        <w:ind w:left="660" w:right="20" w:firstLine="644"/>
        <w:spacing w:after="0" w:line="239" w:lineRule="exact"/>
        <w:tabs>
          <w:tab w:leader="none" w:pos="157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by any Holder or by the Company shall be sufficient for every purpose hereunder if made, given, furnished or filed in writing to or with the Trustee at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or at any other address previously furnished in writing to the Company by the Trustee, Attention: [ ]; or</w:t>
      </w:r>
    </w:p>
    <w:p>
      <w:pPr>
        <w:spacing w:after="0" w:line="170"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Indenture or at any other address previously furnished in writing to the Trustee by the Company, Attention: [ ]; 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32" w:lineRule="exact"/>
        <w:tabs>
          <w:tab w:leader="none" w:pos="157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the Trustee or the Company, by the other party or by any Holder, shall be sufficient for every purpose hereunder if given by facsimile transmission, receipt confirmed by telephone followed by an original copy delivered by guaranteed overnight courier; if to the Trustee at facsimile number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and if to the Company at facsimile number [ ].</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Notice to Holders; Waiver</w:t>
      </w:r>
      <w:r>
        <w:rPr>
          <w:rFonts w:ascii="Times New Roman" w:cs="Times New Roman" w:eastAsia="Times New Roman" w:hAnsi="Times New Roman"/>
          <w:sz w:val="18"/>
          <w:szCs w:val="18"/>
          <w:color w:val="auto"/>
        </w:rPr>
        <w:t>. 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Counterparts; Effect of Headings and Table of Contents</w:t>
      </w:r>
      <w:r>
        <w:rPr>
          <w:rFonts w:ascii="Times New Roman" w:cs="Times New Roman" w:eastAsia="Times New Roman" w:hAnsi="Times New Roman"/>
          <w:sz w:val="18"/>
          <w:szCs w:val="18"/>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Successors and Assi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ns</w:t>
      </w:r>
      <w:r>
        <w:rPr>
          <w:rFonts w:ascii="Times New Roman" w:cs="Times New Roman" w:eastAsia="Times New Roman" w:hAnsi="Times New Roman"/>
          <w:sz w:val="18"/>
          <w:szCs w:val="18"/>
          <w:color w:val="auto"/>
        </w:rPr>
        <w:t>. All covenants and agreements in this Indenture by the Company shall bind its successors and assigns, whether so expressed or not.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Severability Clause</w:t>
      </w:r>
      <w:r>
        <w:rPr>
          <w:rFonts w:ascii="Times New Roman" w:cs="Times New Roman" w:eastAsia="Times New Roman" w:hAnsi="Times New Roman"/>
          <w:sz w:val="18"/>
          <w:szCs w:val="18"/>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Governin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Le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al Holidays</w:t>
      </w:r>
      <w:r>
        <w:rPr>
          <w:rFonts w:ascii="Times New Roman" w:cs="Times New Roman" w:eastAsia="Times New Roman" w:hAnsi="Times New Roman"/>
          <w:sz w:val="18"/>
          <w:szCs w:val="18"/>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Limited Liability; Immunity of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Officers and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ents of the Compan</w:t>
      </w:r>
      <w:r>
        <w:rPr>
          <w:rFonts w:ascii="Times New Roman" w:cs="Times New Roman" w:eastAsia="Times New Roman" w:hAnsi="Times New Roman"/>
          <w:sz w:val="18"/>
          <w:szCs w:val="18"/>
          <w:color w:val="auto"/>
        </w:rPr>
        <w:t>y.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 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color w:val="auto"/>
        </w:rPr>
        <w:t>ARTICLE TWO. - SECURITIES FORMS</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Forms of Securities</w:t>
      </w:r>
      <w:r>
        <w:rPr>
          <w:rFonts w:ascii="Times New Roman" w:cs="Times New Roman" w:eastAsia="Times New Roman" w:hAnsi="Times New Roman"/>
          <w:sz w:val="18"/>
          <w:szCs w:val="18"/>
          <w:color w:val="auto"/>
        </w:rPr>
        <w:t xml:space="preserve">. The Registered Securities, if any, of each series and the Bearer Securities, if any, of each series and related coupons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Trustee’s Certificate of Authentication</w:t>
      </w:r>
      <w:r>
        <w:rPr>
          <w:rFonts w:ascii="Times New Roman" w:cs="Times New Roman" w:eastAsia="Times New Roman" w:hAnsi="Times New Roman"/>
          <w:sz w:val="18"/>
          <w:szCs w:val="18"/>
          <w:color w:val="auto"/>
        </w:rPr>
        <w:t>. Subject to Section 611, the Trustee’s certificate of authentication shall be in substantially the following form: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274320</wp:posOffset>
            </wp:positionV>
            <wp:extent cx="28460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drawing>
          <wp:anchor simplePos="0" relativeHeight="251657728" behindDoc="1" locked="0" layoutInCell="0" allowOverlap="1">
            <wp:simplePos x="0" y="0"/>
            <wp:positionH relativeFrom="column">
              <wp:posOffset>337820</wp:posOffset>
            </wp:positionH>
            <wp:positionV relativeFrom="paragraph">
              <wp:posOffset>-7620</wp:posOffset>
            </wp:positionV>
            <wp:extent cx="1713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7">
                      <a:extLst>
                        <a:ext uri="{28A0092B-C50C-407E-A947-70E740481C1C}"/>
                      </a:extLst>
                    </a:blip>
                    <a:srcRect/>
                    <a:stretch>
                      <a:fillRect/>
                    </a:stretch>
                  </pic:blipFill>
                  <pic:spPr bwMode="auto">
                    <a:xfrm>
                      <a:off x="0" y="0"/>
                      <a:ext cx="1713865"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Securities Issuable in Global Form</w:t>
      </w:r>
      <w:r>
        <w:rPr>
          <w:rFonts w:ascii="Times New Roman" w:cs="Times New Roman" w:eastAsia="Times New Roman" w:hAnsi="Times New Roman"/>
          <w:sz w:val="18"/>
          <w:szCs w:val="18"/>
          <w:color w:val="auto"/>
        </w:rPr>
        <w:t>. If Securities of or within a series are issuable in the form of one or more Global Securities, then, notwithstanding clause (8)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Section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Section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last sentence of Section 303 shall apply to any Security represented by a Global Security if such Security was never issued and sold by the Company and the Company delivers to the Trustee the Global Security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Global Security authenticated and delivered hereunder shall bear a legend in substantially the following form:</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THREE. - THE SECURITIES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Amount Unlimited; Issuable in Series</w:t>
      </w:r>
      <w:r>
        <w:rPr>
          <w:rFonts w:ascii="Times New Roman" w:cs="Times New Roman" w:eastAsia="Times New Roman" w:hAnsi="Times New Roman"/>
          <w:sz w:val="18"/>
          <w:szCs w:val="18"/>
          <w:color w:val="auto"/>
        </w:rPr>
        <w:t>. The aggregate principal amount of Securities which may be authenticated and delivered under this Indenture is unlimited.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176" w:lineRule="exact"/>
        <w:rPr>
          <w:sz w:val="20"/>
          <w:szCs w:val="20"/>
          <w:color w:val="auto"/>
        </w:rPr>
      </w:pPr>
    </w:p>
    <w:p>
      <w:pPr>
        <w:ind w:left="660" w:firstLine="644"/>
        <w:spacing w:after="0" w:line="282" w:lineRule="auto"/>
        <w:tabs>
          <w:tab w:leader="none" w:pos="1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including “CUSIP” numbers (which shall distinguish the Securities of such series from all other series of Securities);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left="-460" w:firstLine="644"/>
        <w:spacing w:after="0" w:line="261" w:lineRule="auto"/>
        <w:tabs>
          <w:tab w:leader="none" w:pos="4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5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Preferred Stock or the method by which any such portion shall be determined;</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161"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such date or dates, on which the principal of such Securities will be payable;</w:t>
      </w:r>
    </w:p>
    <w:p>
      <w:pPr>
        <w:spacing w:after="0" w:line="22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or the method by which such rate or rates shall be determined, at which such Securities will bear interest, if any;</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79"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8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Make-Whole Amount, if any, or method for determining the Make-Whole Amount, if any, payable with respect to such Securities, and the terms upon which such amount, if any, will be payable;</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or Make-Whole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38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4" w:name="page65"/>
    <w:bookmarkEnd w:id="64"/>
    <w:p>
      <w:pPr>
        <w:ind w:right="20" w:firstLine="644"/>
        <w:spacing w:after="0" w:line="282" w:lineRule="auto"/>
        <w:tabs>
          <w:tab w:leader="none" w:pos="102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100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101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175" w:lineRule="exact"/>
        <w:rPr>
          <w:rFonts w:ascii="Times New Roman" w:cs="Times New Roman" w:eastAsia="Times New Roman" w:hAnsi="Times New Roman"/>
          <w:sz w:val="18"/>
          <w:szCs w:val="18"/>
          <w:color w:val="auto"/>
        </w:rPr>
      </w:pPr>
    </w:p>
    <w:p>
      <w:pPr>
        <w:jc w:val="both"/>
        <w:ind w:firstLine="644"/>
        <w:spacing w:after="0" w:line="261" w:lineRule="auto"/>
        <w:tabs>
          <w:tab w:leader="none" w:pos="10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179" w:lineRule="exact"/>
        <w:rPr>
          <w:rFonts w:ascii="Times New Roman" w:cs="Times New Roman" w:eastAsia="Times New Roman" w:hAnsi="Times New Roman"/>
          <w:sz w:val="18"/>
          <w:szCs w:val="18"/>
          <w:color w:val="auto"/>
        </w:rPr>
      </w:pPr>
    </w:p>
    <w:p>
      <w:pPr>
        <w:jc w:val="both"/>
        <w:ind w:firstLine="644"/>
        <w:spacing w:after="0" w:line="255" w:lineRule="auto"/>
        <w:tabs>
          <w:tab w:leader="none" w:pos="9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(and premium or Make-Whole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188" w:lineRule="exact"/>
        <w:rPr>
          <w:rFonts w:ascii="Times New Roman" w:cs="Times New Roman" w:eastAsia="Times New Roman" w:hAnsi="Times New Roman"/>
          <w:sz w:val="18"/>
          <w:szCs w:val="18"/>
          <w:color w:val="auto"/>
        </w:rPr>
      </w:pPr>
    </w:p>
    <w:p>
      <w:pPr>
        <w:ind w:left="1000" w:hanging="356"/>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the Holders of Securities of the series upon the occurrence of such events as may be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w:t>
      </w:r>
    </w:p>
    <w:p>
      <w:pPr>
        <w:spacing w:after="0" w:line="206" w:lineRule="exact"/>
        <w:rPr>
          <w:rFonts w:ascii="Times New Roman" w:cs="Times New Roman" w:eastAsia="Times New Roman" w:hAnsi="Times New Roman"/>
          <w:sz w:val="18"/>
          <w:szCs w:val="18"/>
          <w:color w:val="auto"/>
        </w:rPr>
      </w:pPr>
    </w:p>
    <w:p>
      <w:pPr>
        <w:ind w:right="20" w:firstLine="644"/>
        <w:spacing w:after="0" w:line="282" w:lineRule="auto"/>
        <w:tabs>
          <w:tab w:leader="none" w:pos="9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101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3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5" w:name="page66"/>
    <w:bookmarkEnd w:id="65"/>
    <w:p>
      <w:pPr>
        <w:jc w:val="both"/>
        <w:ind w:firstLine="644"/>
        <w:spacing w:after="0" w:line="254" w:lineRule="auto"/>
        <w:tabs>
          <w:tab w:leader="none" w:pos="99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191" w:lineRule="exact"/>
        <w:rPr>
          <w:rFonts w:ascii="Times New Roman" w:cs="Times New Roman" w:eastAsia="Times New Roman" w:hAnsi="Times New Roman"/>
          <w:sz w:val="18"/>
          <w:szCs w:val="18"/>
          <w:color w:val="auto"/>
        </w:rPr>
      </w:pPr>
    </w:p>
    <w:p>
      <w:pPr>
        <w:ind w:firstLine="644"/>
        <w:spacing w:after="0" w:line="282" w:lineRule="auto"/>
        <w:tabs>
          <w:tab w:leader="none" w:pos="10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61" w:lineRule="exact"/>
        <w:rPr>
          <w:rFonts w:ascii="Times New Roman" w:cs="Times New Roman" w:eastAsia="Times New Roman" w:hAnsi="Times New Roman"/>
          <w:sz w:val="18"/>
          <w:szCs w:val="18"/>
          <w:color w:val="auto"/>
        </w:rPr>
      </w:pPr>
    </w:p>
    <w:p>
      <w:pPr>
        <w:jc w:val="both"/>
        <w:ind w:firstLine="644"/>
        <w:spacing w:after="0" w:line="255" w:lineRule="auto"/>
        <w:tabs>
          <w:tab w:leader="none" w:pos="100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in each case, that the manner of determining such Person or making such payment shall be acceptable to the Trustee (as not imposing on it any undue administrative burden or risk of liability);</w:t>
      </w:r>
    </w:p>
    <w:p>
      <w:pPr>
        <w:spacing w:after="0" w:line="188" w:lineRule="exact"/>
        <w:rPr>
          <w:rFonts w:ascii="Times New Roman" w:cs="Times New Roman" w:eastAsia="Times New Roman" w:hAnsi="Times New Roman"/>
          <w:sz w:val="18"/>
          <w:szCs w:val="18"/>
          <w:color w:val="auto"/>
        </w:rPr>
      </w:pPr>
    </w:p>
    <w:p>
      <w:pPr>
        <w:ind w:left="1000" w:hanging="356"/>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provisions of Article Fourteen hereof to the Securities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w:t>
      </w:r>
    </w:p>
    <w:p>
      <w:pPr>
        <w:spacing w:after="0" w:line="206" w:lineRule="exact"/>
        <w:rPr>
          <w:rFonts w:ascii="Times New Roman" w:cs="Times New Roman" w:eastAsia="Times New Roman" w:hAnsi="Times New Roman"/>
          <w:sz w:val="18"/>
          <w:szCs w:val="18"/>
          <w:color w:val="auto"/>
        </w:rPr>
      </w:pPr>
    </w:p>
    <w:p>
      <w:pPr>
        <w:jc w:val="both"/>
        <w:ind w:firstLine="644"/>
        <w:spacing w:after="0" w:line="261" w:lineRule="auto"/>
        <w:tabs>
          <w:tab w:leader="none" w:pos="100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10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38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6" w:name="page67"/>
    <w:bookmarkEnd w:id="66"/>
    <w:p>
      <w:pPr>
        <w:ind w:left="660" w:firstLine="644"/>
        <w:spacing w:after="0" w:line="282" w:lineRule="auto"/>
        <w:tabs>
          <w:tab w:leader="none" w:pos="1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 (which terms shall not be inconsistent with the provisions of this Indenture).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Denominations</w:t>
      </w:r>
      <w:r>
        <w:rPr>
          <w:rFonts w:ascii="Times New Roman" w:cs="Times New Roman" w:eastAsia="Times New Roman" w:hAnsi="Times New Roman"/>
          <w:sz w:val="18"/>
          <w:szCs w:val="18"/>
          <w:color w:val="auto"/>
        </w:rPr>
        <w:t>. The Securities of each series shall be issuable in such denominations as shall be specified as contemplated by Section 301. With respect to Securities of any series denominated in Dollars, in the absence of any such provisions with respect to the Securities of any series, the Securities of such series, other than Global Securities (which may be of any denomination), shall be issuable in denominations of $1,000 and any integral multiple thereof or the equivalent amounts thereof in the case of Securities denominated in the Foreign Currency or currency unit.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Execution, Authentication, Delivery and Datin</w:t>
      </w:r>
      <w:r>
        <w:rPr>
          <w:rFonts w:ascii="Times New Roman" w:cs="Times New Roman" w:eastAsia="Times New Roman" w:hAnsi="Times New Roman"/>
          <w:sz w:val="18"/>
          <w:szCs w:val="18"/>
          <w:color w:val="auto"/>
        </w:rPr>
        <w:t>g. The Securities and any coupons appertaining thereto shall be executed on behalf of the Company by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 and the Trustee in accordance with the Company Order shall authenticate and deliver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connection with its original issuance, no Bearer Security shall be mailed or otherwise delivered to any location in the United States; and </w:t>
      </w:r>
      <w:r>
        <w:rPr>
          <w:rFonts w:ascii="Times New Roman" w:cs="Times New Roman" w:eastAsia="Times New Roman" w:hAnsi="Times New Roman"/>
          <w:sz w:val="18"/>
          <w:szCs w:val="18"/>
          <w:u w:val="single" w:color="auto"/>
          <w:color w:val="auto"/>
        </w:rPr>
        <w:t>provided further t</w:t>
      </w:r>
      <w:r>
        <w:rPr>
          <w:rFonts w:ascii="Times New Roman" w:cs="Times New Roman" w:eastAsia="Times New Roman" w:hAnsi="Times New Roman"/>
          <w:sz w:val="18"/>
          <w:szCs w:val="18"/>
          <w:color w:val="auto"/>
        </w:rPr>
        <w:t xml:space="preserve">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Times New Roman" w:cs="Times New Roman" w:eastAsia="Times New Roman" w:hAnsi="Times New Roman"/>
          <w:sz w:val="18"/>
          <w:szCs w:val="18"/>
          <w:u w:val="single" w:color="auto"/>
          <w:color w:val="auto"/>
        </w:rPr>
        <w:t>Exhibit B-l</w:t>
      </w:r>
      <w:r>
        <w:rPr>
          <w:rFonts w:ascii="Times New Roman" w:cs="Times New Roman" w:eastAsia="Times New Roman" w:hAnsi="Times New Roman"/>
          <w:sz w:val="18"/>
          <w:szCs w:val="18"/>
          <w:color w:val="auto"/>
        </w:rPr>
        <w:t xml:space="preserve">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83" w:lineRule="exact"/>
        <w:rPr>
          <w:sz w:val="20"/>
          <w:szCs w:val="20"/>
          <w:color w:val="auto"/>
        </w:rPr>
      </w:pPr>
    </w:p>
    <w:p>
      <w:pPr>
        <w:ind w:left="1520" w:hanging="216"/>
        <w:spacing w:after="0"/>
        <w:tabs>
          <w:tab w:leader="none" w:pos="1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such Securities and any coupons have been established in conformity with the provisions of this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6"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such Securities and any coupons have been established in conformity with the provisions of this Indenture;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19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left="660" w:firstLine="644"/>
        <w:spacing w:after="0" w:line="266" w:lineRule="auto"/>
        <w:tabs>
          <w:tab w:leader="none" w:pos="15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Registered Security shall be dated the date of its authentication and each Bearer Security shall be dated as of the date specified as contemplated by Section 301.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93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,that no definitive Bearer Security shall be delivered in exchange for a temporary Registered Security;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192" w:lineRule="exact"/>
        <w:rPr>
          <w:sz w:val="20"/>
          <w:szCs w:val="20"/>
          <w:color w:val="auto"/>
        </w:rPr>
      </w:pPr>
    </w:p>
    <w:p>
      <w:pPr>
        <w:jc w:val="both"/>
        <w:ind w:firstLine="656"/>
        <w:spacing w:after="0" w:line="258" w:lineRule="auto"/>
        <w:tabs>
          <w:tab w:leader="none" w:pos="9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 Common Depository);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B-2</w:t>
      </w:r>
      <w:r>
        <w:rPr>
          <w:rFonts w:ascii="Times New Roman" w:cs="Times New Roman" w:eastAsia="Times New Roman" w:hAnsi="Times New Roman"/>
          <w:sz w:val="18"/>
          <w:szCs w:val="18"/>
          <w:color w:val="auto"/>
        </w:rPr>
        <w:t xml:space="preserve"> to this Indenture or in such other form as may be established pursuant to Section 301;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definitive Bearer Securities shall be delivered in exchange for a portion of a temporary Global Security only in compliance with the requirements of Section 303.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Times New Roman" w:cs="Times New Roman" w:eastAsia="Times New Roman" w:hAnsi="Times New Roman"/>
          <w:sz w:val="18"/>
          <w:szCs w:val="18"/>
          <w:u w:val="single" w:color="auto"/>
          <w:color w:val="auto"/>
        </w:rPr>
        <w:t>Exhibit B-l</w:t>
      </w:r>
      <w:r>
        <w:rPr>
          <w:rFonts w:ascii="Times New Roman" w:cs="Times New Roman" w:eastAsia="Times New Roman" w:hAnsi="Times New Roman"/>
          <w:sz w:val="18"/>
          <w:szCs w:val="18"/>
          <w:color w:val="auto"/>
        </w:rPr>
        <w:t xml:space="preserve">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of a certificate or certificates in the form set forth in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to this Indenture (or in such other forms as may be established pursuant to Section 301), for credit without further interest on or after such Interest Payment Date to the respective accounts of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as </w:t>
      </w:r>
      <w:r>
        <w:rPr>
          <w:rFonts w:ascii="Times New Roman" w:cs="Times New Roman" w:eastAsia="Times New Roman" w:hAnsi="Times New Roman"/>
          <w:sz w:val="18"/>
          <w:szCs w:val="18"/>
          <w:u w:val="single" w:color="auto"/>
          <w:color w:val="auto"/>
        </w:rPr>
        <w:t>Exhibit B-l</w:t>
      </w:r>
      <w:r>
        <w:rPr>
          <w:rFonts w:ascii="Times New Roman" w:cs="Times New Roman" w:eastAsia="Times New Roman" w:hAnsi="Times New Roman"/>
          <w:sz w:val="18"/>
          <w:szCs w:val="18"/>
          <w:color w:val="auto"/>
        </w:rPr>
        <w:t xml:space="preserve">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interest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prior to the expiration of two years after such Interest Payment Date in order to be repaid to the Company.</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w:t>
      </w:r>
      <w:r>
        <w:rPr>
          <w:rFonts w:ascii="Times New Roman" w:cs="Times New Roman" w:eastAsia="Times New Roman" w:hAnsi="Times New Roman"/>
          <w:sz w:val="18"/>
          <w:szCs w:val="18"/>
          <w:u w:val="single" w:color="auto"/>
          <w:color w:val="auto"/>
        </w:rPr>
        <w:t>Exhibit B-l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B-2</w:t>
      </w:r>
      <w:r>
        <w:rPr>
          <w:rFonts w:ascii="Times New Roman" w:cs="Times New Roman" w:eastAsia="Times New Roman" w:hAnsi="Times New Roman"/>
          <w:sz w:val="18"/>
          <w:szCs w:val="18"/>
          <w:color w:val="auto"/>
        </w:rPr>
        <w:t xml:space="preserve">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Registration; Registration of Transfer; Conversion and Exchange</w:t>
      </w:r>
      <w:r>
        <w:rPr>
          <w:rFonts w:ascii="Times New Roman" w:cs="Times New Roman" w:eastAsia="Times New Roman" w:hAnsi="Times New Roman"/>
          <w:sz w:val="18"/>
          <w:szCs w:val="18"/>
          <w:color w:val="auto"/>
        </w:rPr>
        <w:t>.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days after the Company receives such notice or becomes aware of such unwillingness, inability or ineligibility, (x) 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 (z) 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w:t>
      </w:r>
    </w:p>
    <w:p>
      <w:pPr>
        <w:spacing w:after="0" w:line="3" w:lineRule="exact"/>
        <w:rPr>
          <w:sz w:val="20"/>
          <w:szCs w:val="20"/>
          <w:color w:val="auto"/>
        </w:rPr>
      </w:pPr>
    </w:p>
    <w:p>
      <w:pPr>
        <w:jc w:val="both"/>
        <w:ind w:firstLine="8"/>
        <w:spacing w:after="0" w:line="253" w:lineRule="auto"/>
        <w:tabs>
          <w:tab w:leader="none" w:pos="28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there shall be delivered to the Company and to the Trustee (i) evidence to their satisfaction of the destruction, loss or theft of any Security or coupon, and</w:t>
      </w:r>
    </w:p>
    <w:p>
      <w:pPr>
        <w:spacing w:after="0" w:line="27" w:lineRule="exact"/>
        <w:rPr>
          <w:sz w:val="20"/>
          <w:szCs w:val="20"/>
          <w:color w:val="auto"/>
        </w:rPr>
      </w:pPr>
    </w:p>
    <w:p>
      <w:pPr>
        <w:jc w:val="both"/>
        <w:ind w:firstLine="8"/>
        <w:spacing w:after="0" w:line="252" w:lineRule="auto"/>
        <w:tabs>
          <w:tab w:leader="none" w:pos="26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Payment of Interest; Interest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 Preserved</w:t>
      </w:r>
      <w:r>
        <w:rPr>
          <w:rFonts w:ascii="Times New Roman" w:cs="Times New Roman" w:eastAsia="Times New Roman" w:hAnsi="Times New Roman"/>
          <w:sz w:val="18"/>
          <w:szCs w:val="18"/>
          <w:color w:val="auto"/>
        </w:rPr>
        <w:t xml:space="preserve">.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installment of interest on any Registered Security may at the Company’s option be paid by (i) mailing a check for such interest, payable to or upon the written order of the Person entitled thereto pursuant to Section 308, to the address of such Person as it appears on the Security Register or (ii) transfer to an account maintained by the payee located inside the United States.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80" w:lineRule="exact"/>
        <w:rPr>
          <w:sz w:val="20"/>
          <w:szCs w:val="20"/>
          <w:color w:val="auto"/>
        </w:rPr>
      </w:pPr>
    </w:p>
    <w:p>
      <w:pPr>
        <w:jc w:val="both"/>
        <w:ind w:left="660" w:firstLine="644"/>
        <w:spacing w:after="0" w:line="251" w:lineRule="auto"/>
        <w:tabs>
          <w:tab w:leader="none" w:pos="15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left="660" w:firstLine="644"/>
        <w:spacing w:after="0" w:line="261" w:lineRule="auto"/>
        <w:tabs>
          <w:tab w:leader="none" w:pos="156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 305 and Section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 Except as otherwise specified as contemplated by Section 301 with respect to Securities of any series, interest on the Securities of each series shall be computed on the basis of a 360-day year consisting of twelve 30-day months.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 xml:space="preserve">. 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ARTICLE FOUR. - SATISFACTION AND DISCHARGE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Satisfaction and Discharge of Indenture</w:t>
      </w:r>
      <w:r>
        <w:rPr>
          <w:rFonts w:ascii="Times New Roman" w:cs="Times New Roman" w:eastAsia="Times New Roman" w:hAnsi="Times New Roman"/>
          <w:sz w:val="18"/>
          <w:szCs w:val="18"/>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183" w:lineRule="exact"/>
        <w:rPr>
          <w:sz w:val="20"/>
          <w:szCs w:val="20"/>
          <w:color w:val="auto"/>
        </w:rPr>
      </w:pPr>
    </w:p>
    <w:p>
      <w:pPr>
        <w:ind w:left="1560" w:hanging="256"/>
        <w:spacing w:after="0"/>
        <w:tabs>
          <w:tab w:leader="none" w:pos="15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and all coupons, if any, appertaining thereto (other than</w:t>
      </w:r>
    </w:p>
    <w:p>
      <w:pPr>
        <w:spacing w:after="0" w:line="27" w:lineRule="exact"/>
        <w:rPr>
          <w:rFonts w:ascii="Times New Roman" w:cs="Times New Roman" w:eastAsia="Times New Roman" w:hAnsi="Times New Roman"/>
          <w:sz w:val="18"/>
          <w:szCs w:val="18"/>
          <w:color w:val="auto"/>
        </w:rPr>
      </w:pPr>
    </w:p>
    <w:p>
      <w:pPr>
        <w:jc w:val="both"/>
        <w:ind w:left="13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88" w:lineRule="exact"/>
        <w:rPr>
          <w:rFonts w:ascii="Times New Roman" w:cs="Times New Roman" w:eastAsia="Times New Roman" w:hAnsi="Times New Roman"/>
          <w:sz w:val="18"/>
          <w:szCs w:val="18"/>
          <w:color w:val="auto"/>
        </w:rPr>
      </w:pPr>
    </w:p>
    <w:p>
      <w:pPr>
        <w:ind w:left="1300" w:firstLine="652"/>
        <w:spacing w:after="0" w:line="282" w:lineRule="auto"/>
        <w:tabs>
          <w:tab w:leader="none" w:pos="223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and, in the case of (i) or (ii) below, any coupons appertaining thereto not theretofore delivered to the Trustee for cancellation</w:t>
      </w:r>
    </w:p>
    <w:p>
      <w:pPr>
        <w:spacing w:after="0" w:line="162" w:lineRule="exact"/>
        <w:rPr>
          <w:sz w:val="20"/>
          <w:szCs w:val="20"/>
          <w:color w:val="auto"/>
        </w:rPr>
      </w:pPr>
    </w:p>
    <w:p>
      <w:pPr>
        <w:ind w:left="2220" w:hanging="268"/>
        <w:spacing w:after="0"/>
        <w:tabs>
          <w:tab w:leader="none" w:pos="22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spacing w:after="0" w:line="258" w:lineRule="auto"/>
        <w:rPr>
          <w:sz w:val="20"/>
          <w:szCs w:val="20"/>
          <w:color w:val="auto"/>
        </w:rPr>
      </w:pPr>
      <w:r>
        <w:rPr>
          <w:rFonts w:ascii="Times New Roman" w:cs="Times New Roman" w:eastAsia="Times New Roman" w:hAnsi="Times New Roman"/>
          <w:sz w:val="18"/>
          <w:szCs w:val="18"/>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183" w:lineRule="exact"/>
        <w:rPr>
          <w:sz w:val="20"/>
          <w:szCs w:val="20"/>
          <w:color w:val="auto"/>
        </w:rPr>
      </w:pPr>
    </w:p>
    <w:p>
      <w:pPr>
        <w:ind w:left="1560" w:hanging="256"/>
        <w:spacing w:after="0"/>
        <w:tabs>
          <w:tab w:leader="none" w:pos="15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9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Application of Trust Funds</w:t>
      </w:r>
      <w:r>
        <w:rPr>
          <w:rFonts w:ascii="Times New Roman" w:cs="Times New Roman" w:eastAsia="Times New Roman" w:hAnsi="Times New Roman"/>
          <w:sz w:val="18"/>
          <w:szCs w:val="18"/>
          <w:color w:val="auto"/>
        </w:rPr>
        <w:t>.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FIVE. - REMEDIES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76" w:lineRule="exact"/>
        <w:rPr>
          <w:sz w:val="20"/>
          <w:szCs w:val="20"/>
          <w:color w:val="auto"/>
        </w:rPr>
      </w:pPr>
    </w:p>
    <w:p>
      <w:pPr>
        <w:ind w:left="660" w:firstLine="644"/>
        <w:spacing w:after="0" w:line="282" w:lineRule="auto"/>
        <w:tabs>
          <w:tab w:leader="none" w:pos="158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460" w:firstLine="644"/>
        <w:spacing w:after="0" w:line="282" w:lineRule="auto"/>
        <w:tabs>
          <w:tab w:leader="none" w:pos="47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or Make-Whole Amount, if any, on) any Security of that series when it becomes due and payable at its Maturity; or</w:t>
      </w:r>
    </w:p>
    <w:p>
      <w:pPr>
        <w:spacing w:after="0" w:line="16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44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to the extent applicable to such series of Securities, when and as due by the terms of any Security of that series; or</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4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5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under any bond, debenture, note, mortgage, indenture or instrument under which there may be issued or by which there may be secured or evidenced any indebtedness for money borrowed by the Company, having an aggregate principal amount outstanding of at least $30,000,000,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subject to the provisions of Section 601 and Section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189"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120" w:hanging="288"/>
        <w:spacing w:after="0"/>
        <w:tabs>
          <w:tab w:leader="none" w:pos="11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00" w:lineRule="exact"/>
        <w:rPr>
          <w:sz w:val="20"/>
          <w:szCs w:val="20"/>
          <w:color w:val="auto"/>
        </w:rPr>
      </w:pP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1" w:name="page82"/>
    <w:bookmarkEnd w:id="81"/>
    <w:p>
      <w:pPr>
        <w:ind w:left="2240" w:hanging="288"/>
        <w:spacing w:after="0"/>
        <w:tabs>
          <w:tab w:leader="none" w:pos="22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in an involuntary case,</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 and the order or decree remains unstayed and in effect for 90 days;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 If an Event of Default with respect to Securities of any series at the time 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180" w:lineRule="exact"/>
        <w:rPr>
          <w:sz w:val="20"/>
          <w:szCs w:val="20"/>
          <w:color w:val="auto"/>
        </w:rPr>
      </w:pPr>
    </w:p>
    <w:p>
      <w:pPr>
        <w:ind w:left="660" w:firstLine="644"/>
        <w:spacing w:after="0" w:line="282" w:lineRule="auto"/>
        <w:tabs>
          <w:tab w:leader="none" w:pos="157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161"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installments of interest on all Outstanding Securities of that series and any related coupons,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left="1300" w:firstLine="652"/>
        <w:spacing w:after="0" w:line="266" w:lineRule="auto"/>
        <w:tabs>
          <w:tab w:leader="none" w:pos="225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17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4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installments of interest at the rate or rates borne by or provided for in such Securities, and</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8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hereunder and the reasonable compensation, expenses, disbursements and advances of the Trustee, its agents and counsel;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 xml:space="preserve"> The Company covenants that if:</w:t>
      </w:r>
    </w:p>
    <w:p>
      <w:pPr>
        <w:spacing w:after="0" w:line="225" w:lineRule="exact"/>
        <w:rPr>
          <w:sz w:val="20"/>
          <w:szCs w:val="20"/>
          <w:color w:val="auto"/>
        </w:rPr>
      </w:pPr>
    </w:p>
    <w:p>
      <w:pPr>
        <w:ind w:left="660" w:firstLine="644"/>
        <w:spacing w:after="0" w:line="282" w:lineRule="auto"/>
        <w:tabs>
          <w:tab w:leader="none" w:pos="156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installment of interest on any Security of any series and any related coupon when such interest becomes due and payable and such default continues for a period of 30 days,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7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the principal of (or premium or Make-Whole Amount, if any, on) any Security of any series at its Maturity, 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187" w:lineRule="exact"/>
        <w:rPr>
          <w:sz w:val="20"/>
          <w:szCs w:val="20"/>
          <w:color w:val="auto"/>
        </w:rPr>
      </w:pPr>
    </w:p>
    <w:p>
      <w:pPr>
        <w:jc w:val="both"/>
        <w:ind w:left="660" w:firstLine="644"/>
        <w:spacing w:after="0" w:line="261" w:lineRule="auto"/>
        <w:tabs>
          <w:tab w:leader="none" w:pos="15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Trustee May Enforce Claims Without Possession of Securities or Coupons</w:t>
      </w:r>
      <w:r>
        <w:rPr>
          <w:rFonts w:ascii="Times New Roman" w:cs="Times New Roman" w:eastAsia="Times New Roman" w:hAnsi="Times New Roman"/>
          <w:sz w:val="18"/>
          <w:szCs w:val="18"/>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To the payment of all amounts due the Trustee and any predecessor Trustee under Section 606;</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No Holder of any Security of any series or any related coupon shall have any right to institute any proceeding, judicial or otherwise, with respect to this Indenture or the Securities or any related coupon, or for the appointment of a receiver or trustee, or for any other remedy hereunder, unless: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such Holder has previously given written notice to the Trustee of a continuing Event of Default with respect to the Securities of that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series;</w:t>
      </w:r>
    </w:p>
    <w:p>
      <w:pPr>
        <w:spacing w:after="0" w:line="207" w:lineRule="exact"/>
        <w:rPr>
          <w:sz w:val="20"/>
          <w:szCs w:val="20"/>
          <w:color w:val="auto"/>
        </w:rPr>
      </w:pPr>
    </w:p>
    <w:p>
      <w:pPr>
        <w:ind w:left="660" w:firstLine="644"/>
        <w:spacing w:after="0" w:line="282" w:lineRule="auto"/>
        <w:tabs>
          <w:tab w:leader="none" w:pos="156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reasonably satisfactory to the Trustee against the costs, expenses and liabilities to be incurred in compliance with such request;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ind w:left="1560" w:hanging="256"/>
        <w:spacing w:after="0"/>
        <w:tabs>
          <w:tab w:leader="none" w:pos="15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8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or the Securities, except in the manner herein provided and for the equal and ratable benefit of all such Holders.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Unconditional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 of Holders to Receive Princip</w:t>
      </w:r>
      <w:r>
        <w:rPr>
          <w:rFonts w:ascii="Times New Roman" w:cs="Times New Roman" w:eastAsia="Times New Roman" w:hAnsi="Times New Roman"/>
          <w:sz w:val="18"/>
          <w:szCs w:val="18"/>
          <w:color w:val="auto"/>
        </w:rPr>
        <w:t>al</w:t>
      </w:r>
      <w:r>
        <w:rPr>
          <w:rFonts w:ascii="Times New Roman" w:cs="Times New Roman" w:eastAsia="Times New Roman" w:hAnsi="Times New Roman"/>
          <w:sz w:val="18"/>
          <w:szCs w:val="18"/>
          <w:u w:val="single" w:color="auto"/>
          <w:color w:val="auto"/>
        </w:rPr>
        <w:t>, Premium or Make-Whole Amount, if any, and Interest</w:t>
      </w:r>
      <w:r>
        <w:rPr>
          <w:rFonts w:ascii="Times New Roman" w:cs="Times New Roman" w:eastAsia="Times New Roman" w:hAnsi="Times New Roman"/>
          <w:sz w:val="18"/>
          <w:szCs w:val="18"/>
          <w:color w:val="auto"/>
        </w:rPr>
        <w:t>. Notwithstanding any other provision in this Indenture, the Holder of any Security or coupon shall have the right which is absolute and unconditional to receive payment of the principal of (and premium or Make-Whole Amount, if any) and (subject to Section 305 and Section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Restoration of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 and Remedies</w:t>
      </w:r>
      <w:r>
        <w:rPr>
          <w:rFonts w:ascii="Times New Roman" w:cs="Times New Roman" w:eastAsia="Times New Roman" w:hAnsi="Times New Roman"/>
          <w:sz w:val="18"/>
          <w:szCs w:val="18"/>
          <w:color w:val="auto"/>
        </w:rPr>
        <w:t>.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Control by Holders of Securities</w:t>
      </w:r>
      <w:r>
        <w:rPr>
          <w:rFonts w:ascii="Times New Roman" w:cs="Times New Roman" w:eastAsia="Times New Roman" w:hAnsi="Times New Roman"/>
          <w:sz w:val="18"/>
          <w:szCs w:val="18"/>
          <w:color w:val="auto"/>
        </w:rPr>
        <w:t xml:space="preserve">.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6" w:lineRule="exact"/>
        <w:rPr>
          <w:sz w:val="20"/>
          <w:szCs w:val="20"/>
          <w:color w:val="auto"/>
        </w:rPr>
      </w:pPr>
    </w:p>
    <w:p>
      <w:pPr>
        <w:ind w:left="1560" w:hanging="256"/>
        <w:spacing w:after="0"/>
        <w:tabs>
          <w:tab w:leader="none" w:pos="15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take any action which might involve it in personal liability or be unduly prejudicial to the Holders of Securities of such series not joining therein.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Nothing in this Indenture shall impair the right of the Trustee in its discretion to take any action deemed proper by the Trustee and which is not inconsistent with such direction by 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176" w:lineRule="exact"/>
        <w:rPr>
          <w:sz w:val="20"/>
          <w:szCs w:val="20"/>
          <w:color w:val="auto"/>
        </w:rPr>
      </w:pPr>
    </w:p>
    <w:p>
      <w:pPr>
        <w:ind w:left="660" w:firstLine="644"/>
        <w:spacing w:after="0" w:line="282" w:lineRule="auto"/>
        <w:tabs>
          <w:tab w:leader="none" w:pos="15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or Make-Whole Amount, if any) or interest on any Security of such series or any related coupons,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which under Article Nine cannot be modified or amended without the consent of the Holder of each Outstanding Security of such series affected;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for the benefit or protection of the Trustee, without its express written consent.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Waiver of Usury; Stay or Extension Laws</w:t>
      </w:r>
      <w:r>
        <w:rPr>
          <w:rFonts w:ascii="Times New Roman" w:cs="Times New Roman" w:eastAsia="Times New Roman" w:hAnsi="Times New Roman"/>
          <w:sz w:val="18"/>
          <w:szCs w:val="18"/>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Undertakin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for Costs</w:t>
      </w:r>
      <w:r>
        <w:rPr>
          <w:rFonts w:ascii="Times New Roman" w:cs="Times New Roman" w:eastAsia="Times New Roman" w:hAnsi="Times New Roman"/>
          <w:sz w:val="18"/>
          <w:szCs w:val="18"/>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SIX. - THE TRUSTEE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 xml:space="preserve">.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case of any default or breach of the character specified in Section 501(4) with respect to the Securities and coupons of such series, no such notice to Holders shall be given until at least 60 days after the occurrence thereof. For the purpose of this Section, the term “default” means any event which is, or after notice or lapse of time or both would become, an Event of Default with respect to the Securities of such series.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Certain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 of Trustee</w:t>
      </w:r>
      <w:r>
        <w:rPr>
          <w:rFonts w:ascii="Times New Roman" w:cs="Times New Roman" w:eastAsia="Times New Roman" w:hAnsi="Times New Roman"/>
          <w:sz w:val="18"/>
          <w:szCs w:val="18"/>
          <w:color w:val="auto"/>
        </w:rPr>
        <w:t>. Subject to the provisions of TIA Section 315(a) through 315(d):</w:t>
      </w:r>
    </w:p>
    <w:p>
      <w:pPr>
        <w:spacing w:after="0" w:line="225" w:lineRule="exact"/>
        <w:rPr>
          <w:sz w:val="20"/>
          <w:szCs w:val="20"/>
          <w:color w:val="auto"/>
        </w:rPr>
      </w:pPr>
    </w:p>
    <w:p>
      <w:pPr>
        <w:jc w:val="both"/>
        <w:ind w:left="660" w:firstLine="644"/>
        <w:spacing w:after="0" w:line="261" w:lineRule="auto"/>
        <w:tabs>
          <w:tab w:leader="none" w:pos="158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left="-460" w:firstLine="644"/>
        <w:spacing w:after="0" w:line="261" w:lineRule="auto"/>
        <w:tabs>
          <w:tab w:leader="none" w:pos="4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5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4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46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 Outstanding Securities of any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4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38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9" w:name="page90"/>
    <w:bookmarkEnd w:id="89"/>
    <w:p>
      <w:pPr>
        <w:ind w:left="660" w:firstLine="644"/>
        <w:spacing w:after="0" w:line="282" w:lineRule="auto"/>
        <w:tabs>
          <w:tab w:leader="none" w:pos="159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permissive right or power available to the Trustee under this Indenture or any supplement hereto shall not be construed to be a mandatory duty or obligation;</w:t>
      </w:r>
    </w:p>
    <w:p>
      <w:pPr>
        <w:spacing w:after="0" w:line="161"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65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charged with knowledge of any matter (including any default, other than as described in Section 501(1), (2) or (3)) unless and except to the extent actually known to a Responsible Officer of the Trustee or to the extent written notice thereof is received by the Trustee at the Corporate Trust Office;</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6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liability for any inaccuracy in the books and records of, or for any actions or omissions of, DTC, Euroclear or Clearstream or any depository acting on behalf of any of them;</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9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7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 Responsible for Recitals or Issuance of Securities</w:t>
      </w:r>
      <w:r>
        <w:rPr>
          <w:rFonts w:ascii="Times New Roman" w:cs="Times New Roman" w:eastAsia="Times New Roman" w:hAnsi="Times New Roman"/>
          <w:sz w:val="18"/>
          <w:szCs w:val="18"/>
          <w:color w:val="auto"/>
        </w:rPr>
        <w:t>. 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 thereof. The Trustee shall have no responsibility with respect to any information, statement or recital in any offering prospectus or other disclosure materials prepared or distributed with respect to the Securities.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 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Money Held in Trust</w:t>
      </w:r>
      <w:r>
        <w:rPr>
          <w:rFonts w:ascii="Times New Roman" w:cs="Times New Roman" w:eastAsia="Times New Roman" w:hAnsi="Times New Roman"/>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606. Compensation and Reimbursement. The Company agrees:</w:t>
      </w:r>
    </w:p>
    <w:p>
      <w:pPr>
        <w:spacing w:after="0" w:line="225" w:lineRule="exact"/>
        <w:rPr>
          <w:sz w:val="20"/>
          <w:szCs w:val="20"/>
          <w:color w:val="auto"/>
        </w:rPr>
      </w:pPr>
    </w:p>
    <w:p>
      <w:pPr>
        <w:ind w:left="660" w:firstLine="644"/>
        <w:spacing w:after="0" w:line="282" w:lineRule="auto"/>
        <w:tabs>
          <w:tab w:leader="none" w:pos="157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7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 payment of principal of (or premium or Make-Whole Amount, if any) or interest on particular Securities or any coupons.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 and the resignation or removal of the Trustee.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Corporate Trustee Required; Eligibility; Conflicting Interests</w:t>
      </w:r>
      <w:r>
        <w:rPr>
          <w:rFonts w:ascii="Times New Roman" w:cs="Times New Roman" w:eastAsia="Times New Roman" w:hAnsi="Times New Roman"/>
          <w:sz w:val="18"/>
          <w:szCs w:val="18"/>
          <w:color w:val="auto"/>
        </w:rPr>
        <w:t>. There shall at all times be a Trustee hereunder which shall be 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 Federal, state, territorial or District of Columbia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90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9"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9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6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56"/>
        <w:spacing w:after="0" w:line="253" w:lineRule="auto"/>
        <w:tabs>
          <w:tab w:leader="none" w:pos="90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w:t>
      </w:r>
    </w:p>
    <w:p>
      <w:pPr>
        <w:ind w:left="360" w:hanging="352"/>
        <w:spacing w:after="0"/>
        <w:tabs>
          <w:tab w:leader="none" w:pos="3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shall include the name of the successor Trustee with respect to the Securities of such series and the address of its Corporate Trust Office.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91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56"/>
        <w:spacing w:after="0" w:line="252" w:lineRule="auto"/>
        <w:tabs>
          <w:tab w:leader="none" w:pos="90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94" w:lineRule="exact"/>
        <w:rPr>
          <w:rFonts w:ascii="Times New Roman" w:cs="Times New Roman" w:eastAsia="Times New Roman" w:hAnsi="Times New Roman"/>
          <w:sz w:val="18"/>
          <w:szCs w:val="18"/>
          <w:color w:val="auto"/>
        </w:rPr>
      </w:pPr>
    </w:p>
    <w:p>
      <w:pPr>
        <w:ind w:firstLine="656"/>
        <w:spacing w:after="0" w:line="282" w:lineRule="auto"/>
        <w:tabs>
          <w:tab w:leader="none" w:pos="90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Merger, Conversion, Consolidation or Succession to Business</w:t>
      </w:r>
      <w:r>
        <w:rPr>
          <w:rFonts w:ascii="Times New Roman" w:cs="Times New Roman" w:eastAsia="Times New Roman" w:hAnsi="Times New Roman"/>
          <w:sz w:val="18"/>
          <w:szCs w:val="18"/>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Appointment of Authenticating Agent</w:t>
      </w:r>
      <w:r>
        <w:rPr>
          <w:rFonts w:ascii="Times New Roman" w:cs="Times New Roman" w:eastAsia="Times New Roman" w:hAnsi="Times New Roman"/>
          <w:sz w:val="18"/>
          <w:szCs w:val="18"/>
          <w:color w:val="auto"/>
        </w:rPr>
        <w: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agrees to pay to each Authenticating Agent from time to time reasonable compensation including reimbursement of its reasonable expenses for its services under this Section, subject to Section 606.</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 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308610</wp:posOffset>
            </wp:positionV>
            <wp:extent cx="283718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283718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as Trustee</w:t>
            </w:r>
          </w:p>
        </w:tc>
      </w:tr>
      <w:tr>
        <w:trPr>
          <w:trHeight w:val="493"/>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_________________________</w:t>
            </w:r>
          </w:p>
        </w:tc>
        <w:tc>
          <w:tcPr>
            <w:tcW w:w="5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By:</w:t>
            </w:r>
          </w:p>
        </w:tc>
      </w:tr>
      <w:tr>
        <w:trPr>
          <w:trHeight w:val="243"/>
        </w:trPr>
        <w:tc>
          <w:tcPr>
            <w:tcW w:w="5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 Authenticating Agent</w:t>
            </w:r>
          </w:p>
        </w:tc>
      </w:tr>
      <w:tr>
        <w:trPr>
          <w:trHeight w:val="445"/>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w:t>
            </w:r>
          </w:p>
        </w:tc>
        <w:tc>
          <w:tcPr>
            <w:tcW w:w="5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By:</w:t>
            </w:r>
          </w:p>
        </w:tc>
      </w:tr>
      <w:tr>
        <w:trPr>
          <w:trHeight w:val="28"/>
        </w:trPr>
        <w:tc>
          <w:tcPr>
            <w:tcW w:w="520" w:type="dxa"/>
            <w:vAlign w:val="bottom"/>
          </w:tcPr>
          <w:p>
            <w:pPr>
              <w:spacing w:after="0"/>
              <w:rPr>
                <w:sz w:val="2"/>
                <w:szCs w:val="2"/>
                <w:color w:val="auto"/>
              </w:rPr>
            </w:pPr>
          </w:p>
        </w:tc>
        <w:tc>
          <w:tcPr>
            <w:tcW w:w="2600" w:type="dxa"/>
            <w:vAlign w:val="bottom"/>
            <w:tcBorders>
              <w:top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43"/>
        </w:trPr>
        <w:tc>
          <w:tcPr>
            <w:tcW w:w="5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as Authenticating Agent</w:t>
            </w:r>
          </w:p>
        </w:tc>
      </w:tr>
      <w:tr>
        <w:trPr>
          <w:trHeight w:val="459"/>
        </w:trPr>
        <w:tc>
          <w:tcPr>
            <w:tcW w:w="520" w:type="dxa"/>
            <w:vAlign w:val="bottom"/>
          </w:tcPr>
          <w:p>
            <w:pPr>
              <w:spacing w:after="0"/>
              <w:rPr>
                <w:sz w:val="24"/>
                <w:szCs w:val="24"/>
                <w:color w:val="auto"/>
              </w:rPr>
            </w:pP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SECTION 612. Certain Duties and Responsibilities of the Trustee.</w:t>
            </w:r>
          </w:p>
        </w:tc>
        <w:tc>
          <w:tcPr>
            <w:tcW w:w="1120" w:type="dxa"/>
            <w:vAlign w:val="bottom"/>
          </w:tcPr>
          <w:p>
            <w:pPr>
              <w:spacing w:after="0"/>
              <w:rPr>
                <w:sz w:val="24"/>
                <w:szCs w:val="24"/>
                <w:color w:val="auto"/>
              </w:rPr>
            </w:pPr>
          </w:p>
        </w:tc>
        <w:tc>
          <w:tcPr>
            <w:tcW w:w="4000" w:type="dxa"/>
            <w:vAlign w:val="bottom"/>
          </w:tcPr>
          <w:p>
            <w:pPr>
              <w:spacing w:after="0"/>
              <w:rPr>
                <w:sz w:val="24"/>
                <w:szCs w:val="24"/>
                <w:color w:val="auto"/>
              </w:rPr>
            </w:pPr>
          </w:p>
        </w:tc>
      </w:tr>
    </w:tbl>
    <w:p>
      <w:pPr>
        <w:spacing w:after="0" w:line="198" w:lineRule="exact"/>
        <w:rPr>
          <w:sz w:val="20"/>
          <w:szCs w:val="20"/>
          <w:color w:val="auto"/>
        </w:rPr>
      </w:pPr>
    </w:p>
    <w:p>
      <w:pPr>
        <w:ind w:left="900" w:hanging="244"/>
        <w:spacing w:after="0"/>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Securities of any series, except during the continuance of an Event of Default with respect to the Securities of such series: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8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right="20" w:firstLine="656"/>
        <w:spacing w:after="0" w:line="282" w:lineRule="auto"/>
        <w:tabs>
          <w:tab w:leader="none" w:pos="90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shall not be construed to limit the effect of Subsection (a) of this Section;</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6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8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6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Section 612.</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SEVEN. - HOLDERS’ LISTS AND REPORTS BY TRUSTEE AND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Disclosure of Names and Addresses of Holders</w:t>
      </w:r>
      <w:r>
        <w:rPr>
          <w:rFonts w:ascii="Times New Roman" w:cs="Times New Roman" w:eastAsia="Times New Roman" w:hAnsi="Times New Roman"/>
          <w:sz w:val="18"/>
          <w:szCs w:val="18"/>
          <w:color w:val="auto"/>
        </w:rPr>
        <w:t>. Every 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Reports by Trustee</w:t>
      </w:r>
      <w:r>
        <w:rPr>
          <w:rFonts w:ascii="Times New Roman" w:cs="Times New Roman" w:eastAsia="Times New Roman" w:hAnsi="Times New Roman"/>
          <w:sz w:val="18"/>
          <w:szCs w:val="18"/>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 commencing on, 20 . A copy of each such report shall, at the time of such transmission to Holders, be filed by the Trustee with each over-the-counter market or 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Reports by Company</w:t>
      </w:r>
      <w:r>
        <w:rPr>
          <w:rFonts w:ascii="Times New Roman" w:cs="Times New Roman" w:eastAsia="Times New Roman" w:hAnsi="Times New Roman"/>
          <w:sz w:val="18"/>
          <w:szCs w:val="18"/>
          <w:color w:val="auto"/>
        </w:rPr>
        <w:t>. The Company will:</w:t>
      </w:r>
    </w:p>
    <w:p>
      <w:pPr>
        <w:spacing w:after="0" w:line="225" w:lineRule="exact"/>
        <w:rPr>
          <w:sz w:val="20"/>
          <w:szCs w:val="20"/>
          <w:color w:val="auto"/>
        </w:rPr>
      </w:pPr>
    </w:p>
    <w:p>
      <w:pPr>
        <w:jc w:val="both"/>
        <w:ind w:left="660" w:firstLine="644"/>
        <w:spacing w:after="0" w:line="254" w:lineRule="auto"/>
        <w:tabs>
          <w:tab w:leader="none" w:pos="156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 (2) of this Section as may be required by rules and regulations prescribed from time to time by the Commission;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Company to Furnish Trustee Names and Addresses of Holders</w:t>
      </w:r>
      <w:r>
        <w:rPr>
          <w:rFonts w:ascii="Times New Roman" w:cs="Times New Roman" w:eastAsia="Times New Roman" w:hAnsi="Times New Roman"/>
          <w:sz w:val="18"/>
          <w:szCs w:val="18"/>
          <w:color w:val="auto"/>
        </w:rPr>
        <w:t>. The Company will furnish or cause to be furnished to the Trustee:</w:t>
      </w:r>
    </w:p>
    <w:p>
      <w:pPr>
        <w:spacing w:after="0" w:line="225" w:lineRule="exact"/>
        <w:rPr>
          <w:sz w:val="20"/>
          <w:szCs w:val="20"/>
          <w:color w:val="auto"/>
        </w:rPr>
      </w:pPr>
    </w:p>
    <w:p>
      <w:pPr>
        <w:jc w:val="both"/>
        <w:ind w:firstLine="656"/>
        <w:spacing w:after="0" w:line="261"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such other times as the Trustee may request in writing, within 30 days after the receipt by the Company of any such request, a list of similar form and content as of a date not more than 15 days prior to the time such list is furnished,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so long as the Trustee is the Security Registrar, no such list shall be required to be furnished.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color w:val="auto"/>
        </w:rPr>
        <w:t>ARTICLE EIGHT. - CONSOLIDATION, MERGER, SALE, LEASE OR CONVEYANCE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Consolidations and Mer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ers of Company and Sales, Leases and Conveyances Permitted Subject to Certain Conditions</w:t>
      </w:r>
      <w:r>
        <w:rPr>
          <w:rFonts w:ascii="Times New Roman" w:cs="Times New Roman" w:eastAsia="Times New Roman" w:hAnsi="Times New Roman"/>
          <w:sz w:val="18"/>
          <w:szCs w:val="18"/>
          <w:color w:val="auto"/>
        </w:rPr>
        <w:t>. The Company may consolidate with, or sell, lease or convey all or substantially all of its assets to, or merge with or into any other corporation, provided that in any such case, (1) 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as a result thereof as having been incurred by the Company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Rights and Duties of Successor Corporation</w:t>
      </w:r>
      <w:r>
        <w:rPr>
          <w:rFonts w:ascii="Times New Roman" w:cs="Times New Roman" w:eastAsia="Times New Roman" w:hAnsi="Times New Roman"/>
          <w:sz w:val="18"/>
          <w:szCs w:val="18"/>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Officers’ Certificate and Opinion of Counsel</w:t>
      </w:r>
      <w:r>
        <w:rPr>
          <w:rFonts w:ascii="Times New Roman" w:cs="Times New Roman" w:eastAsia="Times New Roman" w:hAnsi="Times New Roman"/>
          <w:sz w:val="18"/>
          <w:szCs w:val="18"/>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NINE. - SUPPLEMENTAL INDENTURES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Supplemental Indentures Without Consent of Holders</w:t>
      </w:r>
      <w:r>
        <w:rPr>
          <w:rFonts w:ascii="Times New Roman" w:cs="Times New Roman" w:eastAsia="Times New Roman" w:hAnsi="Times New Roman"/>
          <w:sz w:val="18"/>
          <w:szCs w:val="18"/>
          <w:color w:val="auto"/>
        </w:rPr>
        <w:t>. 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176" w:lineRule="exact"/>
        <w:rPr>
          <w:sz w:val="20"/>
          <w:szCs w:val="20"/>
          <w:color w:val="auto"/>
        </w:rPr>
      </w:pPr>
    </w:p>
    <w:p>
      <w:pPr>
        <w:ind w:left="660" w:right="20" w:firstLine="644"/>
        <w:spacing w:after="0" w:line="282" w:lineRule="auto"/>
        <w:tabs>
          <w:tab w:leader="none" w:pos="15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and the assumption by any such successor of the covenants of the Company contained herein and in the Securities;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7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8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any series or any related coupons in any material respect; or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left="660" w:firstLine="644"/>
        <w:spacing w:after="0" w:line="266" w:lineRule="auto"/>
        <w:tabs>
          <w:tab w:leader="none" w:pos="157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Securities; or</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7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Securities of any series and any related coupons as permitted or contemplated by Section 201 and Section 301;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56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provisions shall not adversely affect the interests of the Holders of Securities of any series or any related coupons in any material respect; or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such series and any related coupons or any other series of Securities in any material respect; or</w:t>
      </w:r>
    </w:p>
    <w:p>
      <w:pPr>
        <w:spacing w:after="0" w:line="17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provisions with respect to Holders’ rights of conversion with respect to any series of Securities pursuant to Article Sixteen.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Supplemental Indentures with Consent of Holders</w:t>
      </w:r>
      <w:r>
        <w:rPr>
          <w:rFonts w:ascii="Times New Roman" w:cs="Times New Roman" w:eastAsia="Times New Roman" w:hAnsi="Times New Roman"/>
          <w:sz w:val="18"/>
          <w:szCs w:val="18"/>
          <w:color w:val="auto"/>
        </w:rPr>
        <w:t xml:space="preserve">.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supplemental indenture shall, without the consent of the Holder of each Outstanding Security affected thereby:</w:t>
      </w:r>
    </w:p>
    <w:p>
      <w:pPr>
        <w:spacing w:after="0" w:line="187" w:lineRule="exact"/>
        <w:rPr>
          <w:sz w:val="20"/>
          <w:szCs w:val="20"/>
          <w:color w:val="auto"/>
        </w:rPr>
      </w:pPr>
    </w:p>
    <w:p>
      <w:pPr>
        <w:jc w:val="both"/>
        <w:ind w:left="660" w:firstLine="644"/>
        <w:spacing w:after="0" w:line="253" w:lineRule="auto"/>
        <w:tabs>
          <w:tab w:leader="none" w:pos="157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Sixteen;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left="660" w:firstLine="644"/>
        <w:spacing w:after="0" w:line="261" w:lineRule="auto"/>
        <w:tabs>
          <w:tab w:leader="none" w:pos="157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57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901(11).</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 In executing, or accepting the additional trusts created by, any supplemental indenture permitted by this Article or the modification thereby of the trusts created by this Indenture, the Trustee shall be entitled to receive, and (subject to Section</w:t>
      </w:r>
    </w:p>
    <w:p>
      <w:pPr>
        <w:jc w:val="both"/>
        <w:ind w:firstLine="8"/>
        <w:spacing w:after="0" w:line="255" w:lineRule="auto"/>
        <w:tabs>
          <w:tab w:leader="none" w:pos="37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Conformity with Trust Indenture Act</w:t>
      </w:r>
      <w:r>
        <w:rPr>
          <w:rFonts w:ascii="Times New Roman" w:cs="Times New Roman" w:eastAsia="Times New Roman" w:hAnsi="Times New Roman"/>
          <w:sz w:val="18"/>
          <w:szCs w:val="18"/>
          <w:color w:val="auto"/>
        </w:rPr>
        <w:t>. Every supplemental indenture executed pursuant to this Article shall conform to the requirements of the Trust Indenture Act as then in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Reference in Securities to Supplemental Indentures</w:t>
      </w:r>
      <w:r>
        <w:rPr>
          <w:rFonts w:ascii="Times New Roman" w:cs="Times New Roman" w:eastAsia="Times New Roman" w:hAnsi="Times New Roman"/>
          <w:sz w:val="18"/>
          <w:szCs w:val="18"/>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TEN. - COVENANTS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Payment of Princip</w:t>
      </w:r>
      <w:r>
        <w:rPr>
          <w:rFonts w:ascii="Times New Roman" w:cs="Times New Roman" w:eastAsia="Times New Roman" w:hAnsi="Times New Roman"/>
          <w:sz w:val="18"/>
          <w:szCs w:val="18"/>
          <w:color w:val="auto"/>
        </w:rPr>
        <w:t>al</w:t>
      </w:r>
      <w:r>
        <w:rPr>
          <w:rFonts w:ascii="Times New Roman" w:cs="Times New Roman" w:eastAsia="Times New Roman" w:hAnsi="Times New Roman"/>
          <w:sz w:val="18"/>
          <w:szCs w:val="18"/>
          <w:u w:val="single" w:color="auto"/>
          <w:color w:val="auto"/>
        </w:rPr>
        <w:t>, Premium or Make-Whole Amount, if an</w:t>
      </w: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u w:val="single" w:color="auto"/>
          <w:color w:val="auto"/>
        </w:rPr>
        <w:t>; and Interest</w:t>
      </w:r>
      <w:r>
        <w:rPr>
          <w:rFonts w:ascii="Times New Roman" w:cs="Times New Roman" w:eastAsia="Times New Roman" w:hAnsi="Times New Roman"/>
          <w:sz w:val="18"/>
          <w:szCs w:val="18"/>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Maintenance of Office or Agenc</w:t>
      </w:r>
      <w:r>
        <w:rPr>
          <w:rFonts w:ascii="Times New Roman" w:cs="Times New Roman" w:eastAsia="Times New Roman" w:hAnsi="Times New Roman"/>
          <w:sz w:val="18"/>
          <w:szCs w:val="18"/>
          <w:color w:val="auto"/>
        </w:rPr>
        <w:t xml:space="preserve">y.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Unless otherwise specified with respect to any Securities pursuant to Section 301, no payment of principal, premium or Make- Whole Amount or interest on Bearer Securities shall be made at any office or agency of the Company in the United States or by check mailed to any address in the United States or by transfer to an account maintained with a bank located in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Money for Securities Payments to Be Held in Trust</w:t>
      </w:r>
      <w:r>
        <w:rPr>
          <w:rFonts w:ascii="Times New Roman" w:cs="Times New Roman" w:eastAsia="Times New Roman" w:hAnsi="Times New Roman"/>
          <w:sz w:val="18"/>
          <w:szCs w:val="18"/>
          <w:color w:val="auto"/>
        </w:rPr>
        <w:t>.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62" w:lineRule="exact"/>
        <w:rPr>
          <w:sz w:val="20"/>
          <w:szCs w:val="20"/>
          <w:color w:val="auto"/>
        </w:rPr>
      </w:pPr>
    </w:p>
    <w:p>
      <w:pPr>
        <w:ind w:left="660" w:firstLine="644"/>
        <w:spacing w:after="0" w:line="282" w:lineRule="auto"/>
        <w:tabs>
          <w:tab w:leader="none" w:pos="157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7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continuance of any such default upon the written request of the Trustee, forthwith pay to the Trustee all sums so held in trust by such Paying Agent.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Subject to Article Eight, the Company will do or cause to be done all things necessary to preserve and keep in full force and effect its corporate existence, all material rights (by certificate of incorporation, bylaws and statute) and material franchises;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to preserve any such right or franchise if the Board of Directors shall determine that the preservation thereof is no longer desirable in the conduct of the business of the Company.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xml:space="preserve">. The Company will cause all of its material properties used or useful in the conduct of its business to be maintained and kept in good condition, repair and working order, normal wear and tear, casualty and condemnation excepted, and supplied with all necessary equipment and will cause to be made all necessary repairs, renewals, replacements, betterments and improvements thereof (and the Company may take out of service for a period of time, any of its properties that have been condemned or suffered any loss due to casualty in order to make such repairs, betterments and improvements), all as in the judgment of the Company may be necessary so that the business carried on in connection therewith may be properly and advantageously conducted at all times;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Company shall not be prevented from (i) removing permanently any property that has been condemned or suffered a loss due to casualty based on the Company’s reasonable judgment that such removal is in the best interest of the Company, or (ii) selling or otherwise disposing of its properties for value in the ordinary course of business.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will cause its insurable properties to be insured against loss or damage in an amount deemed reasonable by the Board of Directors with insurers of recognized responsibility.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Payment of Taxes and Other Claims</w:t>
      </w:r>
      <w:r>
        <w:rPr>
          <w:rFonts w:ascii="Times New Roman" w:cs="Times New Roman" w:eastAsia="Times New Roman" w:hAnsi="Times New Roman"/>
          <w:sz w:val="18"/>
          <w:szCs w:val="18"/>
          <w:color w:val="auto"/>
        </w:rPr>
        <w:t xml:space="preserve">. The Company will pay or discharge or cause to be paid or discharged, before the same shall become delinquent, (1) all taxes, assessments and governmental charges levied or imposed upon it or upon the income, profits or property of the Company, and (2) all lawful claims for labor, materials and supplies which, if unpaid, might by law become a lien upon the property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to pay or discharge or cause to be paid or discharged any such tax, assessment, charge or claim whose amount, applicability or validity is being contested in good faith by appropriate proceedings.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Statement as to Compliance</w:t>
      </w:r>
      <w:r>
        <w:rPr>
          <w:rFonts w:ascii="Times New Roman" w:cs="Times New Roman" w:eastAsia="Times New Roman" w:hAnsi="Times New Roman"/>
          <w:sz w:val="18"/>
          <w:szCs w:val="18"/>
          <w:color w:val="auto"/>
        </w:rPr>
        <w:t>. The Company will deliver to the Trustee, within 120 days after the end of each fiscal year, a brief 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1008, such compliance shall be determined without regard to any period of grace or requirement of notice under this Indenture.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Waiver of Certain Covenants</w:t>
      </w:r>
      <w:r>
        <w:rPr>
          <w:rFonts w:ascii="Times New Roman" w:cs="Times New Roman" w:eastAsia="Times New Roman" w:hAnsi="Times New Roman"/>
          <w:sz w:val="18"/>
          <w:szCs w:val="18"/>
          <w:color w:val="auto"/>
        </w:rPr>
        <w:t>. The Company may omit in any particular instance to comply with any term, provision or condition set forth in Sections 1004 to 1008, inclusive,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ELEVEN. - REDEMPTION OF SECURITIES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Election to Redeem; Notice to Trustee</w:t>
      </w:r>
      <w:r>
        <w:rPr>
          <w:rFonts w:ascii="Times New Roman" w:cs="Times New Roman" w:eastAsia="Times New Roman" w:hAnsi="Times New Roman"/>
          <w:sz w:val="18"/>
          <w:szCs w:val="18"/>
          <w:color w:val="auto"/>
        </w:rPr>
        <w:t>. The election of 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Selection by Trustee of Securities to Be Redeemed</w:t>
      </w:r>
      <w:r>
        <w:rPr>
          <w:rFonts w:ascii="Times New Roman" w:cs="Times New Roman" w:eastAsia="Times New Roman" w:hAnsi="Times New Roman"/>
          <w:sz w:val="18"/>
          <w:szCs w:val="18"/>
          <w:color w:val="auto"/>
        </w:rPr>
        <w:t>. 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notices of redemption shall state:</w:t>
      </w:r>
    </w:p>
    <w:p>
      <w:pPr>
        <w:spacing w:after="0" w:line="225" w:lineRule="exact"/>
        <w:rPr>
          <w:sz w:val="20"/>
          <w:szCs w:val="20"/>
          <w:color w:val="auto"/>
        </w:rPr>
      </w:pPr>
    </w:p>
    <w:p>
      <w:pPr>
        <w:ind w:left="1560" w:hanging="256"/>
        <w:spacing w:after="0"/>
        <w:tabs>
          <w:tab w:leader="none" w:pos="15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accrued interest to the Redemption Date payable as provided in Section 1106, if any,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7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left="660" w:firstLine="644"/>
        <w:spacing w:after="0" w:line="266" w:lineRule="auto"/>
        <w:tabs>
          <w:tab w:leader="none" w:pos="156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17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6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1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6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17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of such Security, if any, and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8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Securities Payable on Redemption Date</w:t>
      </w:r>
      <w:r>
        <w:rPr>
          <w:rFonts w:ascii="Times New Roman" w:cs="Times New Roman" w:eastAsia="Times New Roman" w:hAnsi="Times New Roman"/>
          <w:sz w:val="18"/>
          <w:szCs w:val="18"/>
          <w:color w:val="auto"/>
        </w:rPr>
        <w:t xml:space="preserve">.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except as otherwise provided with respect to Securities convertible into the Company’s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auto"/>
        </w:rPr>
        <w:t>ARTICLE TWELVE. - SINKING FUNDS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The provisions of this Article shall be applicable to any sinking fund for the retirement of Securities of a series except as otherwise specified as contemplated by Section 301 for Securities of such series.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Satisfaction of Sinkin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Fund Payments with Securities</w:t>
      </w:r>
      <w:r>
        <w:rPr>
          <w:rFonts w:ascii="Times New Roman" w:cs="Times New Roman" w:eastAsia="Times New Roman" w:hAnsi="Times New Roman"/>
          <w:sz w:val="18"/>
          <w:szCs w:val="18"/>
          <w:color w:val="auto"/>
        </w:rPr>
        <w:t xml:space="preserve">.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Redemption of Securities for Sinkin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color w:val="auto"/>
        </w:rPr>
        <w:t>ARTICLE THIRTEEN. - REPAYMENT AT THE OPTION OF HOLDERS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Repayment of Securities</w:t>
      </w:r>
      <w:r>
        <w:rPr>
          <w:rFonts w:ascii="Times New Roman" w:cs="Times New Roman" w:eastAsia="Times New Roman" w:hAnsi="Times New Roman"/>
          <w:sz w:val="18"/>
          <w:szCs w:val="18"/>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xml:space="preserve">.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When Securities Presented for Repayment Become Due and Payable</w:t>
      </w:r>
      <w:r>
        <w:rPr>
          <w:rFonts w:ascii="Times New Roman" w:cs="Times New Roman" w:eastAsia="Times New Roman" w:hAnsi="Times New Roman"/>
          <w:sz w:val="18"/>
          <w:szCs w:val="18"/>
          <w:color w:val="auto"/>
        </w:rPr>
        <w:t xml:space="preserve">.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Securities Repaid in Part</w:t>
      </w:r>
      <w:r>
        <w:rPr>
          <w:rFonts w:ascii="Times New Roman" w:cs="Times New Roman" w:eastAsia="Times New Roman" w:hAnsi="Times New Roman"/>
          <w:sz w:val="18"/>
          <w:szCs w:val="18"/>
          <w:color w:val="auto"/>
        </w:rPr>
        <w:t>.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FOURTEEN. - DEFEASANCE AND COVENANT DEFEASANCE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Applicability of Article; Company’s Option to Effect Defeasance or Covenant Defeasance</w:t>
      </w:r>
      <w:r>
        <w:rPr>
          <w:rFonts w:ascii="Times New Roman" w:cs="Times New Roman" w:eastAsia="Times New Roman" w:hAnsi="Times New Roman"/>
          <w:sz w:val="18"/>
          <w:szCs w:val="18"/>
          <w:color w:val="auto"/>
        </w:rPr>
        <w:t>. If, pursuant to Section 301, provision is made for either or both of (a) Defeasance of the Securities of or within a series under Section 1402 or (b)Covenant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u w:val="single" w:color="auto"/>
          <w:color w:val="auto"/>
        </w:rPr>
        <w:t>Defeasance and Discharge</w:t>
      </w:r>
      <w:r>
        <w:rPr>
          <w:rFonts w:ascii="Times New Roman" w:cs="Times New Roman" w:eastAsia="Times New Roman" w:hAnsi="Times New Roman"/>
          <w:sz w:val="18"/>
          <w:szCs w:val="18"/>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Upon the Company’s exercise of the above option applicable to this Section with respect to any Securities of or within a series, the Company shall be released from its obligations under Sections 1004 to 1009,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to 1009,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u w:val="single" w:color="auto"/>
          <w:color w:val="auto"/>
        </w:rPr>
        <w:t>Conditions to Defeasance or Covenant Defeasance</w:t>
      </w:r>
      <w:r>
        <w:rPr>
          <w:rFonts w:ascii="Times New Roman" w:cs="Times New Roman" w:eastAsia="Times New Roman" w:hAnsi="Times New Roman"/>
          <w:sz w:val="18"/>
          <w:szCs w:val="18"/>
          <w:color w:val="auto"/>
        </w:rPr>
        <w:t>. The following shall be the conditions to application of Section 1402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1403 to any Outstanding Securities of or within a series and any coupons appertaining thereto:</w:t>
      </w:r>
    </w:p>
    <w:p>
      <w:pPr>
        <w:spacing w:after="0" w:line="207" w:lineRule="exact"/>
        <w:rPr>
          <w:sz w:val="20"/>
          <w:szCs w:val="20"/>
          <w:color w:val="auto"/>
        </w:rPr>
      </w:pPr>
    </w:p>
    <w:p>
      <w:pPr>
        <w:jc w:val="both"/>
        <w:ind w:firstLine="656"/>
        <w:spacing w:after="0" w:line="252" w:lineRule="auto"/>
        <w:tabs>
          <w:tab w:leader="none" w:pos="90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 (1)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ind w:firstLine="656"/>
        <w:spacing w:after="0" w:line="282" w:lineRule="auto"/>
        <w:tabs>
          <w:tab w:leader="none" w:pos="91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2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0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87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right="20" w:firstLine="656"/>
        <w:spacing w:after="0" w:line="282" w:lineRule="auto"/>
        <w:tabs>
          <w:tab w:leader="none" w:pos="9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amounts payable to the Trustee pursuant to this Indenture shall be paid or provided for to the reasonable satisfaction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u w:val="single" w:color="auto"/>
          <w:color w:val="auto"/>
        </w:rPr>
        <w:t>Deposited Money and Government Obligations to Be Held in Trust; Other Miscellaneous Provisions</w:t>
      </w:r>
      <w:r>
        <w:rPr>
          <w:rFonts w:ascii="Times New Roman" w:cs="Times New Roman" w:eastAsia="Times New Roman" w:hAnsi="Times New Roman"/>
          <w:sz w:val="18"/>
          <w:szCs w:val="18"/>
          <w:color w:val="auto"/>
        </w:rPr>
        <w:t>. 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or Make-Whole Amount, if any) and interest, but such money need not be segregated from other funds except to the extent required by law.</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specified with respect to any Security pursuant to Section 301, if, after a deposit referred to in Section 1404(a) has been made,</w:t>
      </w:r>
    </w:p>
    <w:p>
      <w:pPr>
        <w:spacing w:after="0" w:line="27" w:lineRule="exact"/>
        <w:rPr>
          <w:sz w:val="20"/>
          <w:szCs w:val="20"/>
          <w:color w:val="auto"/>
        </w:rPr>
      </w:pPr>
    </w:p>
    <w:p>
      <w:pPr>
        <w:jc w:val="both"/>
        <w:ind w:firstLine="8"/>
        <w:spacing w:after="0" w:line="251" w:lineRule="auto"/>
        <w:tabs>
          <w:tab w:leader="none" w:pos="25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FIFTEEN. - MEETINGS OF HOLDERS OF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u w:val="single" w:color="auto"/>
          <w:color w:val="auto"/>
        </w:rPr>
        <w:t>Purposes for Which Meetings May Be Called</w:t>
      </w:r>
      <w:r>
        <w:rPr>
          <w:rFonts w:ascii="Times New Roman" w:cs="Times New Roman" w:eastAsia="Times New Roman" w:hAnsi="Times New Roman"/>
          <w:sz w:val="18"/>
          <w:szCs w:val="18"/>
          <w:color w:val="auto"/>
        </w:rPr>
        <w:t>.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u w:val="single" w:color="auto"/>
          <w:color w:val="auto"/>
        </w:rPr>
        <w:t>Call, Notice and Place of Meetings.</w:t>
      </w:r>
    </w:p>
    <w:p>
      <w:pPr>
        <w:spacing w:after="0" w:line="225" w:lineRule="exact"/>
        <w:rPr>
          <w:sz w:val="20"/>
          <w:szCs w:val="20"/>
          <w:color w:val="auto"/>
        </w:rPr>
      </w:pPr>
    </w:p>
    <w:p>
      <w:pPr>
        <w:jc w:val="both"/>
        <w:ind w:firstLine="656"/>
        <w:spacing w:after="0" w:line="261" w:lineRule="auto"/>
        <w:tabs>
          <w:tab w:leader="none" w:pos="89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2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u w:val="single" w:color="auto"/>
          <w:color w:val="auto"/>
        </w:rPr>
        <w:t>Persons Entitled to Vote at Meetin</w:t>
      </w:r>
      <w:r>
        <w:rPr>
          <w:rFonts w:ascii="Times New Roman" w:cs="Times New Roman" w:eastAsia="Times New Roman" w:hAnsi="Times New Roman"/>
          <w:sz w:val="18"/>
          <w:szCs w:val="18"/>
          <w:color w:val="auto"/>
        </w:rPr>
        <w:t>gs. 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The Persons entitled to vote a majority in principal amount of the Outstanding Securities of a series shall constitute a quorum for a meeting of Holders of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180" w:lineRule="exact"/>
        <w:rPr>
          <w:sz w:val="20"/>
          <w:szCs w:val="20"/>
          <w:color w:val="auto"/>
        </w:rPr>
      </w:pPr>
    </w:p>
    <w:p>
      <w:pPr>
        <w:ind w:left="1520" w:hanging="216"/>
        <w:spacing w:after="0"/>
        <w:tabs>
          <w:tab w:leader="none" w:pos="15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minimum quorum requirement for such meeting; and</w:t>
      </w:r>
    </w:p>
    <w:p>
      <w:pPr>
        <w:spacing w:after="0" w:line="22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57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ind w:left="660"/>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u w:val="single" w:color="auto"/>
          <w:color w:val="auto"/>
        </w:rPr>
        <w:t>Determination of Voting Rights; Conduct and Adjournment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8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2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meeting each Holder of a Security of such series or proxy shall be entitled to one vote for each $1,000 principal amount of the Outstanding Securities of such series held or represented by him;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1506. </w:t>
      </w:r>
      <w:r>
        <w:rPr>
          <w:rFonts w:ascii="Times New Roman" w:cs="Times New Roman" w:eastAsia="Times New Roman" w:hAnsi="Times New Roman"/>
          <w:sz w:val="18"/>
          <w:szCs w:val="18"/>
          <w:u w:val="single" w:color="auto"/>
          <w:color w:val="auto"/>
        </w:rPr>
        <w:t>Counting Votes and Recording Action of Meetings</w:t>
      </w:r>
      <w:r>
        <w:rPr>
          <w:rFonts w:ascii="Times New Roman" w:cs="Times New Roman" w:eastAsia="Times New Roman" w:hAnsi="Times New Roman"/>
          <w:sz w:val="18"/>
          <w:szCs w:val="18"/>
          <w:color w:val="auto"/>
        </w:rPr>
        <w:t>.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color w:val="auto"/>
        </w:rPr>
        <w:t>ARTICLE SIXTEEN. - CONVERSION OF SECURITIES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u w:val="single" w:color="auto"/>
          <w:color w:val="auto"/>
        </w:rPr>
        <w:t>Applicability of Article; Conversion Privile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and Conversion Price</w:t>
      </w:r>
      <w:r>
        <w:rPr>
          <w:rFonts w:ascii="Times New Roman" w:cs="Times New Roman" w:eastAsia="Times New Roman" w:hAnsi="Times New Roman"/>
          <w:sz w:val="18"/>
          <w:szCs w:val="18"/>
          <w:color w:val="auto"/>
        </w:rPr>
        <w:t>. Securities of any series which are convertible shall be convertible in accordance with their terms and (except as otherwise specified as contemplated by Section 301 for Securities of any series) in accordance with this Article Sixteen. Subject to and upon compliance with the provisions of this Article Sixteen, at any time during the period specified in the Securities, at the option of the Holder thereof, any Security or any portion of the principal amount thereof which is $1,000 or an integral multiple of $1,000 may be converted at the principal amount thereof, or of such portion 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price at which shares of Common Stock shall be delivered upon conversion (herein called the “Conversion Price”) of Securities of any series shall be specified in such Securities. The Conversion Price shall be adjusted in certain instances as provided in Section 1604.</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case the Company shall, by dividend or otherwise, declare or make a distribution on its Common Stock referred to in paragraph (4) of Section 1604, the Holder of each Security, upon the conversion thereof pursuant to this Article Sixteen subsequent to the close of business on the date fixed for the determination of stockholders entitled to receive such distribution and prior to the effectiveness of the Conversion Price adjustment in respect of such distribution pursuant to paragraph (4) of Section 1604, shall be entitled to receive for each share of Common Stock into which such Security is converted, the portion of the evidence of indebtedness, shares of Capital Stock or assets so distributed applicable to one share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 (ii) requires payment or delivery of such evidences of indebtedness or assets no later than the date of payment or delivery thereof to holders of Common Stock receiving such distribution.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u w:val="single" w:color="auto"/>
          <w:color w:val="auto"/>
        </w:rPr>
        <w:t>Exercise of Conversion Privilege</w:t>
      </w:r>
      <w:r>
        <w:rPr>
          <w:rFonts w:ascii="Times New Roman" w:cs="Times New Roman" w:eastAsia="Times New Roman" w:hAnsi="Times New Roman"/>
          <w:sz w:val="18"/>
          <w:szCs w:val="18"/>
          <w:color w:val="auto"/>
        </w:rPr>
        <w:t>.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1603.</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1603. </w:t>
      </w:r>
      <w:r>
        <w:rPr>
          <w:rFonts w:ascii="Times New Roman" w:cs="Times New Roman" w:eastAsia="Times New Roman" w:hAnsi="Times New Roman"/>
          <w:sz w:val="18"/>
          <w:szCs w:val="18"/>
          <w:u w:val="single" w:color="auto"/>
          <w:color w:val="auto"/>
        </w:rPr>
        <w:t>Fractions of Shares</w:t>
      </w:r>
      <w:r>
        <w:rPr>
          <w:rFonts w:ascii="Times New Roman" w:cs="Times New Roman" w:eastAsia="Times New Roman" w:hAnsi="Times New Roman"/>
          <w:sz w:val="18"/>
          <w:szCs w:val="18"/>
          <w:color w:val="auto"/>
        </w:rPr>
        <w:t>. No fractional shares of Common Stock shall be issued upon conversion of Securities. If more than one Security shall be surrendered for conversion at one time by the same Holder, the number of full shares of Common Stock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u w:val="single" w:color="auto"/>
          <w:color w:val="auto"/>
        </w:rPr>
        <w:t>Adjustment of Conversion Price</w:t>
      </w:r>
      <w:r>
        <w:rPr>
          <w:rFonts w:ascii="Times New Roman" w:cs="Times New Roman" w:eastAsia="Times New Roman" w:hAnsi="Times New Roman"/>
          <w:sz w:val="18"/>
          <w:szCs w:val="18"/>
          <w:color w:val="auto"/>
        </w:rPr>
        <w:t>. The Conversion Price shall be subject to adjustment from time to time as follows:</w:t>
      </w:r>
    </w:p>
    <w:p>
      <w:pPr>
        <w:spacing w:after="0" w:line="225" w:lineRule="exact"/>
        <w:rPr>
          <w:sz w:val="20"/>
          <w:szCs w:val="20"/>
          <w:color w:val="auto"/>
        </w:rPr>
      </w:pPr>
    </w:p>
    <w:p>
      <w:pPr>
        <w:jc w:val="both"/>
        <w:ind w:firstLine="656"/>
        <w:spacing w:after="0" w:line="253" w:lineRule="auto"/>
        <w:tabs>
          <w:tab w:leader="none" w:pos="91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 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92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 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1604,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 (7) of this Section 1604) of the Common Stock of the Company on the Rights Record 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56"/>
        <w:spacing w:after="0" w:line="256" w:lineRule="auto"/>
        <w:tabs>
          <w:tab w:leader="none" w:pos="9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outstanding shares of Common Stock of the Company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91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 (b) distributes to substantially all holders of Common Stock rights or warrants to subscribe for securities (other than Short Term Rights to which paragraph (2) of this Section 1604 applies), the Conversion Price shall be reduced by multiplying such Conversion Price by a fraction of which the numerator shall be the current market price per share (determined as provided in paragraph (7) of this Section 1604) of the Common Stock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 (a) the date fixed for the payment of such distribution and (b) the date 20 days after notice relating to such distribution is required to be given pursuant to Section 1606(a).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1604. In the event that, with respect to any distribution to which this paragraph (4) of Section 1604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1611 shall apply with respect to such Unadjusted Distribution.</w:t>
      </w:r>
    </w:p>
    <w:p>
      <w:pPr>
        <w:spacing w:after="0" w:line="19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but shall not be required to, make such reductions in the Conversion Price, in addition to those required by paragraphs (1),</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(3), and (4) of this Section 1604,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Common Stock have the right to participate.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ind w:firstLine="656"/>
        <w:spacing w:after="0" w:line="253" w:lineRule="auto"/>
        <w:tabs>
          <w:tab w:leader="none" w:pos="91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 (ii) are not exercisable and (iii) are also issued or distributed in respect of future issuances of Common Stock, in each case in clauses (i) through (iii) until the occurrence of a specified event or events (“Trigger Events”), shall for purposes of this Section 1604 not be deemed issued or distributed until the occurrence of the earliest Trigger Event. Each share of Common Stock issued upon conversion of Securities pursuant to this Article Sixteen shall be entitled to receive the appropriate number of Common Stock purchase rights (the “Rights”), if any, and the certificates representing the Common Stock issued upon conversion shall bear such legends, if any. Notwithstanding anything to the contrary in this Article Sixteen,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 Rights. No adjustment in the Conversion Price need be made for rights to purchase or the sale of Common Stock pursuant to a Company plan providing for reinvestment of dividends or interest.</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any computation under paragraph (2), (4) or (5) of this Section 1604,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adjustment in the Conversion Price shall be required unless such adjustment would require an increase or decrease of at least 1% in the Conversion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adjustments which by reason of this paragraph (8) are not required to be made shall be carried forward and taken into account in any subsequent adjustment. All calculations under this Article Sixteen shall be made to the nearest cent or to the nearest one-hundredth of a share of Common Stock, as the case may be.</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1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Sixteen) had such dividend or distribution never been declared.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56"/>
        <w:spacing w:after="0" w:line="261" w:lineRule="auto"/>
        <w:tabs>
          <w:tab w:leader="none" w:pos="9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1604, no adjustment to the Conversion Price shall reduce the Conversion Price below the then par value per share of the Common Stock of the Company, and any such purported adjustment shall 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8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this Article Sixteen requires adjustments to the Conversion Price under more than one of paragraphs (1), (2), (3) or (4) of this Section 1604, and the record or effective dates for the transaction giving rise to such adjustments shall occur on the same date, then such adjustments shall be made by applying (to the extent they are applicable), first, the provisions of paragraph (3) of this Section 1604, second, the provisions of paragraph (1) of this Section 1604, third, the provisions of paragraph (4) of this Section 1604 and, fourth, the provisions of paragraph (2) of this Section 1604. Anything herein to the contrary notwithstanding, no single event shall require or result in duplicative adjustments in the Conversion Price pursuant to this Section 1604. After an adjustment to the Conversion Price under this Article Sixteen, any subsequent event requiring an adjustment under this Article Sixteen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Sixteen with respect to the Common Stock in this Article Sixteen.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1605. </w:t>
      </w:r>
      <w:r>
        <w:rPr>
          <w:rFonts w:ascii="Times New Roman" w:cs="Times New Roman" w:eastAsia="Times New Roman" w:hAnsi="Times New Roman"/>
          <w:sz w:val="18"/>
          <w:szCs w:val="18"/>
          <w:u w:val="single" w:color="auto"/>
          <w:color w:val="auto"/>
        </w:rPr>
        <w:t>Notice of 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 of Conversion Price</w:t>
      </w:r>
      <w:r>
        <w:rPr>
          <w:rFonts w:ascii="Times New Roman" w:cs="Times New Roman" w:eastAsia="Times New Roman" w:hAnsi="Times New Roman"/>
          <w:sz w:val="18"/>
          <w:szCs w:val="18"/>
          <w:color w:val="auto"/>
        </w:rPr>
        <w:t>. Whenever the Conversion Price is adjusted as herein provided:</w:t>
      </w:r>
    </w:p>
    <w:p>
      <w:pPr>
        <w:spacing w:after="0" w:line="225" w:lineRule="exact"/>
        <w:rPr>
          <w:sz w:val="20"/>
          <w:szCs w:val="20"/>
          <w:color w:val="auto"/>
        </w:rPr>
      </w:pPr>
    </w:p>
    <w:p>
      <w:pPr>
        <w:jc w:val="both"/>
        <w:ind w:firstLine="656"/>
        <w:spacing w:after="0" w:line="261" w:lineRule="auto"/>
        <w:tabs>
          <w:tab w:leader="none" w:pos="9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compute the adjusted Conversion Price in accordance with Section 1604 or Section 1611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ind w:left="660"/>
        <w:spacing w:after="0"/>
        <w:rPr>
          <w:sz w:val="20"/>
          <w:szCs w:val="20"/>
          <w:color w:val="auto"/>
        </w:rPr>
      </w:pPr>
      <w:r>
        <w:rPr>
          <w:rFonts w:ascii="Times New Roman" w:cs="Times New Roman" w:eastAsia="Times New Roman" w:hAnsi="Times New Roman"/>
          <w:sz w:val="18"/>
          <w:szCs w:val="18"/>
          <w:color w:val="auto"/>
        </w:rPr>
        <w:t xml:space="preserve">SECTION 1606. </w:t>
      </w:r>
      <w:r>
        <w:rPr>
          <w:rFonts w:ascii="Times New Roman" w:cs="Times New Roman" w:eastAsia="Times New Roman" w:hAnsi="Times New Roman"/>
          <w:sz w:val="18"/>
          <w:szCs w:val="18"/>
          <w:u w:val="single" w:color="auto"/>
          <w:color w:val="auto"/>
        </w:rPr>
        <w:t>Notice of Certain Corporate Action. In case:</w:t>
      </w:r>
    </w:p>
    <w:p>
      <w:pPr>
        <w:spacing w:after="0" w:line="225" w:lineRule="exact"/>
        <w:rPr>
          <w:sz w:val="20"/>
          <w:szCs w:val="20"/>
          <w:color w:val="auto"/>
        </w:rPr>
      </w:pPr>
    </w:p>
    <w:p>
      <w:pPr>
        <w:ind w:left="920" w:hanging="264"/>
        <w:spacing w:after="0"/>
        <w:tabs>
          <w:tab w:leader="none" w:pos="9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any action that would require a Conversion Price adjustment pursuant to Section 1604 or Section 1611; or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 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1607. </w:t>
      </w:r>
      <w:r>
        <w:rPr>
          <w:rFonts w:ascii="Times New Roman" w:cs="Times New Roman" w:eastAsia="Times New Roman" w:hAnsi="Times New Roman"/>
          <w:sz w:val="18"/>
          <w:szCs w:val="18"/>
          <w:u w:val="single" w:color="auto"/>
          <w:color w:val="auto"/>
        </w:rPr>
        <w:t>Company to Reserve Common Stock</w:t>
      </w:r>
      <w:r>
        <w:rPr>
          <w:rFonts w:ascii="Times New Roman" w:cs="Times New Roman" w:eastAsia="Times New Roman" w:hAnsi="Times New Roman"/>
          <w:sz w:val="18"/>
          <w:szCs w:val="18"/>
          <w:color w:val="auto"/>
        </w:rPr>
        <w:t>. The Company shall at all times reserve and keep available, free from preemptive rights, 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1608. </w:t>
      </w:r>
      <w:r>
        <w:rPr>
          <w:rFonts w:ascii="Times New Roman" w:cs="Times New Roman" w:eastAsia="Times New Roman" w:hAnsi="Times New Roman"/>
          <w:sz w:val="18"/>
          <w:szCs w:val="18"/>
          <w:u w:val="single" w:color="auto"/>
          <w:color w:val="auto"/>
        </w:rPr>
        <w:t>Taxes on Conversion</w:t>
      </w:r>
      <w:r>
        <w:rPr>
          <w:rFonts w:ascii="Times New Roman" w:cs="Times New Roman" w:eastAsia="Times New Roman" w:hAnsi="Times New Roman"/>
          <w:sz w:val="18"/>
          <w:szCs w:val="18"/>
          <w:color w:val="auto"/>
        </w:rPr>
        <w:t>. 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1609. </w:t>
      </w:r>
      <w:r>
        <w:rPr>
          <w:rFonts w:ascii="Times New Roman" w:cs="Times New Roman" w:eastAsia="Times New Roman" w:hAnsi="Times New Roman"/>
          <w:sz w:val="18"/>
          <w:szCs w:val="18"/>
          <w:u w:val="single" w:color="auto"/>
          <w:color w:val="auto"/>
        </w:rPr>
        <w:t>Covenants as to Common Stock</w:t>
      </w:r>
      <w:r>
        <w:rPr>
          <w:rFonts w:ascii="Times New Roman" w:cs="Times New Roman" w:eastAsia="Times New Roman" w:hAnsi="Times New Roman"/>
          <w:sz w:val="18"/>
          <w:szCs w:val="18"/>
          <w:color w:val="auto"/>
        </w:rPr>
        <w:t>. The Company covenants that all shares of Common Stock which may be issued upon conversion of Securities will upon issue be duly and validly issued, fully paid and nonassessable, free of preemptive or any similar rights, and, except as provided in Section 1608, the Company will pay all taxes, liens and charges with respect to the issue thereof.</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1610. </w:t>
      </w:r>
      <w:r>
        <w:rPr>
          <w:rFonts w:ascii="Times New Roman" w:cs="Times New Roman" w:eastAsia="Times New Roman" w:hAnsi="Times New Roman"/>
          <w:sz w:val="18"/>
          <w:szCs w:val="18"/>
          <w:u w:val="single" w:color="auto"/>
          <w:color w:val="auto"/>
        </w:rPr>
        <w:t>Cancellation of Converted Securities</w:t>
      </w:r>
      <w:r>
        <w:rPr>
          <w:rFonts w:ascii="Times New Roman" w:cs="Times New Roman" w:eastAsia="Times New Roman" w:hAnsi="Times New Roman"/>
          <w:sz w:val="18"/>
          <w:szCs w:val="18"/>
          <w:color w:val="auto"/>
        </w:rPr>
        <w:t>. All Securities delivered for conversion shall be delivered to the Trustee to be cancelled by or at the direction of the Trustee, which shall dispose of the same as provided in Section 309.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1611. </w:t>
      </w:r>
      <w:r>
        <w:rPr>
          <w:rFonts w:ascii="Times New Roman" w:cs="Times New Roman" w:eastAsia="Times New Roman" w:hAnsi="Times New Roman"/>
          <w:sz w:val="18"/>
          <w:szCs w:val="18"/>
          <w:u w:val="single" w:color="auto"/>
          <w:color w:val="auto"/>
        </w:rPr>
        <w:t>Provisions in Case of Consolidation, Merger or Sale of Assets; Special Distributions</w:t>
      </w:r>
      <w:r>
        <w:rPr>
          <w:rFonts w:ascii="Times New Roman" w:cs="Times New Roman" w:eastAsia="Times New Roman" w:hAnsi="Times New Roman"/>
          <w:sz w:val="18"/>
          <w:szCs w:val="18"/>
          <w:color w:val="auto"/>
        </w:rPr>
        <w:t>. If any of the following shall occur, namely:</w:t>
      </w:r>
    </w:p>
    <w:p>
      <w:pPr>
        <w:spacing w:after="0" w:line="27" w:lineRule="exact"/>
        <w:rPr>
          <w:sz w:val="20"/>
          <w:szCs w:val="20"/>
          <w:color w:val="auto"/>
        </w:rPr>
      </w:pPr>
    </w:p>
    <w:p>
      <w:pPr>
        <w:jc w:val="both"/>
        <w:ind w:firstLine="8"/>
        <w:spacing w:after="0" w:line="251" w:lineRule="auto"/>
        <w:tabs>
          <w:tab w:leader="none" w:pos="2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reclassification or change of outstanding shares of Common Stock issuable upon conversion of Securities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 result in any reclassification of, or change (other than a change in name, or par value, or from par value to no par value, or from no par value to par value or as a result of a subdivision or combination) in, outstanding shares of Common Stock or (iii) any sale or conveyance of all or substantially all of the property or business of the Company as an entirety, then the Person formed by such consolidation or resulting from such merger or which acquires such properties or assets, as the case may be, shall as a condition precedent to such transaction execute and deliver to the Trustee a supplemental indenture providing that the Holder of each Security then outstanding shall have the right thereafter, during the period such Security shall be convertible as specified in Section 1601, to convert such Security only into the kind and amount of securities, cash and other property receivable, if any, upon such consolidation, merger, sale, transfer or lease by a holder of the number of shares of Common Stock of the Company into which such Security might have been converted immediately prior to such consolidation, merger, sale, transfer or lease; provided that the kind and amount of securities, cash and other property so receivable shall be determined on the basis of the following assumptions. The holder of Common Stock referred to in the foregoing sentence:</w:t>
      </w:r>
    </w:p>
    <w:p>
      <w:pPr>
        <w:spacing w:after="0" w:line="192"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a Person with which the Company consolidated, (b) a Person into which the Company merged or which merged into the Company, or (c) a Person to which such sale, transfer or lease was made (any Person described in the foregoing clauses (a), (b), or (c), hereinafter referred to as a “Constituent Person”), or (d) an Affiliate of a Constituent Person;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7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share of Common Stock of the Company in respect of which such rights of election shall not have been exercised, then for the purpose of this Section 1611 the kind and amount of securities, cash and other property receivable upon such consolidation, merger, sale, transfer or lease shall be deemed to be the kind and amount so receivable per share by a plurality of such shares of Common Stock).</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Such supplemental indenture shall provide for adjustments which, for events subsequent to the effective date of such supplemental indenture, shall be as nearly equivalent as may be practicable to the adjustments provided for in this Article Sixteen. If, in the case of any such consolidation, merger, sale transfer or lease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1611 shall similarly apply to successive consolidations, mergers, sales, transfers or leases.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the Company shall execute a supplemental indenture pursuant to this Section 1611,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makes a distribution to all holders of its Common Stock that constitutes an Unadjusted Distribution pursuant to the last sentence of paragraph (4) of Section 1604, then, from and after the record date for determining the holders of Common Stock entitled to receive such distribution (the “Distribution Record Date”), a Holder of a Security who converts such Security in 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1612. </w:t>
      </w:r>
      <w:r>
        <w:rPr>
          <w:rFonts w:ascii="Times New Roman" w:cs="Times New Roman" w:eastAsia="Times New Roman" w:hAnsi="Times New Roman"/>
          <w:sz w:val="18"/>
          <w:szCs w:val="18"/>
          <w:u w:val="single" w:color="auto"/>
          <w:color w:val="auto"/>
        </w:rPr>
        <w:t>Trustee 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 Disclaimer; Company Determination Final</w:t>
      </w:r>
      <w:r>
        <w:rPr>
          <w:rFonts w:ascii="Times New Roman" w:cs="Times New Roman" w:eastAsia="Times New Roman" w:hAnsi="Times New Roman"/>
          <w:sz w:val="18"/>
          <w:szCs w:val="18"/>
          <w:color w:val="auto"/>
        </w:rPr>
        <w:t>. The Trustee has no duty to determine when an adjustment under this Article Sixteen should be made, how it should be made or what it should be. The Trustee has no duty to determine whether a supplemental indenture under Section 1611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Sixteen. Any determination that the Company or the Board of Directors must make pursuant to this Article Sixteen is conclusive, absent manifest error.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1613. </w:t>
      </w:r>
      <w:r>
        <w:rPr>
          <w:rFonts w:ascii="Times New Roman" w:cs="Times New Roman" w:eastAsia="Times New Roman" w:hAnsi="Times New Roman"/>
          <w:sz w:val="18"/>
          <w:szCs w:val="18"/>
          <w:u w:val="single" w:color="auto"/>
          <w:color w:val="auto"/>
        </w:rPr>
        <w:t>When No Adjustment Required</w:t>
      </w:r>
      <w:r>
        <w:rPr>
          <w:rFonts w:ascii="Times New Roman" w:cs="Times New Roman" w:eastAsia="Times New Roman" w:hAnsi="Times New Roman"/>
          <w:sz w:val="18"/>
          <w:szCs w:val="18"/>
          <w:color w:val="auto"/>
        </w:rPr>
        <w:t>. Except as expressly set forth in Section 1604, no adjustment in the Conversion Price shall be 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180" w:lineRule="exact"/>
        <w:rPr>
          <w:sz w:val="20"/>
          <w:szCs w:val="20"/>
          <w:color w:val="auto"/>
        </w:rPr>
      </w:pPr>
    </w:p>
    <w:p>
      <w:pPr>
        <w:jc w:val="both"/>
        <w:ind w:left="660" w:firstLine="644"/>
        <w:spacing w:after="0" w:line="261" w:lineRule="auto"/>
        <w:tabs>
          <w:tab w:leader="none" w:pos="157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 adjustment in the Conversion Price shall be made pursuant to Section 1604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1614. </w:t>
      </w:r>
      <w:r>
        <w:rPr>
          <w:rFonts w:ascii="Times New Roman" w:cs="Times New Roman" w:eastAsia="Times New Roman" w:hAnsi="Times New Roman"/>
          <w:sz w:val="18"/>
          <w:szCs w:val="18"/>
          <w:u w:val="single" w:color="auto"/>
          <w:color w:val="auto"/>
        </w:rPr>
        <w:t>Equivalent 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w:t>
      </w:r>
      <w:r>
        <w:rPr>
          <w:rFonts w:ascii="Times New Roman" w:cs="Times New Roman" w:eastAsia="Times New Roman" w:hAnsi="Times New Roman"/>
          <w:sz w:val="18"/>
          <w:szCs w:val="18"/>
          <w:color w:val="auto"/>
        </w:rPr>
        <w:t>. In the event that, as a result of an adjustment made pursuant to Section 1604 above, the holder of any Security thereafter surrendered for conversion shall become entitled to receive any shares of Capital Stock of the Company other than shares of its Common Stock, thereafter the Conversion Price of such other shares so receivable upon conversion of any Securities shall be subject to adjustment from time to time in a manner and on terms as nearly equivalent as practicable to the provisions with respect to Common Stock contained in this Article Sixteen.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ind w:left="47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all as of the day and year first above written.</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RYTHM, INC.</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00"/>
          </w:cols>
          <w:pgMar w:left="980" w:top="904" w:right="101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REDEEMABLE OR NON-REDEEMABLE SENIOR SECURITY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 of Security]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Holder of this Security (as indicated below) is The Depository Trust Company (“DTC”) or a nominee of DTC, this Security is a Global Security and the following two legends apply:</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this Security is an Ori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inal Issue Discount Securit</w:t>
      </w: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insert</w:t>
      </w:r>
      <w:r>
        <w:rPr>
          <w:rFonts w:ascii="Times New Roman" w:cs="Times New Roman" w:eastAsia="Times New Roman" w:hAnsi="Times New Roman"/>
          <w:sz w:val="18"/>
          <w:szCs w:val="18"/>
          <w:color w:val="auto"/>
        </w:rPr>
        <w:t xml:space="preserve"> — FOR PURPOSES OF SECTION 1273 and 1275 OF THE UNITED STATES INTERNAL REVENUE CODE, THE AMOUNT OF ORIGINAL ISSUE DISCOUNT ON THIS SECURITY IS % OF ITS PRINCIPAL AMOUNT, THE ISSUE DATE IS , 20 , AND THE YIELD TO MATURITY IS %. THE METHOD USED TO DETERMINE THE AMOUNT OF ORIGINAL ISSUE DISCOUNT APPLICABLE TO THE SHORT ACCRUAL PERIOD OF , 20 TO , 20 , IS % OF THE PRINCIPAL AMOUNT OF THIS SECURITY.]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color w:val="auto"/>
        </w:rPr>
        <w:t>RYTHM,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[Designation of Series]</w:t>
      </w:r>
    </w:p>
    <w:p>
      <w:pPr>
        <w:spacing w:after="0" w:line="225" w:lineRule="exact"/>
        <w:rPr>
          <w:sz w:val="20"/>
          <w:szCs w:val="20"/>
          <w:color w:val="auto"/>
        </w:rPr>
      </w:pPr>
    </w:p>
    <w:p>
      <w:pPr>
        <w:spacing w:after="0"/>
        <w:tabs>
          <w:tab w:leader="none" w:pos="988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RYTHM, INC., a Nevada corporation (herein referred to as the “Company,” which term includes any successor corporation under the Indenture referred to on the reverse hereof), for value received, hereby promises to pay to or registered assigns the principal sum of Dollars on (the “Stated Maturity Date”) [or </w:t>
      </w:r>
      <w:r>
        <w:rPr>
          <w:rFonts w:ascii="Times New Roman" w:cs="Times New Roman" w:eastAsia="Times New Roman" w:hAnsi="Times New Roman"/>
          <w:sz w:val="18"/>
          <w:szCs w:val="18"/>
          <w:u w:val="single" w:color="auto"/>
          <w:color w:val="auto"/>
        </w:rPr>
        <w:t>insert date fixed for earlier redemption</w:t>
      </w:r>
      <w:r>
        <w:rPr>
          <w:rFonts w:ascii="Times New Roman" w:cs="Times New Roman" w:eastAsia="Times New Roman" w:hAnsi="Times New Roman"/>
          <w:sz w:val="18"/>
          <w:szCs w:val="18"/>
          <w:color w:val="auto"/>
        </w:rPr>
        <w:t xml:space="preserve"> (the “Redemption Date,” and together with the Stated Maturity Date with respect to principal repayable on such date, the “Maturity Date.”)]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the Security is to bear interest prior to Maturit</w:t>
      </w: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insert</w:t>
      </w:r>
      <w:r>
        <w:rPr>
          <w:rFonts w:ascii="Times New Roman" w:cs="Times New Roman" w:eastAsia="Times New Roman" w:hAnsi="Times New Roman"/>
          <w:sz w:val="18"/>
          <w:szCs w:val="18"/>
          <w:color w:val="auto"/>
        </w:rPr>
        <w:t xml:space="preserve"> — and to pay interest thereon from or from the most recent Interest Payment Date to which interest has been paid or duly provided for, semi-annually on and in each year (each, an “Interest Payment Date”), commencing, at the rate of % per annum, until the principal hereof is paid or duly provided for. The interest so payable, and punctually paid or duly provided for, on any Interest Payment Date will, as provided in such Indenture, be paid to the Holder in whose name this Security (or one or more Predecessor Securities) is registered at the close of business on the Regular Record Date for such interest, which shall be the or (whether or not a Business Day), as the case may be, next preceding such Interest Payment Date [at the office or agency of the Company maintained for such purpose;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360-day year of twelve 30-day months.]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the Security is not to bear interest prior to Maturit</w:t>
      </w: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insert</w:t>
      </w:r>
      <w:r>
        <w:rPr>
          <w:rFonts w:ascii="Times New Roman" w:cs="Times New Roman" w:eastAsia="Times New Roman" w:hAnsi="Times New Roman"/>
          <w:sz w:val="18"/>
          <w:szCs w:val="18"/>
          <w:color w:val="auto"/>
        </w:rPr>
        <w:t xml:space="preserve"> — The principal of this Security shall not bear interest except in the case of a default in payment of principal upon acceleration, upon redemption or at the [Stated] Maturity Date and in such case the overdue principal of this Security shall bear 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 agency of the Company maintained for that purpose in, in such coin or currency of the United States of America as at the time of payment is legal tender for the payment of public and private debts.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 including , if no interest has been paid on this Security) to but excluding such Interest Payment Date or the [Stated] Maturity Date [or Redemption Date, as the case may be.] If any Interest Payment Date or the [Stated] Maturity Date or [Redemption Date] falls on a day that is not a Business Day, as defined below, principal, premium or Make-Whole 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this Security is a Global Security, insert</w:t>
      </w:r>
      <w:r>
        <w:rPr>
          <w:rFonts w:ascii="Times New Roman" w:cs="Times New Roman" w:eastAsia="Times New Roman" w:hAnsi="Times New Roman"/>
          <w:sz w:val="18"/>
          <w:szCs w:val="18"/>
          <w:color w:val="auto"/>
        </w:rPr>
        <w:t xml:space="preserve"> — All payments of principal, premium or Make-Whole Amount, if any, and interest in respect of this Security will be made by the Company in immediately available funds.]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facsimile corporate seal.</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RYTHM,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-7620</wp:posOffset>
            </wp:positionV>
            <wp:extent cx="17138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17138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3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color w:val="auto"/>
        </w:rPr>
        <w:t>[Reverse of Security]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RYTHM,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“Securities”), issued and to be issued in one or more series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an Indenture, dated as of , 20 (herein called the “Indenture”) between the Company and, as Trustee (herein called the “Trustee,” which term 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and the aggregate principal amount of the Securities to be issued under such series is limited to $ (except for Securities authenticated and delivered upon transfer of, or in exchange for, or in lieu of other Securities).] All terms used in this Security which are defined in the Indenture shall have the meanings assigned to them in the Indenture.</w:t>
      </w:r>
    </w:p>
    <w:p>
      <w:pPr>
        <w:spacing w:after="0" w:line="200" w:lineRule="exact"/>
        <w:rPr>
          <w:sz w:val="20"/>
          <w:szCs w:val="20"/>
          <w:color w:val="auto"/>
        </w:rPr>
      </w:pP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insert</w:t>
      </w:r>
      <w:r>
        <w:rPr>
          <w:rFonts w:ascii="Times New Roman" w:cs="Times New Roman" w:eastAsia="Times New Roman" w:hAnsi="Times New Roman"/>
          <w:sz w:val="18"/>
          <w:szCs w:val="18"/>
          <w:color w:val="auto"/>
        </w:rPr>
        <w:t xml:space="preserve"> — The Securities may not be redeemed prior to the Stated Maturity Date.]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The Securities are subject to redemption [ (1)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on in any year commencing with the year and ending with the year through operation of the sinking fund for this series at a Redemption Price equal to 100% of the principal amount, and (2) ]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at any time [on or after ], as a whole or in part, at the election of the Company, at the following Redemption Prices (expressed as percentages of the principal amount):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redeemed on or before , % and if redeemed during the 12-month period beginning of the years indicated at the Redemption Prices indicated below.</w:t>
      </w:r>
    </w:p>
    <w:p>
      <w:pPr>
        <w:spacing w:after="0" w:line="225" w:lineRule="exact"/>
        <w:rPr>
          <w:sz w:val="20"/>
          <w:szCs w:val="20"/>
          <w:color w:val="auto"/>
        </w:rPr>
      </w:pPr>
    </w:p>
    <w:p>
      <w:pPr>
        <w:spacing w:after="0"/>
        <w:tabs>
          <w:tab w:leader="none" w:pos="3520" w:val="left"/>
          <w:tab w:leader="none" w:pos="6800" w:val="left"/>
          <w:tab w:leader="none" w:pos="9160" w:val="left"/>
        </w:tabs>
        <w:rPr>
          <w:sz w:val="20"/>
          <w:szCs w:val="20"/>
          <w:color w:val="auto"/>
        </w:rPr>
      </w:pPr>
      <w:r>
        <w:rPr>
          <w:rFonts w:ascii="Times New Roman" w:cs="Times New Roman" w:eastAsia="Times New Roman" w:hAnsi="Times New Roman"/>
          <w:sz w:val="18"/>
          <w:szCs w:val="18"/>
          <w:color w:val="auto"/>
        </w:rPr>
        <w:t>Year</w:t>
      </w:r>
      <w:r>
        <w:rPr>
          <w:sz w:val="20"/>
          <w:szCs w:val="20"/>
          <w:color w:val="auto"/>
        </w:rPr>
        <w:tab/>
      </w:r>
      <w:r>
        <w:rPr>
          <w:rFonts w:ascii="Times New Roman" w:cs="Times New Roman" w:eastAsia="Times New Roman" w:hAnsi="Times New Roman"/>
          <w:sz w:val="18"/>
          <w:szCs w:val="18"/>
          <w:color w:val="auto"/>
        </w:rPr>
        <w:t>Redemption Price</w:t>
      </w:r>
      <w:r>
        <w:rPr>
          <w:sz w:val="20"/>
          <w:szCs w:val="20"/>
          <w:color w:val="auto"/>
        </w:rPr>
        <w:tab/>
      </w:r>
      <w:r>
        <w:rPr>
          <w:rFonts w:ascii="Times New Roman" w:cs="Times New Roman" w:eastAsia="Times New Roman" w:hAnsi="Times New Roman"/>
          <w:sz w:val="18"/>
          <w:szCs w:val="18"/>
          <w:color w:val="auto"/>
        </w:rPr>
        <w:t>Year</w:t>
      </w:r>
      <w:r>
        <w:rPr>
          <w:sz w:val="20"/>
          <w:szCs w:val="20"/>
          <w:color w:val="auto"/>
        </w:rPr>
        <w:tab/>
      </w:r>
      <w:r>
        <w:rPr>
          <w:rFonts w:ascii="Times New Roman" w:cs="Times New Roman" w:eastAsia="Times New Roman" w:hAnsi="Times New Roman"/>
          <w:sz w:val="18"/>
          <w:szCs w:val="18"/>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286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thereafter at a Redemption Price equal to % of the principal amount, together in the case of any such redemption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(whether through operation of the sinking fund or otherwise)] with accrued interest to the Redemption Date;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insert</w:t>
      </w:r>
      <w:r>
        <w:rPr>
          <w:rFonts w:ascii="Times New Roman" w:cs="Times New Roman" w:eastAsia="Times New Roman" w:hAnsi="Times New Roman"/>
          <w:sz w:val="18"/>
          <w:szCs w:val="18"/>
          <w:color w:val="auto"/>
        </w:rPr>
        <w:t xml:space="preserve"> — The Securities are subject to redemption (1) on in any year commencing with the year and ending with the year through operation of the sinking fund for this series at the Redemption Prices for redemption through operation of the sinking fund (expressed as percentages of the principal amount) set forth in the table below, and (2) at any time [on or after ], as a whole or in part, at the election of the Company, at the Redemption Prices for redemption otherwise than through operation of the sinking fund (expressed as percentages of the principal amount) set forth in the table below: If redeemed during the 12-month period beginning of the years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Redemption Price for Redemption</w:t>
            </w: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 Operation of the Sinking</w:t>
            </w:r>
          </w:p>
        </w:tc>
        <w:tc>
          <w:tcPr>
            <w:tcW w:w="120" w:type="dxa"/>
            <w:vAlign w:val="bottom"/>
          </w:tcPr>
          <w:p>
            <w:pPr>
              <w:spacing w:after="0"/>
              <w:rPr>
                <w:sz w:val="18"/>
                <w:szCs w:val="18"/>
                <w:color w:val="auto"/>
              </w:rPr>
            </w:pPr>
          </w:p>
        </w:tc>
        <w:tc>
          <w:tcPr>
            <w:tcW w:w="3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Redemption Price for Redemption Otherwise</w:t>
            </w:r>
          </w:p>
        </w:tc>
      </w:tr>
      <w:tr>
        <w:trPr>
          <w:trHeight w:val="241"/>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Fund</w:t>
            </w:r>
          </w:p>
        </w:tc>
        <w:tc>
          <w:tcPr>
            <w:tcW w:w="120" w:type="dxa"/>
            <w:vAlign w:val="bottom"/>
          </w:tcPr>
          <w:p>
            <w:pPr>
              <w:spacing w:after="0"/>
              <w:rPr>
                <w:sz w:val="20"/>
                <w:szCs w:val="20"/>
                <w:color w:val="auto"/>
              </w:rPr>
            </w:pPr>
          </w:p>
        </w:tc>
        <w:tc>
          <w:tcPr>
            <w:tcW w:w="39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Than Through Operation of the Sinking Fund</w:t>
            </w: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and thereafter at a Redemption Price equal to % of the principal amount, together in the case of any such redemption (whether through operation of the sinking fund or otherwise) with accrued interest to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Notwithstanding the foregoing, the Company may not, prior to , redeem any Securities as contemplated by [Clause (2) of] the preceding paragraph as a part of, or in anticipation of, any refunding operation by the application, directly or indirectly, of moneys borrowed having an interest cost to the Company (calculated in accordance with generally accepted financial practice) of less than % per annum.]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The sinking fund for the Securities provides for the redemption on in each year, beginning with the year and ending with the year, of [not less than] $ ] [(“mandatory sinking fund”) and not more than $ ] aggregate principal amount of the Securities. [The Securities acquired or redeemed by the Company otherwise than through [mandatory] sinking fund payments may be credited against subsequent [mandatory] sinking fund payments otherwise required to be made in the [</w:t>
      </w:r>
      <w:r>
        <w:rPr>
          <w:rFonts w:ascii="Times New Roman" w:cs="Times New Roman" w:eastAsia="Times New Roman" w:hAnsi="Times New Roman"/>
          <w:sz w:val="18"/>
          <w:szCs w:val="18"/>
          <w:u w:val="single" w:color="auto"/>
          <w:color w:val="auto"/>
        </w:rPr>
        <w:t>describe order</w:t>
      </w:r>
      <w:r>
        <w:rPr>
          <w:rFonts w:ascii="Times New Roman" w:cs="Times New Roman" w:eastAsia="Times New Roman" w:hAnsi="Times New Roman"/>
          <w:sz w:val="18"/>
          <w:szCs w:val="18"/>
          <w:color w:val="auto"/>
        </w:rPr>
        <w:t>] order in which they become due.]]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Notice of redemption will be given by mail to Holders of Securities, not less than 30 nor more than 60 days prior to the Redemption Date, all as provided in the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redemption of this Security in part only, a new Security or Securities for the unredeemed portion hereof shall be issued in the name of the Holder hereof upon the cancellation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applicable, insert conversion provisions set forth in any Board Resolution or indenture supplemental to the Indenture.]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 and any integral multiple thereof.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 and the Securities shall be governed by and construed in accordance with the laws of the State of New York applicable to agreements made and to be performed entirely in such State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FORMS OF 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TO BE GIVEN BY PERSON ENTITLED TO RECEIVE BEARER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SECURITY OR TO OBTAIN INTEREST PAYABLE PRIOR TO THE EXCHANGE DATE</w:t>
      </w:r>
    </w:p>
    <w:p>
      <w:pPr>
        <w:spacing w:after="0" w:line="20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[Insert title or sufficient description of Securities to be delivered]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 (a) foreign branches of United States financial institutions (financial institutions, as defined in United States Treasury Regulations Section 2.165-12(c)(l)(v)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RYTHM, INC. or its agent that such financial institution will comply with the requirements of Section 165(j)(3) (A),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undertake to advise you promptly by tested telex or by telecopy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be dated no earlier than the 15th day prior to (i) the Exchange Date or (ii) the relevant Interest Payment Date occurring prior to the Exchange Date, as applicable]</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of Person Making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Signatory) Name:</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color w:val="auto"/>
        </w:rPr>
        <w:t>EXHIBIT B-2</w:t>
      </w:r>
    </w:p>
    <w:p>
      <w:pPr>
        <w:spacing w:after="0" w:line="225" w:lineRule="exact"/>
        <w:rPr>
          <w:sz w:val="20"/>
          <w:szCs w:val="20"/>
          <w:color w:val="auto"/>
        </w:rPr>
      </w:pPr>
    </w:p>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FORM OF CERTIFICATE TO BE GIVEN BY EUROCLEAR AND CLEARSTREAM S.A. IN CONNECTION WITH THE EXCHANGE OF A PORTION OF A TEMPORARY GLOBAL SECURITY OR TO OBTAIN INTEREST PAYABLE PRIOR TO THE EXCHANGE DATE</w:t>
      </w:r>
    </w:p>
    <w:p>
      <w:pPr>
        <w:spacing w:after="0" w:line="17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[Insert title or sufficient description of Securities to be delivered]</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1.165-12(c)(l)(v)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RYTHM, INC. or its agent that such financial institution will comply with the requirements of Section 165(j)(3) (A),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9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be dated no earlier than the Exchange Date or the relevant Interest Payment Date occurring prior to the Exchange Date,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as Operator of the Euroclear System] [Clearstream Banking Luxembourg]</w:t>
      </w:r>
    </w:p>
    <w:p>
      <w:pPr>
        <w:spacing w:after="0" w:line="22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tbl>
      <w:tblPr>
        <w:tblLayout w:type="fixed"/>
        <w:tblInd w:w="3360" w:type="dxa"/>
        <w:tblCellMar>
          <w:top w:w="0" w:type="dxa"/>
          <w:left w:w="0" w:type="dxa"/>
          <w:bottom w:w="0" w:type="dxa"/>
          <w:right w:w="0" w:type="dxa"/>
        </w:tblCellMar>
      </w:tblPr>
      <w:tr>
        <w:trPr>
          <w:trHeight w:val="238"/>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DATED AS OF</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w:t>
            </w:r>
          </w:p>
        </w:tc>
      </w:tr>
    </w:tbl>
    <w:p>
      <w:pPr>
        <w:spacing w:after="0" w:line="19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1545590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888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TABLE OF CONTENTS</w:t>
            </w:r>
          </w:p>
        </w:tc>
        <w:tc>
          <w:tcPr>
            <w:tcW w:w="900" w:type="dxa"/>
            <w:vAlign w:val="bottom"/>
          </w:tcPr>
          <w:p>
            <w:pPr>
              <w:spacing w:after="0"/>
              <w:rPr>
                <w:sz w:val="20"/>
                <w:szCs w:val="20"/>
                <w:color w:val="auto"/>
              </w:rPr>
            </w:pPr>
          </w:p>
        </w:tc>
      </w:tr>
      <w:tr>
        <w:trPr>
          <w:trHeight w:val="459"/>
        </w:trPr>
        <w:tc>
          <w:tcPr>
            <w:tcW w:w="1460" w:type="dxa"/>
            <w:vAlign w:val="bottom"/>
            <w:tcBorders>
              <w:bottom w:val="single" w:sz="8" w:color="CCEEFF"/>
            </w:tcBorders>
          </w:tcPr>
          <w:p>
            <w:pPr>
              <w:spacing w:after="0"/>
              <w:rPr>
                <w:sz w:val="24"/>
                <w:szCs w:val="24"/>
                <w:color w:val="auto"/>
              </w:rPr>
            </w:pPr>
          </w:p>
        </w:tc>
        <w:tc>
          <w:tcPr>
            <w:tcW w:w="88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Page</w:t>
            </w:r>
          </w:p>
        </w:tc>
      </w:tr>
      <w:tr>
        <w:trPr>
          <w:trHeight w:val="210"/>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ONE. - DEFINITIONS AND OTHER PROVISIONS OF GENERAL APPLICATION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101.</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102.</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Compliance Certificates and Opinions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103.</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Documents Delivered to Trustee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104.</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Acts of Holders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105.</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 etc., to Trustee and Company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106.</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Notice to Holders; Waiver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107.</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 Effect of Headings and Table of Contents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108.</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Successors and Assigns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109.</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 Clause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Benefits of Indenture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111.</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Governing Law</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112.</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Legal Holidays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113.</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Limited Liability; Immunity of Stockholders, Directors, Officers and Agents of the Company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114.</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TWO. - SECURITIES FORMS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201.</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Forms of Securities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202.</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Trustee’s Certificate of Authentication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203.</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Securities Issuable in Global Form</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THREE. - THE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301.</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 Unlimited; Issuable in Series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302.</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Denominations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303.</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Execution, Authentication, Delivery and Dating</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304.</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Temporary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305.</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Registration, Registration of Transfer, Conversion and Exchange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306.</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Mutilated, Destroyed, Lost and Stolen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307.</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Interest; Interest Rights Preserved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308.</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Persons Deemed Owners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309.</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Cancellation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310.</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Computation of Interest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311.</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CUSIP Numbers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FOUR. - SATISFACTION AND DISCHARGE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401.</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402.</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Application of Trust Funds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0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FIVE. - REMEDIES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501.</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Events of Default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502.</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Acceleration of Maturity; Rescission and Annulment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503.</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504.</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505.</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Trustee May Enforce Claims Without Possession of Securities or Coupons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506.</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Application of Money Collected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507.</w:t>
            </w:r>
          </w:p>
        </w:tc>
        <w:tc>
          <w:tcPr>
            <w:tcW w:w="8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Limitation on Suits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508.</w:t>
            </w:r>
          </w:p>
        </w:tc>
        <w:tc>
          <w:tcPr>
            <w:tcW w:w="8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Unconditional Right of Holders to Receive Principal, Premium or Make-Whole Amount, if any, and Interest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509.</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Restoration of Rights and Remedies</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510.</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511.</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512.</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 by Holders of Securities</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513.</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Waiver of Past Defaults</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514.</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Usury, Stay or Extension Laws</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515.</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Undertaking for Costs</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SIX. - THE TRUSTEE</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601.</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Notice of Defaults</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602.</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603.</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 Responsible for Recitals or Issuance of Securities</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604.</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Hold Securities</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605.</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Money Held in Trust</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606.</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607.</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Trustee Required; Eligibility; Conflicting Interests</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608.</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609.</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610.</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611.</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Appointment of Authenticating Agent</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612.</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Duties and Responsibilities of the Trustee</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SEVEN. - HOLDERS’ LISTS AND REPORTS BY TRUSTEE AND COMPANY</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701.</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of Names and Addresses of Holders</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702.</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Reports by Trustee</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703.</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Reports by Company</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704.</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Company to Furnish Trustee Names and Addresses of Holders</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EIGHT. - CONSOLIDATION, MERGER, SALE, LEASE OR CONVEYANCE</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801.</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Consolidations and Mergers of Company and Sales</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802.</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and Duties of Successor Corporation</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803.</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Officers’ Certificate and Opinion of Counsel</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NINE. - SUPPLEMENTAL INDENTURES</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901.</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Supplemental Indentures Without Consent of Holders</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902.</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Supplemental Indentures with Consent of Holders</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903.</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904.</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905.</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Conformity with Trust Indenture Act</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906.</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Reference in Securities to Supplemental Indentures</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TEN. COVENANTS</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1001.</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Principal, Premium or Make-Whole Amount, if any; and Interest</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1002.</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1003.</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for Securities Payments to Be Held in Trust</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1004.</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Existence</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1005.</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1006.</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1007.</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Taxes and Other Claims</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1008.</w:t>
            </w:r>
          </w:p>
        </w:tc>
        <w:tc>
          <w:tcPr>
            <w:tcW w:w="7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Statement as to Compliance</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1009.</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Certain Covenants</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ELEVEN. - REDEMPTION OF SECURITIES</w:t>
            </w:r>
          </w:p>
        </w:tc>
        <w:tc>
          <w:tcPr>
            <w:tcW w:w="22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1101.</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Applicability of Article</w:t>
            </w:r>
          </w:p>
        </w:tc>
        <w:tc>
          <w:tcPr>
            <w:tcW w:w="2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1102.</w:t>
            </w:r>
          </w:p>
        </w:tc>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Election to Redeem; Notice to Trustee</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1103.</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Selection by Trustee of Securities to Be Redeemed</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1104.</w:t>
            </w:r>
          </w:p>
        </w:tc>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Notice of Redemption</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1105.</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1106.</w:t>
            </w:r>
          </w:p>
        </w:tc>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Payable on Redemption Date</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1107.</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Redeemed in Part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TWELVE. - SINKING FUNDS</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1201.</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Applicability of Article</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1202.</w:t>
            </w:r>
          </w:p>
        </w:tc>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1203.</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THIRTEEN. - REPAYMENT AT THE OPTION OF HOLDERS</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1301.</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Applicability of Article</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1302.</w:t>
            </w:r>
          </w:p>
        </w:tc>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 of Securities</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1303.</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Option</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1304.</w:t>
            </w:r>
          </w:p>
        </w:tc>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When Securities Presented for Repayment Become Due and Payable</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1305.</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Repaid in Part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FOURTEEN. - DEFEASANCE AND COVENANT DEFEASANCE</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1401.</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Applicability of Article; Company’s Option to Effect Defeasance or Covenant Defeasance</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1402.</w:t>
            </w:r>
          </w:p>
        </w:tc>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Defeasance and Discharge</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1403.</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Covenant Defeasance</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1404.</w:t>
            </w:r>
          </w:p>
        </w:tc>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Conditions to Defeasance or Covenant Defeasance</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1405.</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Deposited Money and Government Obligations to Be Held in Trust; Other Miscellaneous Provisions</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FIFTEEN. - MEETINGS OF HOLDERS OF SECURITIES</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1501.</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Purposes for Which Meetings May Be Called</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1502.</w:t>
            </w:r>
          </w:p>
        </w:tc>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Call</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1503.</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Persons Entitled to Vote at Meetings</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1504.</w:t>
            </w:r>
          </w:p>
        </w:tc>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Quorum; Action</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1505.</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Determination of Voting Rights; Conduct and Adjournment of Meetings</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1506.</w:t>
            </w:r>
          </w:p>
        </w:tc>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Counting Votes and Recording Action of Meetings</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SIXTEEN. - SUBORDINATION OF SECURITIES</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1601.</w:t>
            </w:r>
          </w:p>
        </w:tc>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Agreement to Subordinate</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1602.</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Over of Proceeds upon Dissolution, Etc.</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1603.</w:t>
            </w:r>
          </w:p>
        </w:tc>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Payment When Senior Indebtedness in Default</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1604.</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Reliance by Senior Indebtedness on Subordination Provisions</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1605.</w:t>
            </w:r>
          </w:p>
        </w:tc>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Subrogation to Rights of Holders of Senior Indebtedness</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1606.</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Provisions Solely to Define Relative Rights</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1607.</w:t>
            </w:r>
          </w:p>
        </w:tc>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Trustee to Effectuate Subordination</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1608.</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Waiver of Subordination Provisions</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1609.</w:t>
            </w:r>
          </w:p>
        </w:tc>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Notice to Trustee</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1610.</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Reliance on Judicial Order or Certificate of Liquidating Agent</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1611.</w:t>
            </w:r>
          </w:p>
        </w:tc>
        <w:tc>
          <w:tcPr>
            <w:tcW w:w="8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Trustee Not Fiduciary for Holders of Senior Indebtedness</w:t>
            </w:r>
          </w:p>
        </w:tc>
        <w:tc>
          <w:tcPr>
            <w:tcW w:w="14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1612.</w:t>
            </w:r>
          </w:p>
        </w:tc>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of Trustee as Holder of Senior Indebtedness; Preservation of Trustee’s Rights</w:t>
            </w: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78</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1613.</w:t>
            </w:r>
          </w:p>
        </w:tc>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Article Applicable to Paying Agents</w:t>
            </w:r>
          </w:p>
        </w:tc>
        <w:tc>
          <w:tcPr>
            <w:tcW w:w="2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SEVENTEEN. - CONVERSION OF SECURITIES</w:t>
            </w:r>
          </w:p>
        </w:tc>
        <w:tc>
          <w:tcPr>
            <w:tcW w:w="2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1701.</w:t>
            </w:r>
          </w:p>
        </w:tc>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Applicability of Article; Conversion Privilege and Conversion Price</w:t>
            </w:r>
          </w:p>
        </w:tc>
        <w:tc>
          <w:tcPr>
            <w:tcW w:w="2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1702.</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Conversion Privilege</w:t>
            </w:r>
          </w:p>
        </w:tc>
        <w:tc>
          <w:tcPr>
            <w:tcW w:w="2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1703.</w:t>
            </w:r>
          </w:p>
        </w:tc>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Fractions of Shares</w:t>
            </w:r>
          </w:p>
        </w:tc>
        <w:tc>
          <w:tcPr>
            <w:tcW w:w="2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1704.</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 of Conversion Price</w:t>
            </w:r>
          </w:p>
        </w:tc>
        <w:tc>
          <w:tcPr>
            <w:tcW w:w="2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1705.</w:t>
            </w:r>
          </w:p>
        </w:tc>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Notice of Adjustments of Conversion Price</w:t>
            </w:r>
          </w:p>
        </w:tc>
        <w:tc>
          <w:tcPr>
            <w:tcW w:w="2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1706.</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Certain Corporate Action</w:t>
            </w:r>
          </w:p>
        </w:tc>
        <w:tc>
          <w:tcPr>
            <w:tcW w:w="2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1707.</w:t>
            </w:r>
          </w:p>
        </w:tc>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Company to Reserve Common Stock</w:t>
            </w:r>
          </w:p>
        </w:tc>
        <w:tc>
          <w:tcPr>
            <w:tcW w:w="2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1708.</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on Conversion</w:t>
            </w:r>
          </w:p>
        </w:tc>
        <w:tc>
          <w:tcPr>
            <w:tcW w:w="2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1709.</w:t>
            </w:r>
          </w:p>
        </w:tc>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Covenants as to Common Stock</w:t>
            </w:r>
          </w:p>
        </w:tc>
        <w:tc>
          <w:tcPr>
            <w:tcW w:w="2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1710.</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Cancellation of Converted Securities</w:t>
            </w:r>
          </w:p>
        </w:tc>
        <w:tc>
          <w:tcPr>
            <w:tcW w:w="2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1711.</w:t>
            </w:r>
          </w:p>
        </w:tc>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Provisions in Case of Consolidation, Merger or Sale of Assets; Special Distributions</w:t>
            </w:r>
          </w:p>
        </w:tc>
        <w:tc>
          <w:tcPr>
            <w:tcW w:w="2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1712.</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Trustee Adjustment Disclaimer; Company Determination Final</w:t>
            </w:r>
          </w:p>
        </w:tc>
        <w:tc>
          <w:tcPr>
            <w:tcW w:w="2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1713.</w:t>
            </w:r>
          </w:p>
        </w:tc>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When No Adjustment Required</w:t>
            </w:r>
          </w:p>
        </w:tc>
        <w:tc>
          <w:tcPr>
            <w:tcW w:w="2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87</w:t>
            </w:r>
          </w:p>
        </w:tc>
      </w:tr>
      <w:tr>
        <w:trPr>
          <w:trHeight w:val="234"/>
        </w:trPr>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1714.</w:t>
            </w:r>
          </w:p>
        </w:tc>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Equivalent Adjustments</w:t>
            </w:r>
          </w:p>
        </w:tc>
        <w:tc>
          <w:tcPr>
            <w:tcW w:w="2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87</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color w:val="auto"/>
        </w:rPr>
        <w:t>RYTHM, INC.</w:t>
      </w:r>
    </w:p>
    <w:p>
      <w:pPr>
        <w:spacing w:after="0" w:line="225" w:lineRule="exact"/>
        <w:rPr>
          <w:sz w:val="20"/>
          <w:szCs w:val="20"/>
          <w:color w:val="auto"/>
        </w:rPr>
      </w:pPr>
    </w:p>
    <w:p>
      <w:pPr>
        <w:ind w:left="420" w:firstLine="203"/>
        <w:spacing w:after="0" w:line="282" w:lineRule="auto"/>
        <w:rPr>
          <w:sz w:val="20"/>
          <w:szCs w:val="20"/>
          <w:color w:val="auto"/>
        </w:rPr>
      </w:pPr>
      <w:r>
        <w:rPr>
          <w:rFonts w:ascii="Times New Roman" w:cs="Times New Roman" w:eastAsia="Times New Roman" w:hAnsi="Times New Roman"/>
          <w:sz w:val="18"/>
          <w:szCs w:val="18"/>
          <w:color w:val="auto"/>
        </w:rPr>
        <w:t>Reconciliation and tie between the Trust Indenture Act of 1939, as amended (the “Trust Indenture Act” or “TIA”) and the Indenture, dated as of , 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Trust Indenture Act Section</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Indenture Section</w:t>
            </w: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310(a)(1)</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607, 608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312(c)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313(a)</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702</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314(a)</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(a)(4)</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(c)(1)</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(c)(2)</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315(b)</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316(a) (last sentence)</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101 (“Outstanding”)</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(a)(1)(A)</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502,513</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(a)(1)(B)</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317(a)(1)</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318(a)</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a part of the Indenture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Attention should also be directed to Section 318(c) of the Trust Indenture Act, which provides that the provisions of Sections 310 to and including 317 of the Trust Indenture Act are a part of and govern every qualified indenture, whether or not physically contained therein.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INDENTURE, dated as of , 20 , between RYTHM, INC., a corporation organized under the laws of the State of Nevada (hereinafter called the “Company”), having its principal office at 2220 Hicks Road, Suite 210, Rolling Meadows, Illinois 60008, and, as Trustee hereunder (hereinafter called the “Trustee”), having a Corporate Trust Office at [ ].</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 OF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deems it necessary to issue from time to time for its lawful purposes subordinated debt securities (hereinafter called the “Securities”) evidencing its unsecured and subordinated indebtedness, and has duly authorized the execution and delivery of this Indenture to provide for the issuance from time to time of the Securities, to be issued in one or more Series as provided in this Indenture.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Indenture is subject to the provisions of the Trust Indenture Act of 1939, as amended (the “Trust Indenture Act” or “TIA”), that are deemed to be incorporated into this Indenture and shall, to the extent applicable, be governed by such provisions.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things necessary to make this Indenture a valid and legally binding agreement of the Company, in accordance with its terms, have been done.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THIS INDENTURE WITNESSETH:</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and in consideration of the premises and the purchase of the Securities by the Holders thereof, it is mutually covenanted and agreed, for the equal and proportionate benefit of all Holders of the Securities or of a Series thereof,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ONE.- DEFINITIONS AND OTHER PROVISIONS OF GENERAL APPLICATION</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all purposes of this Indenture, except as otherwise expressly provided or unless the context otherwise requires:</w:t>
      </w:r>
    </w:p>
    <w:p>
      <w:pPr>
        <w:spacing w:after="0" w:line="225" w:lineRule="exact"/>
        <w:rPr>
          <w:sz w:val="20"/>
          <w:szCs w:val="20"/>
          <w:color w:val="auto"/>
        </w:rPr>
      </w:pPr>
    </w:p>
    <w:p>
      <w:pPr>
        <w:ind w:left="880" w:hanging="265"/>
        <w:spacing w:after="0"/>
        <w:tabs>
          <w:tab w:leader="none" w:pos="8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defined in this Article have the meanings assigned to them in this Article, and include the plural as well as the singular;</w:t>
      </w:r>
    </w:p>
    <w:p>
      <w:pPr>
        <w:spacing w:after="0" w:line="225" w:lineRule="exact"/>
        <w:rPr>
          <w:rFonts w:ascii="Times New Roman" w:cs="Times New Roman" w:eastAsia="Times New Roman" w:hAnsi="Times New Roman"/>
          <w:sz w:val="18"/>
          <w:szCs w:val="18"/>
          <w:color w:val="auto"/>
        </w:rPr>
      </w:pPr>
    </w:p>
    <w:p>
      <w:pPr>
        <w:jc w:val="both"/>
        <w:ind w:firstLine="615"/>
        <w:spacing w:after="0" w:line="266" w:lineRule="auto"/>
        <w:tabs>
          <w:tab w:leader="none" w:pos="87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used herein which are defined in the TIA, either directly or by reference therein, have the meanings assigned to them therein, and the terms “cash transactions” and “self-liquidating paper,” as used in TIA Section 311, shall have the meanings assigned to them in the rules of the Commission adopted under the TIA;</w:t>
      </w:r>
    </w:p>
    <w:p>
      <w:pPr>
        <w:spacing w:after="0" w:line="175" w:lineRule="exact"/>
        <w:rPr>
          <w:rFonts w:ascii="Times New Roman" w:cs="Times New Roman" w:eastAsia="Times New Roman" w:hAnsi="Times New Roman"/>
          <w:sz w:val="18"/>
          <w:szCs w:val="18"/>
          <w:color w:val="auto"/>
        </w:rPr>
      </w:pPr>
    </w:p>
    <w:p>
      <w:pPr>
        <w:ind w:left="880" w:hanging="265"/>
        <w:spacing w:after="0"/>
        <w:tabs>
          <w:tab w:leader="none" w:pos="8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otherwise defined herein have the meanings assigned to them in accordance with GAAP;</w:t>
      </w:r>
    </w:p>
    <w:p>
      <w:pPr>
        <w:spacing w:after="0" w:line="225" w:lineRule="exact"/>
        <w:rPr>
          <w:rFonts w:ascii="Times New Roman" w:cs="Times New Roman" w:eastAsia="Times New Roman" w:hAnsi="Times New Roman"/>
          <w:sz w:val="18"/>
          <w:szCs w:val="18"/>
          <w:color w:val="auto"/>
        </w:rPr>
      </w:pPr>
    </w:p>
    <w:p>
      <w:pPr>
        <w:ind w:left="880" w:hanging="265"/>
        <w:spacing w:after="0"/>
        <w:tabs>
          <w:tab w:leader="none" w:pos="8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an “Article” or a “Section” refers to an Article or Section, as the case may be, of this Indenture; and</w:t>
      </w:r>
    </w:p>
    <w:p>
      <w:pPr>
        <w:spacing w:after="0" w:line="225" w:lineRule="exact"/>
        <w:rPr>
          <w:rFonts w:ascii="Times New Roman" w:cs="Times New Roman" w:eastAsia="Times New Roman" w:hAnsi="Times New Roman"/>
          <w:sz w:val="18"/>
          <w:szCs w:val="18"/>
          <w:color w:val="auto"/>
        </w:rPr>
      </w:pPr>
    </w:p>
    <w:p>
      <w:pPr>
        <w:ind w:firstLine="615"/>
        <w:spacing w:after="0" w:line="282" w:lineRule="auto"/>
        <w:tabs>
          <w:tab w:leader="none" w:pos="87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when used with respect to any Holder, has the meaning specified in Section 104.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 means any Person authorized by the Trustee pursuant to Section 611 hereof to act on behalf of the Trustee to authenticate Securities of one or more Series.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Newspaper</w:t>
      </w:r>
      <w:r>
        <w:rPr>
          <w:rFonts w:ascii="Times New Roman" w:cs="Times New Roman" w:eastAsia="Times New Roman" w:hAnsi="Times New Roman"/>
          <w:sz w:val="18"/>
          <w:szCs w:val="18"/>
          <w:color w:val="auto"/>
        </w:rPr>
        <w:t>” means a newspaper, printed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Whenever successive publications are required to be made in Authorized Newspapers, the successive publications may be made in the same or in different Authorized Newspapers in the same city meeting the foregoing requirements and in each case on any Business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Bearer Securit</w:t>
      </w:r>
      <w:r>
        <w:rPr>
          <w:rFonts w:ascii="Times New Roman" w:cs="Times New Roman" w:eastAsia="Times New Roman" w:hAnsi="Times New Roman"/>
          <w:sz w:val="18"/>
          <w:szCs w:val="18"/>
          <w:color w:val="auto"/>
        </w:rPr>
        <w:t>y” means any Security established pursuant to Section 201 which is payable to the bearer.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when used with reference to the Company, means the board of directors of the Company, or any committee of that board duly authorized to act hereunder, or any director or directors and/or officer or officers of the Company, to whom the board or committee shall have duly delegated its authority.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Resolution</w:t>
      </w:r>
      <w:r>
        <w:rPr>
          <w:rFonts w:ascii="Times New Roman" w:cs="Times New Roman" w:eastAsia="Times New Roman" w:hAnsi="Times New Roman"/>
          <w:sz w:val="18"/>
          <w:szCs w:val="18"/>
          <w:color w:val="auto"/>
        </w:rPr>
        <w:t>” means a copy of (1) a resolution certified by the Secretary or an Assistant Secretary of the Company to have been duly adopted by the Board of Directors or a duly authorized committee of the Board of Directors and to be in full force and effect on the date of such certification, or (2) a certificate signed by the director or directors and/or officer or officers to whom the Board of Directors shall have duly delegated its authority, together with a resolution certified by the Secretary or an Assistant Secretary of the Company to have been duly adopted by the Board of Directors and to be in full force and effect on the date of such certification authorizing such delegation, and, in each case, delivered to the Trustee.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w:t>
      </w:r>
      <w:r>
        <w:rPr>
          <w:rFonts w:ascii="Times New Roman" w:cs="Times New Roman" w:eastAsia="Times New Roman" w:hAnsi="Times New Roman"/>
          <w:sz w:val="18"/>
          <w:szCs w:val="18"/>
          <w:color w:val="auto"/>
        </w:rPr>
        <w:t>y,” when used with respect to any Place of Payment or any other particular location referred to in this Indenture or in the Securities, means, unless otherwise specified with respect to any Securities issued pursuant to Section 301, any day, other than a Saturday or Sunday, that is neither a legal holiday nor a day on which banking institutions in that Place of Payment or particular location are authorized or required by law, regulation or executive order to close.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means Clearstream Banking Luxembourg, société anonyme, or its successor.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closing price of a share of Common Stock of the Company as reported on The Nasdaq Capital Market.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the regulations thereunder.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Depositor</w:t>
      </w:r>
      <w:r>
        <w:rPr>
          <w:rFonts w:ascii="Times New Roman" w:cs="Times New Roman" w:eastAsia="Times New Roman" w:hAnsi="Times New Roman"/>
          <w:sz w:val="18"/>
          <w:szCs w:val="18"/>
          <w:color w:val="auto"/>
        </w:rPr>
        <w:t>y” has the meaning specified in Section 304.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with respect to any Person, all shares of capital stock issued by such Person other than Preferred Stock.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w:t>
      </w:r>
      <w:r>
        <w:rPr>
          <w:rFonts w:ascii="Times New Roman" w:cs="Times New Roman" w:eastAsia="Times New Roman" w:hAnsi="Times New Roman"/>
          <w:sz w:val="18"/>
          <w:szCs w:val="18"/>
          <w:color w:val="auto"/>
        </w:rPr>
        <w:t>y” means the Person named as the “Company” in the first paragraph of this Indenture until a successor corporation shall have become such pursuant to the applicable provisions of this Indenture, and thereafter “Company” shall mean such successor corporation.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Request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Company Order</w:t>
      </w:r>
      <w:r>
        <w:rPr>
          <w:rFonts w:ascii="Times New Roman" w:cs="Times New Roman" w:eastAsia="Times New Roman" w:hAnsi="Times New Roman"/>
          <w:sz w:val="18"/>
          <w:szCs w:val="18"/>
          <w:color w:val="auto"/>
        </w:rPr>
        <w:t>” mean, respectively, a written request or order signed in the name of the Company by its Chief Executive Officer, the President, or a Vice President, and by its Treasurer, an Assistant Treasurer, the Secretary or an Assistant Secretary, of the Company, and delivered to the Trustee.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Constituent Person</w:t>
      </w:r>
      <w:r>
        <w:rPr>
          <w:rFonts w:ascii="Times New Roman" w:cs="Times New Roman" w:eastAsia="Times New Roman" w:hAnsi="Times New Roman"/>
          <w:sz w:val="18"/>
          <w:szCs w:val="18"/>
          <w:color w:val="auto"/>
        </w:rPr>
        <w:t>” has the meaning specified in Section 1711.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Event</w:t>
      </w:r>
      <w:r>
        <w:rPr>
          <w:rFonts w:ascii="Times New Roman" w:cs="Times New Roman" w:eastAsia="Times New Roman" w:hAnsi="Times New Roman"/>
          <w:sz w:val="18"/>
          <w:szCs w:val="18"/>
          <w:color w:val="auto"/>
        </w:rPr>
        <w:t>”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has the meaning specified in Section 1701.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 office at the date hereof is located at [ ].</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includes corporations, associations, companies and business trusts.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coupon</w:t>
      </w:r>
      <w:r>
        <w:rPr>
          <w:rFonts w:ascii="Times New Roman" w:cs="Times New Roman" w:eastAsia="Times New Roman" w:hAnsi="Times New Roman"/>
          <w:sz w:val="18"/>
          <w:szCs w:val="18"/>
          <w:color w:val="auto"/>
        </w:rPr>
        <w:t>” means any interest coupon appertaining to a Bearer Security.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has the meaning specified in Section 1403.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has the meaning specified in Section 501.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 has the meaning specified in Section 307.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Defeasance</w:t>
      </w:r>
      <w:r>
        <w:rPr>
          <w:rFonts w:ascii="Times New Roman" w:cs="Times New Roman" w:eastAsia="Times New Roman" w:hAnsi="Times New Roman"/>
          <w:sz w:val="18"/>
          <w:szCs w:val="18"/>
          <w:color w:val="auto"/>
        </w:rPr>
        <w:t>” has the meaning specified in Section 1402.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Record Date</w:t>
      </w:r>
      <w:r>
        <w:rPr>
          <w:rFonts w:ascii="Times New Roman" w:cs="Times New Roman" w:eastAsia="Times New Roman" w:hAnsi="Times New Roman"/>
          <w:sz w:val="18"/>
          <w:szCs w:val="18"/>
          <w:color w:val="auto"/>
        </w:rPr>
        <w:t>” has the meaning specified in Section 1711.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Record Date</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or the sign “$” means a dollar or other equivalent unit in such coin or currency of the United States of America as at the time of payment is legal tender for the payment of public and private debts.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 and any successor to DTC in its capacity as depository for any Securities.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ECU</w:t>
      </w:r>
      <w:r>
        <w:rPr>
          <w:rFonts w:ascii="Times New Roman" w:cs="Times New Roman" w:eastAsia="Times New Roman" w:hAnsi="Times New Roman"/>
          <w:sz w:val="18"/>
          <w:szCs w:val="18"/>
          <w:color w:val="auto"/>
        </w:rPr>
        <w:t>” means the European Currency Unit as defined and revised from time to time by the Council of the European Communities. “Euroclear” means the operator of the Euroclear System.</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Communities</w:t>
      </w:r>
      <w:r>
        <w:rPr>
          <w:rFonts w:ascii="Times New Roman" w:cs="Times New Roman" w:eastAsia="Times New Roman" w:hAnsi="Times New Roman"/>
          <w:sz w:val="18"/>
          <w:szCs w:val="18"/>
          <w:color w:val="auto"/>
        </w:rPr>
        <w:t>” means the European Economic Community, the European Coal and Steel Community and the European Atomic Energy Community.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Monetary System</w:t>
      </w:r>
      <w:r>
        <w:rPr>
          <w:rFonts w:ascii="Times New Roman" w:cs="Times New Roman" w:eastAsia="Times New Roman" w:hAnsi="Times New Roman"/>
          <w:sz w:val="18"/>
          <w:szCs w:val="18"/>
          <w:color w:val="auto"/>
        </w:rPr>
        <w:t>” means the European Monetary System established by the Resolution of December 5,1978 of the Council of the European Communities.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specified in Article Five.</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Act</w:t>
      </w:r>
      <w:r>
        <w:rPr>
          <w:rFonts w:ascii="Times New Roman" w:cs="Times New Roman" w:eastAsia="Times New Roman" w:hAnsi="Times New Roman"/>
          <w:sz w:val="18"/>
          <w:szCs w:val="18"/>
          <w:color w:val="auto"/>
        </w:rPr>
        <w:t xml:space="preserve">” means the Securities Exchange Act of 1934, as amended, as in force at the date as of which this Indenture was executed;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Exchange Act is amended after such date, “Exchange Act” means to the extent required by any such amendment, the Exchange Act as so amended.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Date</w:t>
      </w:r>
      <w:r>
        <w:rPr>
          <w:rFonts w:ascii="Times New Roman" w:cs="Times New Roman" w:eastAsia="Times New Roman" w:hAnsi="Times New Roman"/>
          <w:sz w:val="18"/>
          <w:szCs w:val="18"/>
          <w:color w:val="auto"/>
        </w:rPr>
        <w:t>” has the meaning specified in Section 304.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means the Financial Industry Regulatory Authority, Inc.</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Currenc</w:t>
      </w:r>
      <w:r>
        <w:rPr>
          <w:rFonts w:ascii="Times New Roman" w:cs="Times New Roman" w:eastAsia="Times New Roman" w:hAnsi="Times New Roman"/>
          <w:sz w:val="18"/>
          <w:szCs w:val="18"/>
          <w:color w:val="auto"/>
        </w:rPr>
        <w:t>y” means any currency, currency unit or composite currency, including, without limitation, the ECU issued by the government of one or more countries other than the United States of America or by any recognized confederation or association of such governments.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except as otherwise provided herein, generally accepted accounting principles, as in effect from time to time, as used in the United States applied on a consistent basis.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Securit</w:t>
      </w:r>
      <w:r>
        <w:rPr>
          <w:rFonts w:ascii="Times New Roman" w:cs="Times New Roman" w:eastAsia="Times New Roman" w:hAnsi="Times New Roman"/>
          <w:sz w:val="18"/>
          <w:szCs w:val="18"/>
          <w:color w:val="auto"/>
        </w:rPr>
        <w:t>y” means a Security evidencing all or a part of a series of Securities issued to and registered in the name of the depository for such series, or its nominee, in accordance with Section 305, and bearing the legend prescribed in Section 203.</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Obli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ations</w:t>
      </w:r>
      <w:r>
        <w:rPr>
          <w:rFonts w:ascii="Times New Roman" w:cs="Times New Roman" w:eastAsia="Times New Roman" w:hAnsi="Times New Roman"/>
          <w:sz w:val="18"/>
          <w:szCs w:val="18"/>
          <w:color w:val="auto"/>
        </w:rPr>
        <w:t xml:space="preserve">” means (i) securities which are (A) direct obligations of the United States of America or the government which issued the Foreign Currency in which the Securities of a particular series are payable, for the payment of which its full faith and credit is pledged or (B) obligations of a Person controlled or supervised by and acting as an agency or instrumentality of the United States of America or such government which issued the Foreign Currency in which the Securities of such series are payable, the payment of which is unconditionally guaranteed as a full faith and credit obligation by the United States of America or such other government, which, in either case, are not callable or redeemable at the option of the issuer thereof, and (iii)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w:t>
      </w:r>
      <w:r>
        <w:rPr>
          <w:rFonts w:ascii="Times New Roman" w:cs="Times New Roman" w:eastAsia="Times New Roman" w:hAnsi="Times New Roman"/>
          <w:sz w:val="18"/>
          <w:szCs w:val="18"/>
          <w:color w:val="auto"/>
        </w:rPr>
        <w:t xml:space="preserve">y” by any Person means any Obligation, contingent or otherwise, of such Person guaranteeing any Indebtedness of any other Person (the “primary obligor”) in any manner, whether directly or indirectly, and including, without limitation, every Obligation of such Person (i) to purchase or pay (or advance or supply funds for the purchase or payment of) such Indebtedness or to purchase (or to advance or supply funds for the purchase of) any security for the payment of such Indebtedness, (ii) to purchase property, securities or services for the purpose of assuring the holder of such Indebtedness of the payment of such Indebtedness or (iii) to maintain working capital, equity capital or other financial statement condition or liquidity of the primary obligor so as to enable the primary obligor to pay such Indebtedness;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a Guaranty by any Person shall not include endorsements by such Person for collection or deposit, in either case in the ordinary course of business. The terms “</w:t>
      </w:r>
      <w:r>
        <w:rPr>
          <w:rFonts w:ascii="Times New Roman" w:cs="Times New Roman" w:eastAsia="Times New Roman" w:hAnsi="Times New Roman"/>
          <w:sz w:val="18"/>
          <w:szCs w:val="18"/>
          <w:u w:val="single" w:color="auto"/>
          <w:color w:val="auto"/>
        </w:rPr>
        <w:t>Guaranteed.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Guaranteein</w:t>
      </w:r>
      <w:r>
        <w:rPr>
          <w:rFonts w:ascii="Times New Roman" w:cs="Times New Roman" w:eastAsia="Times New Roman" w:hAnsi="Times New Roman"/>
          <w:sz w:val="18"/>
          <w:szCs w:val="18"/>
          <w:color w:val="auto"/>
        </w:rPr>
        <w:t>g” and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shall have meanings correlative to the foregoing.</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in the case of a Registered Security, the Person in whose name a Security is registered in the Security Register and, in the case of a Bearer Security, the bearer thereof and, when used with respect to any coupon, shall mean the bearer thereof.</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without duplication, (i) any Obligation of such Person relating to any indebtedness of such Person (A) for borrowed money (whether or not the recourse of the lender is to the whole of the assets, of such person or only to a portion thereof), (B) evidenced by notes, debentures or similar instruments (including purchase money obligations) given in connection with the acquisition of any property or assets (other than trade accounts payable for inventory or similar property acquired in the ordinary course of business), including securities, for the payment of which such Person is liable, directly or indirectly, or the payment of which is secured by a lien, charge or encumbrance on property or assets of such Person, (C) for goods, materials or services purchased in the ordinary course of business (other than trade accounts payable arising in the ordinary course of business), (D) with respect to letters of credit or bankers acceptances issued for the account of such Person or performance, surety or similar bonds, (E) for the payment of money relating to a capitalized lease Obligation or (F) under interest rate swaps, caps or similar agreements and foreign exchange contracts, currency swaps or similar agreements; (ii) any liability of others of the kind described in the preceding clause (i), which such Person has Guaranteed or which is otherwise its legal liability; and (iii) any and all deferrals, renewals, extensions and refunding of, or amendments, modifications or supplements to, any liability of the kind described in any of the preceding clauses (i) or (ii).</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xml:space="preserve">” means this instrument as originally executed or as it may be supplemented or amended from time to time by one or more indentures supplemental hereto entered into pursuant to the applicable provisions hereof, and shall include the terms of particular series of Securities established as contemplated by Section 301;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more than one Person is acting as Trustee under this instrument, “Indenture” shall mean, with respect to any one or more series of Securities for which such Person is Trustee, this instrument as originally executed or as it may be supplemented or amended from time to time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which relate solely to other series of Securities for which such Person is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Indexed Securit</w:t>
      </w:r>
      <w:r>
        <w:rPr>
          <w:rFonts w:ascii="Times New Roman" w:cs="Times New Roman" w:eastAsia="Times New Roman" w:hAnsi="Times New Roman"/>
          <w:sz w:val="18"/>
          <w:szCs w:val="18"/>
          <w:color w:val="auto"/>
        </w:rPr>
        <w:t>y” means a Security the terms of which provide that the principal amount thereof payable at Stated Maturity may be more or less than the principal face amount thereof at original issuance.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when used with respect to an Original Issue Discount Security which by its terms bears interest only after Maturity, shall mean interest payable after Maturity.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when used with respect to any Security, means the Stated Maturity of an installment of interest on such Security.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Amount</w:t>
      </w:r>
      <w:r>
        <w:rPr>
          <w:rFonts w:ascii="Times New Roman" w:cs="Times New Roman" w:eastAsia="Times New Roman" w:hAnsi="Times New Roman"/>
          <w:sz w:val="18"/>
          <w:szCs w:val="18"/>
          <w:color w:val="auto"/>
        </w:rPr>
        <w:t>,” when used with respect to any Security, means the amount, if any, in addition to principal (and accrued interest thereon, if any) which is required by a Security, under the terms and conditions specified therein or as otherwise specified as contemplated by Section 301, to be paid by the Company to the Holder thereof in connection with any optional redemption or accelerated payment of such Security.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sinking fund payment</w:t>
      </w:r>
      <w:r>
        <w:rPr>
          <w:rFonts w:ascii="Times New Roman" w:cs="Times New Roman" w:eastAsia="Times New Roman" w:hAnsi="Times New Roman"/>
          <w:sz w:val="18"/>
          <w:szCs w:val="18"/>
          <w:color w:val="auto"/>
        </w:rPr>
        <w:t>” has the meaning specified in Section 1201.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Value of the Distribution</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w:t>
      </w:r>
      <w:r>
        <w:rPr>
          <w:rFonts w:ascii="Times New Roman" w:cs="Times New Roman" w:eastAsia="Times New Roman" w:hAnsi="Times New Roman"/>
          <w:sz w:val="18"/>
          <w:szCs w:val="18"/>
          <w:color w:val="auto"/>
        </w:rPr>
        <w:t>y,” when used with respect to any Security, means the date on which the principal (or, if the context so requires, in the case of an Original Issue Discount Security, or lesser amount or, in the case of an Indexed Security, an amount determined in accordance with the specified terms of that Security) of such Security or an installment of principal becomes due and payable as therein or herein provided, whether at the Stated Maturity or by declaration of acceleration, notice of redemption, notice of option to elect repayment or otherwise.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w:t>
      </w:r>
      <w:r>
        <w:rPr>
          <w:rFonts w:ascii="Times New Roman" w:cs="Times New Roman" w:eastAsia="Times New Roman" w:hAnsi="Times New Roman"/>
          <w:sz w:val="18"/>
          <w:szCs w:val="18"/>
          <w:color w:val="auto"/>
        </w:rPr>
        <w:t>” of any Person with respect to any specified Indebtedness means any obligation of such Person to pay principal, premium, interest (including interest accruing on or after the filing of any petition in bankruptcy or for reorganization relating to such Person, whether or not a claim for such post-petition interest is allowed in such proceeding), penalties, reimbursement or indemnification amounts, fees, expenses or other amounts relating to such Indebtedness.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Chairman of the Board of Directors, the Chief Executive Officer, the President, or a Vice President (whether or not designated by a number or word or words added before or after the title “Vice President”), and by the Treasurer, an Assistant Treasurer, the Secretary or an Assistant Secretary of the Company, and delivered to the Trustee.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of counsel, who may be counsel for the Company or who may be an employee of or other counsel for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sinking fund payment</w:t>
      </w:r>
      <w:r>
        <w:rPr>
          <w:rFonts w:ascii="Times New Roman" w:cs="Times New Roman" w:eastAsia="Times New Roman" w:hAnsi="Times New Roman"/>
          <w:sz w:val="18"/>
          <w:szCs w:val="18"/>
          <w:color w:val="auto"/>
        </w:rPr>
        <w:t>” has the meaning specified in Section 1201.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Discount Securit</w:t>
      </w:r>
      <w:r>
        <w:rPr>
          <w:rFonts w:ascii="Times New Roman" w:cs="Times New Roman" w:eastAsia="Times New Roman" w:hAnsi="Times New Roman"/>
          <w:sz w:val="18"/>
          <w:szCs w:val="18"/>
          <w:color w:val="auto"/>
        </w:rPr>
        <w:t>y” means any Security, which provides for an amount (excluding any amounts attributable to accrued but unpaid interest thereon) less than the principal amount thereof to be due and payable upon a declaration of acceleration of the Maturity thereof pursuant to Section 502.</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w:t>
      </w:r>
      <w:r>
        <w:rPr>
          <w:rFonts w:ascii="Times New Roman" w:cs="Times New Roman" w:eastAsia="Times New Roman" w:hAnsi="Times New Roman"/>
          <w:sz w:val="18"/>
          <w:szCs w:val="18"/>
          <w:color w:val="auto"/>
        </w:rPr>
        <w:t xml:space="preserve">g,” when used with respect to Securities, means, as of the date of determination, all Securities theretofore authenticated and delivered under this Indenture, </w:t>
      </w:r>
      <w:r>
        <w:rPr>
          <w:rFonts w:ascii="Times New Roman" w:cs="Times New Roman" w:eastAsia="Times New Roman" w:hAnsi="Times New Roman"/>
          <w:sz w:val="18"/>
          <w:szCs w:val="18"/>
          <w:u w:val="single" w:color="auto"/>
          <w:color w:val="auto"/>
        </w:rPr>
        <w:t>excep</w:t>
      </w:r>
      <w:r>
        <w:rPr>
          <w:rFonts w:ascii="Times New Roman" w:cs="Times New Roman" w:eastAsia="Times New Roman" w:hAnsi="Times New Roman"/>
          <w:sz w:val="18"/>
          <w:szCs w:val="18"/>
          <w:color w:val="auto"/>
        </w:rPr>
        <w:t>t:</w:t>
      </w:r>
    </w:p>
    <w:p>
      <w:pPr>
        <w:spacing w:after="0" w:line="162" w:lineRule="exact"/>
        <w:rPr>
          <w:sz w:val="20"/>
          <w:szCs w:val="20"/>
          <w:color w:val="auto"/>
        </w:rPr>
      </w:pPr>
    </w:p>
    <w:p>
      <w:pPr>
        <w:ind w:left="1440" w:hanging="217"/>
        <w:spacing w:after="0"/>
        <w:tabs>
          <w:tab w:leader="none" w:pos="14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theretofore canceled by the Trustee or delivered to the Trustee for cancellation;</w:t>
      </w:r>
    </w:p>
    <w:p>
      <w:pPr>
        <w:spacing w:after="0" w:line="225" w:lineRule="exact"/>
        <w:rPr>
          <w:rFonts w:ascii="Times New Roman" w:cs="Times New Roman" w:eastAsia="Times New Roman" w:hAnsi="Times New Roman"/>
          <w:sz w:val="18"/>
          <w:szCs w:val="18"/>
          <w:color w:val="auto"/>
        </w:rPr>
      </w:pPr>
    </w:p>
    <w:p>
      <w:pPr>
        <w:jc w:val="both"/>
        <w:ind w:firstLine="1223"/>
        <w:spacing w:after="0" w:line="258" w:lineRule="auto"/>
        <w:tabs>
          <w:tab w:leader="none" w:pos="150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or portions thereof, for whose payment or redemption (including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and any coupons appertaining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183" w:lineRule="exact"/>
        <w:rPr>
          <w:rFonts w:ascii="Times New Roman" w:cs="Times New Roman" w:eastAsia="Times New Roman" w:hAnsi="Times New Roman"/>
          <w:sz w:val="18"/>
          <w:szCs w:val="18"/>
          <w:color w:val="auto"/>
        </w:rPr>
      </w:pPr>
    </w:p>
    <w:p>
      <w:pPr>
        <w:ind w:firstLine="1223"/>
        <w:spacing w:after="0" w:line="282" w:lineRule="auto"/>
        <w:tabs>
          <w:tab w:leader="none" w:pos="155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except to the extent provided in Sections 1402 and 1403, with respect to which the Company has effected Defeasance and/or Covenant Defeasance as provided in Article Fourteen; and</w:t>
      </w:r>
    </w:p>
    <w:p>
      <w:pPr>
        <w:spacing w:after="0" w:line="161" w:lineRule="exact"/>
        <w:rPr>
          <w:rFonts w:ascii="Times New Roman" w:cs="Times New Roman" w:eastAsia="Times New Roman" w:hAnsi="Times New Roman"/>
          <w:sz w:val="18"/>
          <w:szCs w:val="18"/>
          <w:color w:val="auto"/>
        </w:rPr>
      </w:pPr>
    </w:p>
    <w:p>
      <w:pPr>
        <w:jc w:val="both"/>
        <w:ind w:firstLine="1223"/>
        <w:spacing w:after="0" w:line="266" w:lineRule="auto"/>
        <w:tabs>
          <w:tab w:leader="none" w:pos="156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pursuant to Section 301 as of the date such Security is originally issued by the Company,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only Securities which a Responsible Officer of the Trustee actually knows to be so owned shall be so disregarded. Securities owned as provided in clause (iv) above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In case of a dispute as to such right, the advice of counsel shall be full protection in respect of any decision made by the Trustee in accordance with such advice.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any Person authorized by the Company to pay the principal of (and premium or Make-Whole Amount, if any) or interest on any Securities or coupons on behalf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Blockage Notice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Payment Blockage Period</w:t>
      </w:r>
      <w:r>
        <w:rPr>
          <w:rFonts w:ascii="Times New Roman" w:cs="Times New Roman" w:eastAsia="Times New Roman" w:hAnsi="Times New Roman"/>
          <w:sz w:val="18"/>
          <w:szCs w:val="18"/>
          <w:color w:val="auto"/>
        </w:rPr>
        <w:t>” have the respective meanings specified in Section 1603.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joint venture, association, joint-stock company, trust, unincorporated organization or government or any agency or political subdivision thereof, or any other entity or organization.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 of Payment</w:t>
      </w:r>
      <w:r>
        <w:rPr>
          <w:rFonts w:ascii="Times New Roman" w:cs="Times New Roman" w:eastAsia="Times New Roman" w:hAnsi="Times New Roman"/>
          <w:sz w:val="18"/>
          <w:szCs w:val="18"/>
          <w:color w:val="auto"/>
        </w:rPr>
        <w:t>,” when used with respect to the Securities of or within any series, means the place or places where the principal of (and premium or Make-Whole Amount, if any) and interest on such Securities are payable as specified as contemplated by Sections 301 and 1002.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Predecessor Securit</w:t>
      </w:r>
      <w:r>
        <w:rPr>
          <w:rFonts w:ascii="Times New Roman" w:cs="Times New Roman" w:eastAsia="Times New Roman" w:hAnsi="Times New Roman"/>
          <w:sz w:val="18"/>
          <w:szCs w:val="18"/>
          <w:color w:val="auto"/>
        </w:rPr>
        <w: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or a Security to which a mutilated, destroyed, lost or stolen coupon appertains shall be deemed to evidence the same debt as the mutilated, destroyed, lost or stolen Security or the Security to which the mutilated, destroyed, lost or stolen coupon appertains.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with respect to any Person, all capital stock issued by such Person that is entitled to a preference or priority over any other capital stock issued by such Person with respect to any distribution of such Person’s assets, whether by dividend or upon any voluntary or involuntary liquidation, dissolution or winding up.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w:t>
      </w:r>
      <w:r>
        <w:rPr>
          <w:rFonts w:ascii="Times New Roman" w:cs="Times New Roman" w:eastAsia="Times New Roman" w:hAnsi="Times New Roman"/>
          <w:sz w:val="18"/>
          <w:szCs w:val="18"/>
          <w:color w:val="auto"/>
        </w:rPr>
        <w:t>g” has the meaning specified in Section 1602.</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when used with respect to any Security to be redeemed, in whole or in part, means the date fixed for such redemption by or pursuant to this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when used with respect to any Security to be redeemed, means the price specified in the related Officers’ Certificate or supplemental indenture contemplated by and pursuant to Section 301, at which it is to be redeemed pursuant to this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Securit</w:t>
      </w:r>
      <w:r>
        <w:rPr>
          <w:rFonts w:ascii="Times New Roman" w:cs="Times New Roman" w:eastAsia="Times New Roman" w:hAnsi="Times New Roman"/>
          <w:sz w:val="18"/>
          <w:szCs w:val="18"/>
          <w:color w:val="auto"/>
        </w:rPr>
        <w:t>y” shall mean any Security, which is registered in the Security Register.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Regular Record Date</w:t>
      </w:r>
      <w:r>
        <w:rPr>
          <w:rFonts w:ascii="Times New Roman" w:cs="Times New Roman" w:eastAsia="Times New Roman" w:hAnsi="Times New Roman"/>
          <w:sz w:val="18"/>
          <w:szCs w:val="18"/>
          <w:color w:val="auto"/>
        </w:rPr>
        <w:t>” for the interest payable on any Interest Payment Date on the Registered Securities of or within any series means the date specified for that purpose as contemplated by Section 301, whether or not a Business Day.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Date</w:t>
      </w:r>
      <w:r>
        <w:rPr>
          <w:rFonts w:ascii="Times New Roman" w:cs="Times New Roman" w:eastAsia="Times New Roman" w:hAnsi="Times New Roman"/>
          <w:sz w:val="18"/>
          <w:szCs w:val="18"/>
          <w:color w:val="auto"/>
        </w:rPr>
        <w:t>” means, when used with respect to any Security to be repaid at the option of the Holder, the date fixed for such repayment by or pursuant to this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Repayment Price</w:t>
      </w:r>
      <w:r>
        <w:rPr>
          <w:rFonts w:ascii="Times New Roman" w:cs="Times New Roman" w:eastAsia="Times New Roman" w:hAnsi="Times New Roman"/>
          <w:sz w:val="18"/>
          <w:szCs w:val="18"/>
          <w:color w:val="auto"/>
        </w:rPr>
        <w:t>” means, when used with respect to any Security to be repaid at the option of the Holder, the price at which it is to be repaid by or pursuant to this Indenture.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when used with respect to the Trustee, means any Vice President (whether or not designated by a number or a word or words added before or after the title “Vice President”), Assistant Vice President, Trust Officer or Assistant Trust Officer working in its Corporate Trust Department, or any other officer of the Trustee customarily performing functions similar to those performed by any of the above designated officers and working in its Corporate Trust Department, and also means, with respect to a particular corporate trust matter, any other officer to whom such matter is referred because of such officer’s knowledge and familiarity with the particular subject and who shall have direct responsibility for the administration of this Indenture.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Record Date</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Payment</w:t>
      </w:r>
      <w:r>
        <w:rPr>
          <w:rFonts w:ascii="Times New Roman" w:cs="Times New Roman" w:eastAsia="Times New Roman" w:hAnsi="Times New Roman"/>
          <w:sz w:val="18"/>
          <w:szCs w:val="18"/>
          <w:color w:val="auto"/>
        </w:rPr>
        <w:t>” has the meaning specified in Section 1602.</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w:t>
      </w:r>
      <w:r>
        <w:rPr>
          <w:rFonts w:ascii="Times New Roman" w:cs="Times New Roman" w:eastAsia="Times New Roman" w:hAnsi="Times New Roman"/>
          <w:sz w:val="18"/>
          <w:szCs w:val="18"/>
          <w:color w:val="auto"/>
        </w:rPr>
        <w:t>y” and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has the meaning stated in the first recital of this Indenture and, more particularly, means any Security or Securities authenticated and delivered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Security 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istrar</w:t>
      </w:r>
      <w:r>
        <w:rPr>
          <w:rFonts w:ascii="Times New Roman" w:cs="Times New Roman" w:eastAsia="Times New Roman" w:hAnsi="Times New Roman"/>
          <w:sz w:val="18"/>
          <w:szCs w:val="18"/>
          <w:color w:val="auto"/>
        </w:rPr>
        <w:t>” have the respective meanings specified in Section 305.</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Indebtedness</w:t>
      </w:r>
      <w:r>
        <w:rPr>
          <w:rFonts w:ascii="Times New Roman" w:cs="Times New Roman" w:eastAsia="Times New Roman" w:hAnsi="Times New Roman"/>
          <w:sz w:val="18"/>
          <w:szCs w:val="18"/>
          <w:color w:val="auto"/>
        </w:rPr>
        <w:t xml:space="preserve">” means Indebtedness of the Company, whether outstanding on the date of this Indenture or thereafter created, incurred, assumed or guaranteed by the Company, other than the following: (1) any Indebtedness as to which, in the instrument evidencing such Indebtedness or pursuant to which such Indebtedness was issued, it is expressly provided that such Indebtedness is subordinate in right of payment to all Indebtedness of the Company not expressly subordinated to such Indebtedness; (2) any Indebtedness which by its terms refers explicitly to the Securities and states that such Indebtedness shall not be senior, shall be </w:t>
      </w:r>
      <w:r>
        <w:rPr>
          <w:rFonts w:ascii="Times New Roman" w:cs="Times New Roman" w:eastAsia="Times New Roman" w:hAnsi="Times New Roman"/>
          <w:sz w:val="18"/>
          <w:szCs w:val="18"/>
          <w:u w:val="single" w:color="auto"/>
          <w:color w:val="auto"/>
        </w:rPr>
        <w:t>pari passu</w:t>
      </w:r>
      <w:r>
        <w:rPr>
          <w:rFonts w:ascii="Times New Roman" w:cs="Times New Roman" w:eastAsia="Times New Roman" w:hAnsi="Times New Roman"/>
          <w:sz w:val="18"/>
          <w:szCs w:val="18"/>
          <w:color w:val="auto"/>
        </w:rPr>
        <w:t xml:space="preserve"> or shall be subordinated in right of payment to the Securities; and (3) with respect to any series of Securities, any Indebtedness of the Company evidenced by Securities of the same or of another series. Notwithstanding anything to the contrary in the foregoing, Senior Indebtedness shall not include Indebtedness of or amounts owed by the Company for compensation to employees, or for goods, materials or services purchased in the ordinary course of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Series</w:t>
      </w:r>
      <w:r>
        <w:rPr>
          <w:rFonts w:ascii="Times New Roman" w:cs="Times New Roman" w:eastAsia="Times New Roman" w:hAnsi="Times New Roman"/>
          <w:sz w:val="18"/>
          <w:szCs w:val="18"/>
          <w:color w:val="auto"/>
        </w:rPr>
        <w:t>” of Securities means all securities denoted as part of the same series authorized by or pursuant to a particular Board Resolution. “Short Term Rights” has the meaning specified in Section 1704.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for the payment of any Defaulted Interest on the Registered Securities of or within any series means a date fixed by the Company pursuant to Section 307.</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Maturit</w:t>
      </w:r>
      <w:r>
        <w:rPr>
          <w:rFonts w:ascii="Times New Roman" w:cs="Times New Roman" w:eastAsia="Times New Roman" w:hAnsi="Times New Roman"/>
          <w:sz w:val="18"/>
          <w:szCs w:val="18"/>
          <w:color w:val="auto"/>
        </w:rPr>
        <w:t>y,” when used with respect to any Security or any installment of principal thereof or interest thereon, means the date specified in such Security or a coupon representing such installment of interest as the fixed date on which the principal of such Security or such installment of principal or interest is due and payable.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The Nasdaq Capital Market is open for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 Events</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means the Trust Indenture Act of 1939, as amended and as in force at the date as of which this Indenture was executed, except as provided in Section 905.</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at any time there is more than one such Person, “Trustee” as used with respect to the Securities of any series shall mean only the Trustee with respect to Securities of that series.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usted Distribution</w:t>
      </w:r>
      <w:r>
        <w:rPr>
          <w:rFonts w:ascii="Times New Roman" w:cs="Times New Roman" w:eastAsia="Times New Roman" w:hAnsi="Times New Roman"/>
          <w:sz w:val="18"/>
          <w:szCs w:val="18"/>
          <w:color w:val="auto"/>
        </w:rPr>
        <w:t>” has the meaning specified in Section 1704.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Person</w:t>
      </w:r>
      <w:r>
        <w:rPr>
          <w:rFonts w:ascii="Times New Roman" w:cs="Times New Roman" w:eastAsia="Times New Roman" w:hAnsi="Times New Roman"/>
          <w:sz w:val="18"/>
          <w:szCs w:val="18"/>
          <w:color w:val="auto"/>
        </w:rPr>
        <w:t>” means, unless otherwise specified with respect to any Securities pursuant to Section 301, an individual who is a citizen or resident of the United States, a corporation, partnership or other entity created or organized in or under the laws of the United States or an estate or trust the income of which is subject to United States Federal income taxation regardless of its source.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Yield to Maturit</w:t>
      </w:r>
      <w:r>
        <w:rPr>
          <w:rFonts w:ascii="Times New Roman" w:cs="Times New Roman" w:eastAsia="Times New Roman" w:hAnsi="Times New Roman"/>
          <w:sz w:val="18"/>
          <w:szCs w:val="18"/>
          <w:color w:val="auto"/>
        </w:rPr>
        <w:t>y”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Compliance Certificates and Opinions</w:t>
      </w:r>
      <w:r>
        <w:rPr>
          <w:rFonts w:ascii="Times New Roman" w:cs="Times New Roman" w:eastAsia="Times New Roman" w:hAnsi="Times New Roman"/>
          <w:sz w:val="18"/>
          <w:szCs w:val="18"/>
          <w:color w:val="auto"/>
        </w:rPr>
        <w:t>.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ind w:firstLine="648"/>
        <w:spacing w:after="0" w:line="282" w:lineRule="auto"/>
        <w:rPr>
          <w:sz w:val="20"/>
          <w:szCs w:val="20"/>
          <w:color w:val="auto"/>
        </w:rPr>
      </w:pPr>
      <w:r>
        <w:rPr>
          <w:rFonts w:ascii="Times New Roman" w:cs="Times New Roman" w:eastAsia="Times New Roman" w:hAnsi="Times New Roman"/>
          <w:sz w:val="18"/>
          <w:szCs w:val="18"/>
          <w:color w:val="auto"/>
        </w:rPr>
        <w:t>Every certificate or opinion with respect to compliance with a condition or covenant provided for in this Indenture (including certificates delivered pursuant to Section 1008) shall include: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a statement that each individual signing such certificate or opinion has read such condition or covenant and the definitions herein relating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ind w:firstLine="656"/>
        <w:spacing w:after="0" w:line="282" w:lineRule="auto"/>
        <w:tabs>
          <w:tab w:leader="none" w:pos="92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each such individual, he has made such examination or investigation as is necessary to enable him to express an informed opinion as to whether or not such condition or covenant has been complied with;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in the opinion of each such individual, such condition or covenant has been complied with.</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Form of Documents Delivered to Trustee</w:t>
      </w:r>
      <w:r>
        <w:rPr>
          <w:rFonts w:ascii="Times New Roman" w:cs="Times New Roman" w:eastAsia="Times New Roman" w:hAnsi="Times New Roman"/>
          <w:sz w:val="18"/>
          <w:szCs w:val="18"/>
          <w:color w:val="auto"/>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with respect to such matters are erroneous.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23"/>
        <w:spacing w:after="0" w:line="253" w:lineRule="auto"/>
        <w:tabs>
          <w:tab w:leader="none" w:pos="147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If Securities of a series are issuable as Bearer Securities, any request, demand, authorization, direction, notice, consent, waiver or other action provided by this Indenture to be given or taken by Holders of Securities of such series may, alternatively, be embodied in and evidenced by the record of Holders of Securities of such series voting in favor thereof, either in person or by proxies duly appointed in writing, at any meeting of Holders of Securities of such series duly called and held in accordance with the provisions of Article Fifteen, or a combination of such instruments and any such record. Except as herein otherwise expressly provided, such action shall become effective when such instrument or instruments or record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firstLine="1223"/>
        <w:spacing w:after="0" w:line="258" w:lineRule="auto"/>
        <w:tabs>
          <w:tab w:leader="none" w:pos="147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reasonable manner, which the Trustee deems sufficient.</w:t>
      </w:r>
    </w:p>
    <w:p>
      <w:pPr>
        <w:spacing w:after="0" w:line="183" w:lineRule="exact"/>
        <w:rPr>
          <w:rFonts w:ascii="Times New Roman" w:cs="Times New Roman" w:eastAsia="Times New Roman" w:hAnsi="Times New Roman"/>
          <w:sz w:val="18"/>
          <w:szCs w:val="18"/>
          <w:color w:val="auto"/>
        </w:rPr>
      </w:pPr>
    </w:p>
    <w:p>
      <w:pPr>
        <w:ind w:firstLine="1223"/>
        <w:spacing w:after="0" w:line="282" w:lineRule="auto"/>
        <w:tabs>
          <w:tab w:leader="none" w:pos="14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Registered Securities shall be proved by the Security Register. As to any matter relating to beneficial ownership interests in any Global Security, the appropriate depository’s records shall be dispositive for purposes of this Indenture.</w:t>
      </w:r>
    </w:p>
    <w:p>
      <w:pPr>
        <w:spacing w:after="0" w:line="161" w:lineRule="exact"/>
        <w:rPr>
          <w:rFonts w:ascii="Times New Roman" w:cs="Times New Roman" w:eastAsia="Times New Roman" w:hAnsi="Times New Roman"/>
          <w:sz w:val="18"/>
          <w:szCs w:val="18"/>
          <w:color w:val="auto"/>
        </w:rPr>
      </w:pPr>
    </w:p>
    <w:p>
      <w:pPr>
        <w:jc w:val="both"/>
        <w:ind w:firstLine="1223"/>
        <w:spacing w:after="0" w:line="254" w:lineRule="auto"/>
        <w:tabs>
          <w:tab w:leader="none" w:pos="150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Bearer Securities may be proved by the production of such Bearer Securities or by a certificate executed, as depository, by any trust company, bank, banker or other depository, wherever situated, if such certificate shall be deemed by the Trustee to be satisfactory, showing that at the date therein mentioned such Person had on deposit with such depository, or exhibited to it, the Bearer Securities therein described; or such facts may be proved by the certificate or affidavit of the Person holding such Bearer Securities, if such certificate or affidavit is deemed by the Trustee to be satisfactory. The Trustee and the Company may assume that such ownership of any Bearer Security continues until (1) another certificate or affidavit bearing a later date issued in respect of the same Bearer Security is produced, or (2) such Bearer Security is produced to the Trustee by some other Person, or (3) such Bearer Security is surrendered in exchange for a Registered Security, or (4) such Bearer Security is no longer Outstanding. The ownership of Bearer Securities may also be proved in any other manner, which the Trustee deems sufficient.</w:t>
      </w:r>
    </w:p>
    <w:p>
      <w:pPr>
        <w:spacing w:after="0" w:line="191" w:lineRule="exact"/>
        <w:rPr>
          <w:rFonts w:ascii="Times New Roman" w:cs="Times New Roman" w:eastAsia="Times New Roman" w:hAnsi="Times New Roman"/>
          <w:sz w:val="18"/>
          <w:szCs w:val="18"/>
          <w:color w:val="auto"/>
        </w:rPr>
      </w:pPr>
    </w:p>
    <w:p>
      <w:pPr>
        <w:jc w:val="both"/>
        <w:ind w:firstLine="1223"/>
        <w:spacing w:after="0" w:line="253" w:lineRule="auto"/>
        <w:tabs>
          <w:tab w:leader="none" w:pos="147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both"/>
        <w:ind w:firstLine="1223"/>
        <w:spacing w:after="0" w:line="261" w:lineRule="auto"/>
        <w:tabs>
          <w:tab w:leader="none" w:pos="14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upon the conversion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Notices, etc., to Trustee and Company</w:t>
      </w:r>
      <w:r>
        <w:rPr>
          <w:rFonts w:ascii="Times New Roman" w:cs="Times New Roman" w:eastAsia="Times New Roman" w:hAnsi="Times New Roman"/>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(1) the Trustee by any Holder or by the Company shall be sufficient for every purpose hereunder if made, given, furnished or filed in writing to or with the Trustee at [ ] or at any other address previously furnished in writing to the Company by the Trustee, Attention: [ ]; or</w:t>
      </w:r>
    </w:p>
    <w:p>
      <w:pPr>
        <w:spacing w:after="0" w:line="162" w:lineRule="exact"/>
        <w:rPr>
          <w:sz w:val="20"/>
          <w:szCs w:val="20"/>
          <w:color w:val="auto"/>
        </w:rPr>
      </w:pPr>
    </w:p>
    <w:p>
      <w:pPr>
        <w:jc w:val="both"/>
        <w:ind w:firstLine="656"/>
        <w:spacing w:after="0" w:line="261" w:lineRule="auto"/>
        <w:tabs>
          <w:tab w:leader="none" w:pos="90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w:t>
      </w:r>
    </w:p>
    <w:p>
      <w:pPr>
        <w:spacing w:after="0"/>
        <w:rPr>
          <w:sz w:val="20"/>
          <w:szCs w:val="20"/>
          <w:color w:val="auto"/>
        </w:rPr>
      </w:pPr>
      <w:r>
        <w:rPr>
          <w:rFonts w:ascii="Times New Roman" w:cs="Times New Roman" w:eastAsia="Times New Roman" w:hAnsi="Times New Roman"/>
          <w:sz w:val="18"/>
          <w:szCs w:val="18"/>
          <w:color w:val="auto"/>
        </w:rPr>
        <w:t>Indenture or at any other address previously furnished in writing to the Trustee by the Company, Attention: [  ]; or</w:t>
      </w:r>
    </w:p>
    <w:p>
      <w:pPr>
        <w:spacing w:after="0" w:line="207" w:lineRule="exact"/>
        <w:rPr>
          <w:sz w:val="20"/>
          <w:szCs w:val="20"/>
          <w:color w:val="auto"/>
        </w:rPr>
      </w:pPr>
    </w:p>
    <w:p>
      <w:pPr>
        <w:jc w:val="both"/>
        <w:ind w:firstLine="656"/>
        <w:spacing w:after="0" w:line="261" w:lineRule="auto"/>
        <w:tabs>
          <w:tab w:leader="none" w:pos="91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Trustee or the Company, by the other party or by any Holder, shall be sufficient for every purpose hereunder if given by facsimile transmission, receipt confirmed by telephone followed by an original copy delivered by guaranteed overnight courier; if to the Trustee at facsimile number</w:t>
      </w:r>
    </w:p>
    <w:p>
      <w:pPr>
        <w:spacing w:after="0"/>
        <w:rPr>
          <w:sz w:val="20"/>
          <w:szCs w:val="20"/>
          <w:color w:val="auto"/>
        </w:rPr>
      </w:pPr>
      <w:r>
        <w:rPr>
          <w:rFonts w:ascii="Times New Roman" w:cs="Times New Roman" w:eastAsia="Times New Roman" w:hAnsi="Times New Roman"/>
          <w:sz w:val="18"/>
          <w:szCs w:val="18"/>
          <w:color w:val="auto"/>
        </w:rPr>
        <w:t>[  ]; and if to the Company at facsimile number [  ].</w:t>
      </w:r>
    </w:p>
    <w:p>
      <w:pPr>
        <w:spacing w:after="0" w:line="20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 xml:space="preserve">Section 106. </w:t>
      </w:r>
      <w:r>
        <w:rPr>
          <w:rFonts w:ascii="Times New Roman" w:cs="Times New Roman" w:eastAsia="Times New Roman" w:hAnsi="Times New Roman"/>
          <w:sz w:val="17"/>
          <w:szCs w:val="17"/>
          <w:u w:val="single" w:color="auto"/>
          <w:color w:val="auto"/>
        </w:rPr>
        <w:t>Notice to Holders; Waiver</w:t>
      </w:r>
      <w:r>
        <w:rPr>
          <w:rFonts w:ascii="Times New Roman" w:cs="Times New Roman" w:eastAsia="Times New Roman" w:hAnsi="Times New Roman"/>
          <w:sz w:val="17"/>
          <w:szCs w:val="17"/>
          <w:color w:val="auto"/>
        </w:rPr>
        <w:t>. Where this Indenture provides for notice of any event to Holders of Registered Securities by the Company or the Trustee, such notice shall be sufficiently given (unless otherwise herein expressly provided) if in writing and mailed, first-class postage prepaid, to each such Holder affected by such event, at his address as it appears in the Security Register, not later than the latest date, if any, and not earlier than the earliest date, if any, prescribed for the giving of such notice. In any case where notice to Holders of Registered Securities is given by mail, neither the failure to mail such notice, nor any defect in any notice so mailed, to any particular Holder shall affect the sufficiency of such notice with respect to other Holders of Registered Securities or the sufficiency of any notice to Holders of Bearer Securities given as provided herein. Any notice mailed to a Holder in the manner herein prescribed shall be conclusively deemed to have been received by such Holder, whether or not such Holder actually receives such notice.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expressly provided herein or otherwise specified with respect to any Securities pursuant to Section 301, where this Indenture provides for notice to Holders of Bearer Securities of any event, such notice shall be sufficiently given if published in an Authorized Newspaper in The City of New York and in such other city or cities as may be specified in such Securities on a Business Day, such publication to be not later than the latest date, if any, and not earlier than the earliest date, if any, prescribed for the giving of such notice. Any such notice shall be deemed to have been given on the date of such publication or, if published more than once, on the date of the first such publication.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by reason of the suspension of publication of any Authorized Newspaper or Authorized Newspapers or by reason of any other cause it shall be impracticable to publish any notice to Holders of Bearer Securities as provided above, then such notification to Holders of Bearer Securities as shall be given with the approval of the Trustee shall constitute sufficient notice to such Holders for every purpose hereunder. Neither the failure to give notice by publication to any particular Holder of Bearer Securities as provided above, nor any defect in any notice so published, shall affect the sufficiency of such notice with respect to other Holders of Bearer Securities or the sufficiency of any notice to Holders of Registered Securities given as provided herein.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Counterparts; Effect of Headin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s and Table of Contents</w:t>
      </w:r>
      <w:r>
        <w:rPr>
          <w:rFonts w:ascii="Times New Roman" w:cs="Times New Roman" w:eastAsia="Times New Roman" w:hAnsi="Times New Roman"/>
          <w:sz w:val="18"/>
          <w:szCs w:val="18"/>
          <w:color w:val="auto"/>
        </w:rPr>
        <w:t>. This Indenture may be executed in any number of counterparts, each of which so executed shall be deemed to be an original, but all such counterparts shall together constitute but one and the same Indenture. The Article and Section headings herein and the Table of Contents are for convenience only and shall not affect the construction hereof.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Successors and Assi</w:t>
      </w:r>
      <w:r>
        <w:rPr>
          <w:rFonts w:ascii="Times New Roman" w:cs="Times New Roman" w:eastAsia="Times New Roman" w:hAnsi="Times New Roman"/>
          <w:sz w:val="18"/>
          <w:szCs w:val="18"/>
          <w:color w:val="auto"/>
        </w:rPr>
        <w:t>gns. All covenants and agreements in this Indenture by the Company shall bind its successors and assigns, whether so expressed or not.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Severability Clause</w:t>
      </w:r>
      <w:r>
        <w:rPr>
          <w:rFonts w:ascii="Times New Roman" w:cs="Times New Roman" w:eastAsia="Times New Roman" w:hAnsi="Times New Roman"/>
          <w:sz w:val="18"/>
          <w:szCs w:val="18"/>
          <w:color w:val="auto"/>
        </w:rPr>
        <w:t>. In case any provision in this Indenture or in any Security or coupon shall be held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Benefits of Indenture</w:t>
      </w:r>
      <w:r>
        <w:rPr>
          <w:rFonts w:ascii="Times New Roman" w:cs="Times New Roman" w:eastAsia="Times New Roman" w:hAnsi="Times New Roman"/>
          <w:sz w:val="18"/>
          <w:szCs w:val="18"/>
          <w:color w:val="auto"/>
        </w:rPr>
        <w:t>. Nothing in this Indenture or in the Securities or coupons, if any, express or implied, shall give to any Person, other than the parties hereto, any Security Registrar, any Paying Agent, any Authenticating Agent and their successors hereunder and the Holders any benefit or any legal or equitable right, remedy or claim under this Indenture.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Governin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This Indenture and the Securities and coupons shall be governed by and construed in accordance with the laws of the State of New York. This Indenture is subject to the provisions of the TIA that are required to be part of this Indenture and shall, to the extent applicable, be governed by such provisions.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 In any case where any Interest Payment Date, Redemption Date, Repayment Date, sinking fund payment date, Stated Maturity or Maturity of any Security or the last date on which a Holder has the right to convert or exchange a Security shall not be a Business Day at any Place of Payment, then (notwithstanding any other provision of this Indenture or any Security or coupon other than a provision in the Securities of any series which specifically states that such provision shall apply in lieu hereof), payment of interest or principal (and premium or Make-Whole Amount, if any) or conversion or exchange of such Security need not be made at such Place of Payment on such date, but (except as otherwise provided in the supplemental indenture with respect to such Security) may be made on the next succeeding Business Day at such Place of Payment with the same force and effect as if made on the Interest Payment Date, Redemption Date, Repayment Date or sinking fund payment date, or at the Stated Maturity or Maturity, or on such last day for conversion or exchange, provided that no interest shall accrue on the amount so payable for the period from and after such Interest Payment Date, Redemption Date, Repayment Date, sinking fund payment date, Stated Maturity or Maturity, as the case may be.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Limited Liability; Immunity of Stockholders, Directors, Officers and Agents of the Company</w:t>
      </w:r>
      <w:r>
        <w:rPr>
          <w:rFonts w:ascii="Times New Roman" w:cs="Times New Roman" w:eastAsia="Times New Roman" w:hAnsi="Times New Roman"/>
          <w:sz w:val="18"/>
          <w:szCs w:val="18"/>
          <w:color w:val="auto"/>
        </w:rPr>
        <w:t>. Notwithstanding any other provision of this Indenture or of the Securities of any series to the contrary, no recourse under or upon any obligation, covenant or agreement contained in this Indenture or in any Security, or for the payment of any sums due on account of any indebtedness evidenced thereby, including without limitation principal, premium or interest, if any, or for any claim based on this Indenture or any Security or otherwise in respect of this Indenture or any Security, shall be had, whether by levy or execution or otherwise, against (i) the Company, the Company’s assets or against any past, present or future stockholder, employee, officer, director or agent, as such, of the Company or any successor, either directly or through the Company or any successor, under any rule of law, statute, constitutional provision or by the enforcement of any assessment or penalty, or by any legal or equitable proceeding or otherwise, nor shall any such parties be personally liable for any such amounts, obligations or claims, or liable for any deficiency judgment based thereon or with respect thereto, it being expressly understood that the sole remedies hereunder or under any other document with respect to the Securities against such parties with respect to such amounts, obligations or claims shall be against the Company and that all such liability of and recourse against such parties is expressly waived and released by the acceptance of the Securities by the Holders and as part of the consideration for the issue of the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Conflict with Trust Indenture Act</w:t>
      </w:r>
      <w:r>
        <w:rPr>
          <w:rFonts w:ascii="Times New Roman" w:cs="Times New Roman" w:eastAsia="Times New Roman" w:hAnsi="Times New Roman"/>
          <w:sz w:val="18"/>
          <w:szCs w:val="18"/>
          <w:color w:val="auto"/>
        </w:rPr>
        <w:t>. If any provision hereof limits, qualifies or conflicts with another provision hereof which is required or deemed to be included in this Indenture by any of the provisions of the Trust Indenture Act, such required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TWO.- SECURITIES FORMS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Forms of Securities</w:t>
      </w:r>
      <w:r>
        <w:rPr>
          <w:rFonts w:ascii="Times New Roman" w:cs="Times New Roman" w:eastAsia="Times New Roman" w:hAnsi="Times New Roman"/>
          <w:sz w:val="18"/>
          <w:szCs w:val="18"/>
          <w:color w:val="auto"/>
        </w:rPr>
        <w:t xml:space="preserve">. The Registered Securities, if any, of each series and the Bearer Securities, if any, of each series and related coupons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or in such other form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over-the-counter market or securities exchange, on which the Securities may be quoted or listed, or to conform to usage.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specified as contemplated by Section 301, Bearer Securities shall have interest coupons attached.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definitive Securities and coupons shall be printed, lithographed or engraved or produced by any combination of these methods on a steel engraved border or steel engraved borders or mechanically reproduced on safety paper or may be produced in any other manner, all as determined by the officers executing such Securities or coupons, as evidenced by their execution of such Securities or coupons.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Form of Trustee’s Certificate of Authentication</w:t>
      </w:r>
      <w:r>
        <w:rPr>
          <w:rFonts w:ascii="Times New Roman" w:cs="Times New Roman" w:eastAsia="Times New Roman" w:hAnsi="Times New Roman"/>
          <w:sz w:val="18"/>
          <w:szCs w:val="18"/>
          <w:color w:val="auto"/>
        </w:rPr>
        <w:t>. Subject to Section 611, the Trustee’s certificate of authentication shall be in substantially the following form: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ind w:left="68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8890</wp:posOffset>
            </wp:positionV>
            <wp:extent cx="25374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as Trustee,</w:t>
      </w:r>
    </w:p>
    <w:p>
      <w:pPr>
        <w:spacing w:after="0" w:line="29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8890</wp:posOffset>
            </wp:positionV>
            <wp:extent cx="25374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Securities Issuable in Global Form</w:t>
      </w:r>
      <w:r>
        <w:rPr>
          <w:rFonts w:ascii="Times New Roman" w:cs="Times New Roman" w:eastAsia="Times New Roman" w:hAnsi="Times New Roman"/>
          <w:sz w:val="18"/>
          <w:szCs w:val="18"/>
          <w:color w:val="auto"/>
        </w:rPr>
        <w:t>. If Securities of or within a series are issuable in the form of one or more Global Securities, then, notwithstanding clause (8) of Section 301 and the provisions of Section 302, any such Global Security or Securities may provide that it or they shall represent the aggregate amount of all Outstanding Securities of such series (or such lesser amount as is permitted by the terms thereof) from time to time endorsed thereon and may also provide that the aggregate amount of Outstanding Securities of such series represented thereby may from time to time be increased or decreased to reflect exchanges. Any endorsement of any Global Security to reflect the amount, or any increase or decrease in the amount, or changes in the rights of Holders thereof, of Outstanding Securities represented thereby shall be made (or caused to be made) by the Trustee in such manner or by such Person or Persons as shall be specified therein or in the Company Order to be delivered to the Trustee pursuant to Section 303 or Section 304. Subject to the provisions of Section 303 and, if applicable, Section 304, the Trustee shall deliver and redeliver any Global Security in permanent global form in the manner and upon instructions given by the Person or Persons specified therein or in the applicable Company Order. If a Company Order pursuant to Section 303 or Section 304 has been, or simultaneously is, delivered, any instructions by the Company with respect to endorsement or delivery or redelivery of a Global Security shall be in writing but need not comply with Section 102 and need not be accompanied by an Opinion of Counsel.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last sentence of Section 303 shall apply to any Security represented by a Global Security if such Security was never issued and sold by the Company and the Company delivers to the Trustee the Global Security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provisions of Section 307, unless otherwise specified as contemplated by Section 301, payment of principal of and any premium or Make-Whole Amount, if any, and interest on any Global Security in permanent global form shall be made to the registered Holder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provisions of Section 308 and except as provided in the preceding paragraph, the Company, the Trustee and any agent of the Company and the Trustee shall treat as the Holder of such principal amount of Outstanding Securities represented by a permanent Global Security (i) in the case of a permanent Global Security in registered form, the Holder of such permanent Global Security in registered form, or (ii) in the case of a permanent Global Security in bearer form, Euroclear or Clearstream.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64" w:name="page165"/>
    <w:bookmarkEnd w:id="164"/>
    <w:p>
      <w:pPr>
        <w:ind w:left="660"/>
        <w:spacing w:after="0"/>
        <w:rPr>
          <w:sz w:val="20"/>
          <w:szCs w:val="20"/>
          <w:color w:val="auto"/>
        </w:rPr>
      </w:pPr>
      <w:r>
        <w:rPr>
          <w:rFonts w:ascii="Times New Roman" w:cs="Times New Roman" w:eastAsia="Times New Roman" w:hAnsi="Times New Roman"/>
          <w:sz w:val="18"/>
          <w:szCs w:val="18"/>
          <w:color w:val="auto"/>
        </w:rPr>
        <w:t>Any Global Security authenticated and delivered hereunder shall bear a legend in substantially the following form:</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Security is a Global Security within the meaning set forth in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 or by the Depository or its nominee to a successor Depository or its nominee.”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THREE. - THE SECURITIES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Amount Unlimited; Issuable in Series</w:t>
      </w:r>
      <w:r>
        <w:rPr>
          <w:rFonts w:ascii="Times New Roman" w:cs="Times New Roman" w:eastAsia="Times New Roman" w:hAnsi="Times New Roman"/>
          <w:sz w:val="18"/>
          <w:szCs w:val="18"/>
          <w:color w:val="auto"/>
        </w:rPr>
        <w:t>. The aggregate principal amount of Securities, which may be authenticated and delivered under this Indenture, is unlimited.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Securities may be issued in one or more series, each of which shall be authorized pursuant to Board Resolutions of the Company. There shall be established in one or more Board Resolutions or pursuant to authority granted by one or more Board Resolutions and, subject to Section 303, set forth in an Officers’ Certificate, or established in one or more indentures supplemental hereto, prior to the issuance of Securities of any series:</w:t>
      </w:r>
    </w:p>
    <w:p>
      <w:pPr>
        <w:spacing w:after="0" w:line="176" w:lineRule="exact"/>
        <w:rPr>
          <w:sz w:val="20"/>
          <w:szCs w:val="20"/>
          <w:color w:val="auto"/>
        </w:rPr>
      </w:pPr>
    </w:p>
    <w:p>
      <w:pPr>
        <w:ind w:firstLine="656"/>
        <w:spacing w:after="0" w:line="282" w:lineRule="auto"/>
        <w:tabs>
          <w:tab w:leader="none" w:pos="90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including “CUSIP” numbers (which shall distinguish the Securities of such series from all other series of Securities);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the series that may be authenticated and delivered under this Indenture (except for Securities authenticated and delivered upon registration of transfer of, or upon conversion of, or in exchange for, or in lieu of, other Securities of the series pursuant to Section 304, 305, 306, 906, 1107 or 1305) and the minimum authorized denominations with respect to the Securities of such series;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(expressed as a percentage of the principal amount thereof) at which such Securities will be issued and, if other than the principal amount thereof, the portion of the principal amount thereof payable upon declaration of acceleration of the maturity thereof or (if applicable) the portion of the principal amount of such Securities that is convertible into Common Stock or Preferred Stock or the method by which any such portion shall be determined;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convertible, the terms on which such Securities are convertible, including the initial conversion price or rate and the conversion period and any applicable limitations on the ownership or transferability of Common Stock or Preferred Stock receivable on conversion;</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such date or dates, on which the principal of such Securities will be payable;</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0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or the method by which such rate or rates shall be determined, at which such Securities will bear interest, if any;</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ind w:firstLine="656"/>
        <w:spacing w:after="0" w:line="282" w:lineRule="auto"/>
        <w:tabs>
          <w:tab w:leader="none" w:pos="90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Make-Whole Amount, if any, or method for determining the Make-Whole Amount, if any, payable with respect to such Securities, and the terms upon which such amount, if any, will be payable;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or Make-Whole Amount, if any) and interest, if any, on such Securities will be payable, where such Securities may be surrendered for registration of transfer or conversion or exchange and where notices or demands to or upon the Company in respect of such Securities and this Indenture may be served;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other terms and conditions upon which such Securities may, pursuant to any optional or mandatory redemption provisions, be redeemed, as a whole or in part, at the option of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8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repay or purchase such Securities pursuant to any sinking fund or analogous provision or at the option of a Holder thereof, and the period or periods within which, the price or prices at which and the other terms and conditions upon which such Securities will be redeemed, repaid or purchased, as a whole or in part, pursuant to such obligation;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Dollars, the currency or currencies in which such Securities are denominated and payable, which may be a foreign currency or units of two or more foreign currencies or a composite currency or currencies, the manner of determining the equivalent thereof in Dollars for purposes of the definition of “Outstanding” in Section 101, and the terms and conditions relating thereto;</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9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or Make-Whole Amount, if any, including any amount due upon redemption, if any) or interest on such Securities may be determined with reference to an index, formula or other method (which index, formula or method may, but need not be, based on the yield on or trading price of other securities, including United States Treasury securities or on a currency, currencies, currency unit or units, or composite currency or currencies) and the manner in which such amounts shall be determined;</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00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principal of (and premium or Make-Whole Amount, if any) or interest on the Securities of the series are to be payable, at the election of the Company or a Holder thereof, in a currency or currencies, currency unit or units or composite currency or currencies other than that in which such Securities are denominated or stated to be payable, the period or periods within which, and the terms and conditions upon which, such election may be made, and the time and manner of, and identity of the exchange rate agent with responsibility for, determining the exchange rate between the currency or currencies, currency unit or units or composite currency or currencies in which such Securities are denominated or stated to be payable and the currency or currencies, currency unit or units or composite currency or currencies in which such Securities are to be so payable;</w:t>
      </w:r>
    </w:p>
    <w:p>
      <w:pPr>
        <w:spacing w:after="0" w:line="18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the Holders of Securities of the series upon the occurrence of such events as may be specified;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1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covenants of the Company with respect to Securities of the series, whether or not such Events of Default or covenants are consistent with the Events of Default or covenants set forth herein;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ind w:firstLine="656"/>
        <w:spacing w:after="0" w:line="282" w:lineRule="auto"/>
        <w:tabs>
          <w:tab w:leader="none" w:pos="99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the Company will pay any additional amounts on such Securities in respect of any tax, assessment or governmental charge and, if so, whether the Company will have the option to redeem such Securities in lieu of making such payment;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02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Securities of the series are to be issuable as Registered Securities, Bearer Securities (with or without coupons) or both, any restrictions applicable to the offer, sale or delivery of Bearer Securities and the terms upon which Bearer Securities of the series may be exchanged for Registered Securities of the series and vice versa (if permitted by applicable laws and regulations), whether any Securities of the series are to be issuable initially in temporary global form and whether any Securities of the series are to be issuable in permanent global form with or without coupons and, if so, whether beneficial owners of interests in any such permanent global Security may, or shall be required to, exchange such interests for Securities of such series and of like tenor of any authorized form and denomination and the circumstances under which any such exchanges may, or shall be required to, occur, if other than in the manner provided in the Indenture, and, if Registered Securities of the series are to be issuable as a Global Security, the identity of the depository for such series;</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100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as of which any Bearer Securities of the series and any temporary Global Security representing outstanding Securities of the series shall be dated if other than the date of original issuance of the first Security of the series to be issued;</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01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Person to whom any interest on any Registered Security of the series shall be payable, if other than the Person in whose name that Security (or one or more Predecessor Securities) is registered at the close of business on the Regular Record Date for such interest the manner in which, or the Person to whom, any interest on any Bearer Security of the series shall be payable, if otherwise than upon presentation and surrender of the coupons appertaining thereto as they severally mature, and the extent to which, or the manner in which, any interest payable on a temporary Global Security on an Interest Payment Date will be paid if other than in the manner provided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in each case, that the manner of determining such Person or making such payment shall be acceptable to the Trustee (as not imposing on it any undue administrative burden or risk of liability);</w:t>
      </w:r>
    </w:p>
    <w:p>
      <w:pPr>
        <w:spacing w:after="0" w:line="18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if any, of the Defeasance and Covenant Defeasance provisions of Article Fourteen hereof to the Securities of the series;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9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permit the conversion of the Securities of such series into Common Stock or Preferred Stock, as the case may be, and the terms and conditions upon which such conversion shall be effected (including, without limitation, the initial conversion price or rate, the conversion period, any adjustment of the applicable conversion price and any requirements relative to the reservation of such shares for purposes of conversion);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9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ind w:right="20" w:firstLine="656"/>
        <w:spacing w:after="0" w:line="282" w:lineRule="auto"/>
        <w:tabs>
          <w:tab w:leader="none" w:pos="101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the Trustee, if different from the Trustee under the Indenture, with respect to such series and the terms applicable to such Trustee (which shall be accepted by such Trustee by its execution and delivery of a supplemental indenture as provided therein); and</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 (which terms shall not be inconsistent with the provisions of this Indenture).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Securities of any one series and the coupons appertaining to any Bearer Securities of such series shall be substantially identical except, in the case of Registered Securities, as to denomination and except as may otherwise be provided in or pursuant to such Board Resolution (subject to Section 303) and set forth in such Officers’ Certificate or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Denominations</w:t>
      </w:r>
      <w:r>
        <w:rPr>
          <w:rFonts w:ascii="Times New Roman" w:cs="Times New Roman" w:eastAsia="Times New Roman" w:hAnsi="Times New Roman"/>
          <w:sz w:val="18"/>
          <w:szCs w:val="18"/>
          <w:color w:val="auto"/>
        </w:rPr>
        <w:t>. The Securities of each series shall be issuable in such denominations as shall be specified as contemplated by Section 301. With respect to Securities of any series denominated in Dollars, in the absence of any such provisions with respect to the Securities of any series, the Securities of such series, other than Global Securities (which may be of any denomination), shall be issuable in denominations of $1,000 and any integral multiple thereof or the equivalent amounts thereof in the case of Securities denominated in the Foreign Currency or currency unit.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Execution, Authentication, Delivery and Datin</w:t>
      </w:r>
      <w:r>
        <w:rPr>
          <w:rFonts w:ascii="Times New Roman" w:cs="Times New Roman" w:eastAsia="Times New Roman" w:hAnsi="Times New Roman"/>
          <w:sz w:val="18"/>
          <w:szCs w:val="18"/>
          <w:color w:val="auto"/>
        </w:rPr>
        <w:t>g. The Securities and any coupons appertaining thereto shall be executed on behalf of the Company by its Chief Executive Officer, its President, or one of its Vice Presidents, under its corporate seal reproduced thereon, and attested by its Secretary or one of its Assistant Secretaries. The signature of any of these officers on the Securities and coupons may be manual or facsimile signatures of the present or any future such authorized officer and may be imprinted or otherwise reproduced on the Securities.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Securities and coupons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or coupons.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At any time and from time to time after the execution and delivery of this Indenture, the Company may deliver Securities of any series, together with any coupon appertaining thereto, executed by the Company to the Trustee for authentication, together with a Company Order for the authentication and delivery of such Securities (accompanied by a copy of the Board Resolution and the Officers’ Certificate or supplemental indenture contemplated by Section 301), and the Trustee in accordance with the Company Order shall authenticate and deliver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connection with its original issuance, no Bearer Security shall be mailed or otherwise delivered to any location in the United States; and </w:t>
      </w:r>
      <w:r>
        <w:rPr>
          <w:rFonts w:ascii="Times New Roman" w:cs="Times New Roman" w:eastAsia="Times New Roman" w:hAnsi="Times New Roman"/>
          <w:sz w:val="18"/>
          <w:szCs w:val="18"/>
          <w:u w:val="single" w:color="auto"/>
          <w:color w:val="auto"/>
        </w:rPr>
        <w:t>provided further t</w:t>
      </w:r>
      <w:r>
        <w:rPr>
          <w:rFonts w:ascii="Times New Roman" w:cs="Times New Roman" w:eastAsia="Times New Roman" w:hAnsi="Times New Roman"/>
          <w:sz w:val="18"/>
          <w:szCs w:val="18"/>
          <w:color w:val="auto"/>
        </w:rPr>
        <w:t xml:space="preserve">hat, unless otherwise specified with respect to any series of Securities pursuant to Section 301, a Bearer Security may be delivered in connection with its original issuance only if the Person entitled to receive such Bearer Security shall have furnished a certificate to Euroclear or Clearstream, as the case may be, in the form set forth in </w:t>
      </w:r>
      <w:r>
        <w:rPr>
          <w:rFonts w:ascii="Times New Roman" w:cs="Times New Roman" w:eastAsia="Times New Roman" w:hAnsi="Times New Roman"/>
          <w:sz w:val="18"/>
          <w:szCs w:val="18"/>
          <w:u w:val="single" w:color="auto"/>
          <w:color w:val="auto"/>
        </w:rPr>
        <w:t>Exhibit B-l</w:t>
      </w:r>
      <w:r>
        <w:rPr>
          <w:rFonts w:ascii="Times New Roman" w:cs="Times New Roman" w:eastAsia="Times New Roman" w:hAnsi="Times New Roman"/>
          <w:sz w:val="18"/>
          <w:szCs w:val="18"/>
          <w:color w:val="auto"/>
        </w:rPr>
        <w:t xml:space="preserve"> to this Indenture or such other certificate as may be specified by the Company with respect to any series of Securities pursuant to Section 301, dated no earlier than 15 days prior to the earlier of the date on which such Bearer Security is delivered and the date on which any temporary Security first becomes exchangeable for such Bearer Security in accordance with the terms of such temporary Security and this Indenture. If any Security shall be represented by a permanent Global Security, then, for purposes of this Section and Section 304, the notation of a beneficial owner’s interest therein upon original issuance of such Security or upon exchange of a portion of a temporary Global Security shall be deemed to be delivery in connection with its original issuance of such beneficial owner’s interest in such permanent Global Security. Except as permitted by Section 306, the Trustee shall not authenticate and deliver any Bearer Security unless all appurtenant coupons for interest then matured have been detached and canceled.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or formula,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w:t>
      </w:r>
    </w:p>
    <w:p>
      <w:pPr>
        <w:spacing w:after="0" w:line="183" w:lineRule="exact"/>
        <w:rPr>
          <w:sz w:val="20"/>
          <w:szCs w:val="20"/>
          <w:color w:val="auto"/>
        </w:rPr>
      </w:pPr>
    </w:p>
    <w:p>
      <w:pPr>
        <w:ind w:left="1520" w:hanging="216"/>
        <w:spacing w:after="0"/>
        <w:tabs>
          <w:tab w:leader="none" w:pos="1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such Securities and any coupons have been established in conformity with the provisions of this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206"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such Securities and any coupons have been established in conformity with the provisions of this Indenture;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197"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together with any coupons appertaining thereto,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legally binding obligations of the Company, enforceable in accordance with their terms, subject to applicable bankruptcy, insolvency, fraudulent transfer, reorganization and other similar laws of general applicability relating to or affecting the enforcement of creditors’ rights generally and to general equitable principles; and</w:t>
      </w:r>
    </w:p>
    <w:p>
      <w:pPr>
        <w:spacing w:after="0" w:line="187" w:lineRule="exact"/>
        <w:rPr>
          <w:sz w:val="20"/>
          <w:szCs w:val="20"/>
          <w:color w:val="auto"/>
        </w:rPr>
      </w:pPr>
    </w:p>
    <w:p>
      <w:pPr>
        <w:jc w:val="both"/>
        <w:ind w:firstLine="1304"/>
        <w:spacing w:after="0" w:line="266" w:lineRule="auto"/>
        <w:tabs>
          <w:tab w:leader="none" w:pos="157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all conditions precedent provided for in this Indenture relating to the issuance of the Securities have been complied with and that, to the best of the knowledge of the signers of such certificate, that no Event of Default with respect to any of the Securities shall have occurred and be continuing.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such form or terms have been so established, the Trustee shall not be required to authenticate such Securities (or to enter into the related supplemental indenture, if applicable) if the issue of such Securities pursuant to this Indenture will affect the Trustee’s own rights, duties, obligations or immunities under the Securities and this Indenture or otherwise in a manner which is not reasonably acceptable to the Trustee.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provisions of Section 301 and of the preceding paragraph, if all the Securities of any series are not to be issued at one time, it shall not be necessary to deliver an Officers’ Certificate otherwise required pursuant to Section 301 or a Company Order, or an Opinion of Counsel or an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Registered Security shall be dated the date of its authentication and each Bearer Security shall be dated as of the date specified as contemplated by Section 301.</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Security or coupon shall be entitled to any benefit under this Indenture or be valid or obligatory for any purpose unless there appears on such Security or Security to which such coupon appertains a certificate of authentication substantially in the form provided for herein duly executed by the Trustee (subject to Section 611)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(including a Global Security) shall have been authenticated and delivered hereunder but never issued and sold by the Company, and the Company shall deliver such Security to the Trustee for cancellation as provided in Section 309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 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Except in the case of temporary Global Securities (which shall be exchanged as otherwise provided herein or as otherwise provided in or pursuant to a Board Resolution or supplemental indenture pursuant to Section 301),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(accompanied by any non-matured coupons appertaining thereto), the Company shall execute (in accordance with a Company Order delivered at or prior to the authentication of the first definitive security to such series) and the Trustee shall authenticate and deliver in exchange therefor a like principal amount of definitive Securities of the same series of authorized denominations;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definitive Bearer Security shall be delivered in exchange for a temporary Registered Security;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definitive Bearer Security shall be delivered in exchange for a temporary Bearer Security only in compliance with the conditions set forth in Section 303. Until so exchanged, the temporary Securities of any series shall in all respects be entitled to the same benefits under this Indenture as definitive Securities of such series.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both"/>
        <w:ind w:firstLine="1952"/>
        <w:spacing w:after="0" w:line="258" w:lineRule="auto"/>
        <w:tabs>
          <w:tab w:leader="none" w:pos="22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or pursuant to a Board Resolution or supplemental indenture pursuant to Section 301, the following provisions of this Section 304(b) shall govern the exchange of temporary Securities other than through the facilities of the DTC. If any such temporary Security is issued in global form, then such temporary Global Security shall, unless otherwise provided therein, be delivered to the London office of a depository or common depository upon and pursuant to written direction of the Company (the “Common Depository”), for the benefit of Euroclear and Clearstream, for credit to the respective accounts of the beneficial owners of such Securities (or to such other accounts as they may direct).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Without unnecessary delay but in any event not later than the date specified in, or determined pursuant to the terms of, any such temporary Global Security (the “Exchange Date”), the Company shall deliver to the Trustee definitive Securities, in aggregate principal amount equal to the principal amount of such temporary Global Security, executed by the Company. On or after the Exchange Date, such temporary Global Security shall be surrendered by the Common Depository to the Trustee, as the Company’s agent for such purpose, to be exchanged, in whole or from time to time in part, for definitive Securities without charge, and the Trustee shall authenticate and deliver, in exchange for each portion of such temporary Global Security, an equal aggregate principal amount of definitive Securities of the same series of authorized denominations and of like tenor as the portion of such temporary Global Security to be exchanged. The definitive Securities to be delivered in exchange for any such temporary Global Security shall be in bearer form, registered form, permanent global bearer form or permanent global registered form, or any combination thereof, as specified as contemplated by Section 301, and, if any combination thereof is so specified, as requested by the beneficial owner thereof (as directed by or pursuant to information provided by the Common Depository);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unless otherwise specified in such temporary Global Security, upon such presentation by the Common Depository, such temporary Global Security shall be accompanied by a certificate dated the Exchange Date or a subsequent date and signed by Euroclear as to the portion of such temporary Global Security held for its account then to be exchanged and a certificate dated the Exchange Date or a subsequent date and signed by Clearstream as to the portion of such temporary Global Security held for its account then to be exchanged, each in the form set forth in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B-2</w:t>
      </w:r>
      <w:r>
        <w:rPr>
          <w:rFonts w:ascii="Times New Roman" w:cs="Times New Roman" w:eastAsia="Times New Roman" w:hAnsi="Times New Roman"/>
          <w:sz w:val="18"/>
          <w:szCs w:val="18"/>
          <w:color w:val="auto"/>
        </w:rPr>
        <w:t xml:space="preserve"> to this Indenture or in such other form as may be established pursuant to Section 301;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definitive Bearer Securities shall be delivered in exchange for a portion of a temporary Global Security only in compliance with the requirements of Section 303.</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Unless otherwise specified in such temporary Global Security, the interest of a beneficial owner of Securities of a series in a temporary Global Security shall be exchanged for definitive Securities of the same series and of like tenor following the Exchange Date when the account holder instructs Euroclear or Clearstream, as the case may be, to request such exchange on his behalf and delivers to Euroclear or Clearstream, as the case may be, a certificate in the form set forth in </w:t>
      </w:r>
      <w:r>
        <w:rPr>
          <w:rFonts w:ascii="Times New Roman" w:cs="Times New Roman" w:eastAsia="Times New Roman" w:hAnsi="Times New Roman"/>
          <w:sz w:val="18"/>
          <w:szCs w:val="18"/>
          <w:u w:val="single" w:color="auto"/>
          <w:color w:val="auto"/>
        </w:rPr>
        <w:t>Exhibit B-l</w:t>
      </w:r>
      <w:r>
        <w:rPr>
          <w:rFonts w:ascii="Times New Roman" w:cs="Times New Roman" w:eastAsia="Times New Roman" w:hAnsi="Times New Roman"/>
          <w:sz w:val="18"/>
          <w:szCs w:val="18"/>
          <w:color w:val="auto"/>
        </w:rPr>
        <w:t xml:space="preserve"> to this Indenture (or in such other form as may be established pursuant to Section 301), dated no earlier than 15 days prior to the Exchange Date, copies of which certificate shall be available from the offices of Euroclear and Clearstream, the Trustee,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unless such Person takes delivery of such definitive Securities in person at the offices of Euroclear or Clearstream. Definitive Securities in bearer form to be delivered in exchange for any portion of a temporary Global Security shall be delivered only to an address located outside the United States.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Until exchanged in full as hereinabove provided, the temporary Securities of any series shall in all respects be entitled to the same benefits under this Indenture as definitive Securities of the same series and of like tenor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Euroclear and Clearstream on such Interest Payment Date upon delivery by Euroclear and Clearstream to the Trustee of a certificate or certificates in the form set forth in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to this Indenture (or in such other forms as may be established pursuant to Section 301), for credit without further interest on or after such Interest Payment Date to the respective accounts of Persons who are the beneficial owners of such temporary Global Security on such Interest Payment Date and who have each delivered to Euroclear or Clearstream, as the case may be, a certificate dated no earlier than 15 days prior to the Interest Payment Date occurring prior to such Exchange Date in the form set forth as </w:t>
      </w:r>
      <w:r>
        <w:rPr>
          <w:rFonts w:ascii="Times New Roman" w:cs="Times New Roman" w:eastAsia="Times New Roman" w:hAnsi="Times New Roman"/>
          <w:sz w:val="18"/>
          <w:szCs w:val="18"/>
          <w:u w:val="single" w:color="auto"/>
          <w:color w:val="auto"/>
        </w:rPr>
        <w:t>Exhibit B-l</w:t>
      </w:r>
      <w:r>
        <w:rPr>
          <w:rFonts w:ascii="Times New Roman" w:cs="Times New Roman" w:eastAsia="Times New Roman" w:hAnsi="Times New Roman"/>
          <w:sz w:val="18"/>
          <w:szCs w:val="18"/>
          <w:color w:val="auto"/>
        </w:rPr>
        <w:t xml:space="preserve"> to this Indenture (or in such other forms as may be established pursuant to Section 301). Notwithstanding anything to the contrary herein contained, the certifications made pursuant to this paragraph shall satisfy the certification requirements of the preceding two paragraphs of this Section 304(b) and of the third paragraph of Section 303 of this Indenture and the interests of the Persons who are the beneficial owners of the temporary Global Security with respect to which such certification was made will be exchanged for definitive Securities of the same series and of like tenor on the Exchange Date or the date of certification if such date occurs after the Exchange Date, without further act or deed by such beneficial owners. Except as otherwise provided in this paragraph, no payments of principal or interest owing with respect to a beneficial interest in a temporary Global Security will be made unless and until such interest in such temporary Global Security shall have been exchanged for an interest in a definitive Security. Any interest so received by Euroclear and Clearstream and not paid as herein provided shall be returned to the Trustee prior to the expiration of two years after such Interest Payment Date in order to be repaid to the Company.</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With respect to </w:t>
      </w:r>
      <w:r>
        <w:rPr>
          <w:rFonts w:ascii="Times New Roman" w:cs="Times New Roman" w:eastAsia="Times New Roman" w:hAnsi="Times New Roman"/>
          <w:sz w:val="18"/>
          <w:szCs w:val="18"/>
          <w:u w:val="single" w:color="auto"/>
          <w:color w:val="auto"/>
        </w:rPr>
        <w:t>Exhibit B-l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B-2</w:t>
      </w:r>
      <w:r>
        <w:rPr>
          <w:rFonts w:ascii="Times New Roman" w:cs="Times New Roman" w:eastAsia="Times New Roman" w:hAnsi="Times New Roman"/>
          <w:sz w:val="18"/>
          <w:szCs w:val="18"/>
          <w:color w:val="auto"/>
        </w:rPr>
        <w:t xml:space="preserve"> to this Indenture, the Company may, in its discretion and if required or desirable under applicable law, substitute one or more other forms of such exhibits for such exhibits, eliminate the requirement that any or all certificate be provided, or change the time that any certificate may be required,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substitute form or forms or notice of elimination or change of such certification requirement have theretofore been delivered to the Trustee with a Company Request and such form or forms, elimination or change is reasonably acceptable to the Trustee.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Registration, Registration of Transfer, Conversion and Exchan</w:t>
      </w:r>
      <w:r>
        <w:rPr>
          <w:rFonts w:ascii="Times New Roman" w:cs="Times New Roman" w:eastAsia="Times New Roman" w:hAnsi="Times New Roman"/>
          <w:sz w:val="18"/>
          <w:szCs w:val="18"/>
          <w:color w:val="auto"/>
        </w:rPr>
        <w:t>ge. 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“Security Register”)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In the event that the Trustee shall cease to be Security Registrar, it shall have the right to examine, and be provided a copy of, the Security Register at all reasonable times.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provisions of this Section 305, 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provisions of this Section 305, 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such Registered Securities are so surrendered for exchange, the Company shall execute, and the Trustee shall authenticate and deliver, the Registered Securities, which the Holder making the exchange is entitled to receive. Unless otherwise specified with respect to any series of Securities as contemplated by Section 301, Bearer Securities may not be issued in exchange for Registered Securities.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(but only if) permitted by the applicable Board Resolution and (subject to Section 303) set forth in the applicable Officers’ Certificate, or in any indenture supplemental hereto, delivered as contemplated by Section 301, at the option of the Holder, Bearer Securities of any series may be exchanged for Registered Securities of the same series of any authorized denominations and of a like aggregate principal amount and tenor, upon surrender of the Bearer Securities to be exchanged at any such office or agency, with all unmatured coupons and all matured coupons in default thereto appertaining. If the Holder of a Bearer Security is unable to produce any such unmatured coupon or coupons or matured coupon or coupons in default, any such permitted exchange may be effected if the Bearer Securities are accompanied by payment in funds acceptable to the Company (or to the Trustee for the Security in case of matured coupons in default) in an amount equal to the face amount of such missing coupon or coupons, or the surrender of such missing coupon or coupons may be waived by the Company and the Trustee if there is furnished to them such security or indemnity as they may require to save each of them and any Paying Agent harmless. If thereafter the Holder of such Security shall surrender to any Paying Agent any such missing coupon in respect of which such a payment shall have been made, such Holder shall be entitled to receive the amount of such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otherwise provided in Section 1002, interest represented by coupons shall be payable only upon presentation and surrender of those coupons at an office or agency located outside the United States. Notwithstanding the foregoing, in case a Bearer Security of any series is surrendered at any such office or agency in a permitted exchange for a Registered Security of the same series and like tenor after the close of business at such office or agency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such Bearer Security shall be surrendered without the coupon relating to such Interest Payment Date or proposed date for payment, as the case may be, and interest or Defaulted Interest, as the case may be, will not be payable on such Interest Payment Date or proposed date for payment, as the case may be, in respect of the Registered Security issued in exchange for such Bearer Security, but will be payable only to the Holder of such coupon when due in accordance with the provisions of this Indenture. Whenever any Securities are so surrendered for exchange, the Company shall execute, and the Trustee shall authenticate and deliver, the Securities, which the Holder making the exchange is entitled to receive.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the foregoing, except as otherwise specified as contemplated by Section 301, any permanent Global Security shall be exchangeable only as provided in this paragraph. If the depository for any permanent Global Security is DTC, then, unless the terms of such Global Security expressly permit such Global Security to be exchanged in whole or in part for definitive Securities, a Global Security may be transferred, in whole but not in part, only to a nominee of DTC, or by a nominee of DTC to DTC, or to a successor to DTC for such Global Security selected or approved by the Company or to a nominee of such successor to DTC. If at any time DTC notifies the Company that it is unwilling or unable to continue as depository for the applicable Global Security or Securities or if at any time DTC ceases to be a clearing agency registered under the Exchange Act if so required by applicable law or regulation, the Company shall appoint a successor depository with respect to such Global Security or Securities. If (w) a successor depository for such Global Security or Securities is not appointed by the Company within 90 days after the Company receives such notice or becomes aware of such unwillingness, inability or ineligibility, (x) the Company delivers to the Trustee for Securities of such series in registered form a Company Order stating that the Securities of such series shall be exchangeable, (y) an Event of Default has occurred and is continuing and the beneficial owners representing a majority in principal amount of the applicable series of Securities represented by such Global Security or Securities advise DTC to cease acting as depository for such Global Security or Securities or (z) the Company, in its sole discretion, determines at any time that all Outstanding Securities (but not less than all) of any series issued or issuable in the form of one or more Global Securities shall no longer be represented by such Global Security or Securities, then the Company shall execute, and the Trustee shall authenticate and deliver definitive Securities of like series, rank, tenor and terms in definitive form in an aggregate principal amount equal to the principal amount of such Global Security or Securities. If any beneficial owner of an interest in a permanent global Security is otherwise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execute, and the Trustee shall authenticate and deliver definitive Securities in aggregate principal amount equal to the principal amount of such beneficial owner’s interest in such permanent Global Security. On or after the earliest date on which such interests may be so exchanged, such permanent Global Security shall be surrendered for exchange by DTC or such other depository as shall be specified in the Company Order with respect thereto to the Trustee, as the Company’s agent for such purpose;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Bearer Security delivered in exchange for a portion of a permanent Global Security shall be mailed or otherwise delivered to any location in the United States.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Securities issued upon any registration of transfer or conversion or exchange of Securities shall be the valid obligations of the Company, evidencing the same debt, and entitled to the same benefits under this Indenture, as the Securities surrendered upon such registration of transfer or conversion or exchange.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Every Registered Security presented or surrendered for registration of transfer or for conversion, exchange or redemption shall (if so required by the Company or the Security Registrar) be duly endorsed, or be accompanied by a written instrument of transfer in form satisfactory to the Company and the Security Registrar, duly executed by the Holder thereof or his attorney duly authorized in writing.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service charge shall be made to the Holder for any registration of transfer or conversion or exchange of Securities, but the Company may require payment of a sum sufficient to cover any tax or other governmental charge that may be imposed in connection with any registration of transfer or conversion or exchange of Securities, other than exchanges pursuant to Section 304, 906, 1107 or 1305 not involving any transfer.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or the Trustee, as applicable,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(A) if such Securities are issuable only as Registered Securities, the day of the mailing of the relevant notice of redemption and (B) if such Securities are issuable as Bearer Securities, the day of the first publication of the relevant notice of redemption or, if such Securities are also issuable as Registered Securities and there is no publication, the mailing of the relevant notice of redemption, or</w:t>
      </w:r>
    </w:p>
    <w:p>
      <w:pPr>
        <w:spacing w:after="0" w:line="3" w:lineRule="exact"/>
        <w:rPr>
          <w:sz w:val="20"/>
          <w:szCs w:val="20"/>
          <w:color w:val="auto"/>
        </w:rPr>
      </w:pPr>
    </w:p>
    <w:p>
      <w:pPr>
        <w:jc w:val="both"/>
        <w:ind w:firstLine="8"/>
        <w:spacing w:after="0" w:line="253" w:lineRule="auto"/>
        <w:tabs>
          <w:tab w:leader="none" w:pos="28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register the transfer of or exchange any Registered Security so selected for redemption in whole or in part, except, in the case of any Registered Security to be redeemed in part, the portion thereof not to be redeemed, or (iii) to exchange any Bearer Security so selected for redemption except that such a Bearer Security may be exchanged for a Registered Security of that series and like tenor,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Registered Security shall be simultaneously surrendered for redemption, or (iv) to issue, register the transfer of or exchange any Security which has been surrendered for repayment at the option of the Holder, except the portion, if any, of such Security not to be so repaid.</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Furthermore, notwithstanding any other provision of this Section 305, the Company will not be required to exchange any Securities if, as a result of the exchange, the Company would suffer adverse consequences under any United States law or regulation.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 If any mutilated Security or a Security with a mutilated coupon appertaining to it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with coupons corresponding to the coupons, if any, appertaining to the surrendered Security.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there shall be delivered to the Company and to the Trustee (i) evidence to their satisfaction of the destruction, loss or theft of any Security or coupon, and (ii) such security or indemnity as may be required by them to save each of them and any agent of either of them harmless, then, in the absence of notice to the Company or the Trustee that such Security or coupon has been acquired by a bona fide purchaser, the Company shall execute and upon its request the Trustee shall authenticate and deliver, in lieu of any such destroyed, lost or stolen Security or in exchange for the Security to which a destroyed, lost or stolen coupon appertains (with all appurtenant coupons not destroyed, lost or stolen), a new Security of the same series and principal amount, containing identical terms and provisions and bearing a number not contemporaneously outstanding, with coupons corresponding to the coupons, if any, appertaining to such destroyed, lost or stolen Security or to the Security to which such destroyed, lost or stolen coupon appertains.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provisions of the previous two paragraphs, in case any such mutilated, destroyed, lost or stolen Security or coupon has become or is about to become due and payable, the Company in its discretion may, instead of issuing a new Security, with coupons corresponding to the coupons, if any, appertaining to such destroyed, lost or stolen Security or to the Security to which such destroyed, lost or stolen coupon appertains, pay such Security or coupon if the applicant for such payment shall furnish to the Company and the Trustee for such Security such security or indemnity as may be required by them to save each of them harmless, and in the case of destruction, loss or theft, evidence satisfactory to the Company and Trustee and any agent of any of them of the destruction, loss or theft of such Security and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payment of principal of (and premium or Make-Whole Amount, if any), and interest, if any, on, Bearer Securities shall, except as otherwise provided in Section 1002, be payable only at an office or agency located outside the United States and, unless otherwise specified as contemplated by Section 301, any interest on Bearer Securities shall be payable only upon presentation and surrender of the coupons appertaining thereto.</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Every new Security of any series with its coupons, if any, issued pursuant to this Section in lieu of any destroyed, lost or stolen Security, or in exchange for a Security to which a destroyed, lost or stolen coupon appertains, shall constitute an original additional contractual obligation of the Company, whether or not the destroyed, lost or stolen Security and its coupons, if any, or the destroyed, lost or stolen coupon shall be at any time enforceable by anyone, and shall be entitled to all the benefits of this Indenture equally and proportionately with any and all other Securities of that series and their coupons, if any, duly issued 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provisions of this Section are exclusive and shall preclude (to the extent lawful) all other rights and remedies with respect to the replacement or payment of mutilated, destroyed, lost or stolen Securities or coupons.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Payment of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 Rights Preserved</w:t>
      </w:r>
      <w:r>
        <w:rPr>
          <w:rFonts w:ascii="Times New Roman" w:cs="Times New Roman" w:eastAsia="Times New Roman" w:hAnsi="Times New Roman"/>
          <w:sz w:val="18"/>
          <w:szCs w:val="18"/>
          <w:color w:val="auto"/>
        </w:rPr>
        <w:t xml:space="preserve">. Except as otherwise specified with respect to a series of Securities in accordance with the provisions of Section 301, interest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payment at the office or agency of the Company maintained for such purpose pursuant to Section 1002;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installment of interest on any Registered Security may at the Company’s option be paid by (i) mailing a check for such interest, payable to or upon the written order of the Person entitled thereto pursuant to Section 308, to the address of such Person as it appears on the Security Register or (ii) transfer to an account maintained by the payee located inside the United States.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provided as contemplated by Section 301 with respect to the Securities of any series, payment of interest may be made, in the case of a Bearer Security, by transfer to an account maintained by the payee with a bank located outside the United States.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provided as contemplated by Section 301, every permanent Global Security will provide that interest, if any, payable on any Interest Payment Date will be paid to DTC, Euroclear and/or Clearstream, as the case may be, with respect to that portion of such permanent Global Security held for its account by Cede &amp; Co. or the Common Depository, as the case may be, for the purpose of permitting such party to credit the interest received by it in respect of such permanent Global Security to the accounts of the beneficial owners thereof.</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case a Bearer Security of any series is surrendered in exchange for a Registered Security of such series after the close of business (at an office or agency in a Place of Payment for such series) on any Regular Record Date and before the opening of business (at such office or agency) on the next succeeding Interest Payment Date, such Bearer Security shall be surrendered without the coupon relating to such Interest Payment Date and interest will not be payable on such Interest Payment Date in respect of the Registered Security issued in exchange for such Bearer Security, but will be payable only to the Holder of such coupon when due in accordance with the provisions of this Indenture.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“Defaulted Interest”) shall forthwith cease to be payable to the registered Holder thereof on the relevant Regular Record Date by virtue of having been such Holder, and such Defaulted Interest may be paid by the Company, at its election in each case, as provided in clause (1) or (2) below:</w:t>
      </w:r>
    </w:p>
    <w:p>
      <w:pPr>
        <w:spacing w:after="0" w:line="180" w:lineRule="exact"/>
        <w:rPr>
          <w:sz w:val="20"/>
          <w:szCs w:val="20"/>
          <w:color w:val="auto"/>
        </w:rPr>
      </w:pPr>
    </w:p>
    <w:p>
      <w:pPr>
        <w:jc w:val="both"/>
        <w:ind w:firstLine="656"/>
        <w:spacing w:after="0" w:line="251" w:lineRule="auto"/>
        <w:tabs>
          <w:tab w:leader="none" w:pos="90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or currencies, currency unit or units or composite currency or currencies in which the Securities of such series are payable (except as otherwise specified pursuant to Section 301 for the Securities of such series)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The Trustee may, in its discretion, in the name and at the expense of the Company, cause a similar notice to be published at least once in an Authorized Newspaper in each Place of Payment, but such publications shall not be a condition precedent to the establishment of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(2). In case a Bearer Security of any series is surrendered at the office or agency in a Place of Payment for such series in exchange for a Registered Security of such series after the close of business at such office or agency on any Special Record Date and before the opening of business at such office or agency on the related proposed date for payment of Defaulted Interest, such Bearer Security shall be surrendered without the coupon relating to such proposed date of payment and Defaulted Interest will not be payable on such proposed date of payment in respect of the Registered Security issued in exchange for such Bearer Security, but will be payable only to the Holder of such coupon when due in accordance with the provisions of this Indenture.</w:t>
      </w:r>
    </w:p>
    <w:p>
      <w:pPr>
        <w:spacing w:after="0" w:line="205" w:lineRule="exact"/>
        <w:rPr>
          <w:rFonts w:ascii="Times New Roman" w:cs="Times New Roman" w:eastAsia="Times New Roman" w:hAnsi="Times New Roman"/>
          <w:sz w:val="18"/>
          <w:szCs w:val="18"/>
          <w:color w:val="auto"/>
        </w:rPr>
      </w:pPr>
    </w:p>
    <w:p>
      <w:pPr>
        <w:jc w:val="both"/>
        <w:ind w:firstLine="656"/>
        <w:spacing w:after="0" w:line="261" w:lineRule="auto"/>
        <w:tabs>
          <w:tab w:leader="none" w:pos="9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the Registered Securities of any series in any other lawful manner not inconsistent with the requirements of any over-the-counter market or securities exchange on which such Securities may be quoted or listed, and upon such notice as may be required by such market or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foregoing provisions of this Section and Section 305, each Security delivered under this Indenture upon registration of transfer of or upon conversion of or in exchange for or in lieu of any other Security shall carry the rights to interest accrued and unpaid, and to accrue, which were carried by such other Security.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Prior to due presentment of a Registered Security for registration of transfer, the Company, the Trustee and any agent of the Company or the Trustee may treat the Person in whose name such Registered Security is registered as the owner of such Security for the purpose of receiving payment of principal of (and premium or Make-Whole Amount, if any), and (subject to Section 305 and Section 307) interest on, such Registered Security and for all other purposes whatsoever, whether or not such Registered Security be overdue, and neither the Company, the Trustee nor any agent of the Company or the Trustee shall be affected by notice to the contrary. All such payments so made to any such Person, or upon such Person’s order, shall be valid, and, to the extent of the sum or sums so paid, effectual to satisfy and discharge the liability for money payable upon any such Security.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Title to any Bearer Security and any coupons appertaining thereto shall pass by delivery. The Company, the Trustee and any agent of the Company or the Trustee may treat the Holder of any Bearer Security and the Holder of any coupon as the absolute owner of such Security or coupon for the purpose of receiving payment thereof or on account thereof and for all other purposes whatsoever, whether or not such Security or coupon be overdue, and neither the Company, the Trustee nor any agent of the Company or the Trustee shall be affected by notice to the contrary.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holder of any beneficial interest in any Global Security held on its behalf by a depository shall have any rights under this Indenture with respect to such Global Security and such depository (which is the Holder of such security) shall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with respect to any Global Security, nothing herein shall prevent the Company, the Trustee, or any agent of the Company or the Trustee, from giving effect to any written certification, proxy or other authorization furnished by any depository, as a Holder, with respect to such Global Security or impair, as between such depository and owners of beneficial interests in such Global Security, the operation of customary practices governing the exercise of the rights of such depository (or its nominee) as Holder of such Global Security.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All Securities and coupons surrendered for payment, redemption, repayment at the option of the Holder, registration of transfer or conversion or exchange or for credit against any sinking fund payment shall, if surrendered to any Person other than the Trustee, be delivered to the Trustee, and any such Securities and coupons and Securities and coupons surrendered directly to the Trustee for any such purpose, upon direction by the Company,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and coupons held by the Trustee shall be disposed of by the Trustee in accordance with its customary practices (subject to the record retention requirements of the Exchange Act).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 Except as otherwise specified as contemplated by Section 301 with respect to Securities of any series, interest on the Securities of each series shall be computed on the basis of a 360-day year consisting of twelve 30-day months.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 xml:space="preserve">. 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numbers.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FOUR. - SATISFACTION AND DISCHARGE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Satisfaction and Dischar</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of Indenture</w:t>
      </w:r>
      <w:r>
        <w:rPr>
          <w:rFonts w:ascii="Times New Roman" w:cs="Times New Roman" w:eastAsia="Times New Roman" w:hAnsi="Times New Roman"/>
          <w:sz w:val="18"/>
          <w:szCs w:val="18"/>
          <w:color w:val="auto"/>
        </w:rPr>
        <w:t>. This Indenture shall upon Company Request cease to be of further effect with respect to any series of Securities specified in such Company Request (except as to any surviving rights of registration of transfer or conversion or exchange of Securities of such series herein expressly provided for), and the Trustee, upon receipt of a Company Order, and at the expense of the Company, shall execute instruments in form and substance satisfactory to the Trustee and the Company acknowledging satisfaction and discharge of this Indenture as to such series when</w:t>
      </w:r>
    </w:p>
    <w:p>
      <w:pPr>
        <w:spacing w:after="0" w:line="183" w:lineRule="exact"/>
        <w:rPr>
          <w:sz w:val="20"/>
          <w:szCs w:val="20"/>
          <w:color w:val="auto"/>
        </w:rPr>
      </w:pPr>
    </w:p>
    <w:p>
      <w:pPr>
        <w:ind w:left="920" w:hanging="264"/>
        <w:spacing w:after="0"/>
        <w:tabs>
          <w:tab w:leader="none" w:pos="9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jc w:val="both"/>
        <w:ind w:firstLine="1239"/>
        <w:spacing w:after="0" w:line="255" w:lineRule="auto"/>
        <w:tabs>
          <w:tab w:leader="none" w:pos="152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theretofore authenticated and delivered and all coupons, if any, appertaining thereto (other than (i) coupons appertaining to Bearer Securities surrendered for exchange for Registered Securities and maturing after such exchange, whose surrender is not required or has been waived as provided in Section 305, (ii) Securities and coupons of such series which have been destroyed, lost or stolen and which have been replaced or paid as provided in Section 306, (iii) coupons appertaining to Securities called for redemption and maturing after the relevant Redemption Date, whose surrender has been waived as provided in Section 1106, and (iv) Securities and coupons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88" w:lineRule="exact"/>
        <w:rPr>
          <w:rFonts w:ascii="Times New Roman" w:cs="Times New Roman" w:eastAsia="Times New Roman" w:hAnsi="Times New Roman"/>
          <w:sz w:val="18"/>
          <w:szCs w:val="18"/>
          <w:color w:val="auto"/>
        </w:rPr>
      </w:pPr>
    </w:p>
    <w:p>
      <w:pPr>
        <w:ind w:firstLine="1239"/>
        <w:spacing w:after="0" w:line="282" w:lineRule="auto"/>
        <w:tabs>
          <w:tab w:leader="none" w:pos="153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such series and, in the case of (i) or (ii) below, any coupons appertaining thereto not theretofore delivered to the Trustee for cancellation</w:t>
      </w:r>
    </w:p>
    <w:p>
      <w:pPr>
        <w:spacing w:after="0" w:line="161" w:lineRule="exact"/>
        <w:rPr>
          <w:rFonts w:ascii="Times New Roman" w:cs="Times New Roman" w:eastAsia="Times New Roman" w:hAnsi="Times New Roman"/>
          <w:sz w:val="18"/>
          <w:szCs w:val="18"/>
          <w:color w:val="auto"/>
        </w:rPr>
      </w:pPr>
    </w:p>
    <w:p>
      <w:pPr>
        <w:ind w:left="2820" w:hanging="220"/>
        <w:spacing w:after="0"/>
        <w:tabs>
          <w:tab w:leader="none" w:pos="2820"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225" w:lineRule="exact"/>
        <w:rPr>
          <w:rFonts w:ascii="Times New Roman" w:cs="Times New Roman" w:eastAsia="Times New Roman" w:hAnsi="Times New Roman"/>
          <w:sz w:val="18"/>
          <w:szCs w:val="18"/>
          <w:color w:val="auto"/>
        </w:rPr>
      </w:pPr>
    </w:p>
    <w:p>
      <w:pPr>
        <w:ind w:left="3520" w:hanging="272"/>
        <w:spacing w:after="0"/>
        <w:tabs>
          <w:tab w:leader="none" w:pos="3520" w:val="left"/>
        </w:tabs>
        <w:numPr>
          <w:ilvl w:val="3"/>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225" w:lineRule="exact"/>
        <w:rPr>
          <w:rFonts w:ascii="Times New Roman" w:cs="Times New Roman" w:eastAsia="Times New Roman" w:hAnsi="Times New Roman"/>
          <w:sz w:val="18"/>
          <w:szCs w:val="18"/>
          <w:color w:val="auto"/>
        </w:rPr>
      </w:pPr>
    </w:p>
    <w:p>
      <w:pPr>
        <w:jc w:val="both"/>
        <w:ind w:left="1960" w:firstLine="1288"/>
        <w:spacing w:after="0" w:line="266" w:lineRule="auto"/>
        <w:tabs>
          <w:tab w:leader="none" w:pos="3605" w:val="left"/>
        </w:tabs>
        <w:numPr>
          <w:ilvl w:val="3"/>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the Company, in the case of (i), (ii) or (iii) above, has irrevocably deposited or caused to be deposited with the Trustee as trust funds in trust for the purpose an amount in the currency or currencies, currency unit or units or composite currency or currencies in which the Securities of such series are payable, sufficient to pay and discharge the entire indebtedness on such Securities and such coupons not theretofore delivered to the Trustee for cancellation, for principal (and premium or Make-Whole Amount, if any) and interest to the date of such deposit (in the case of Securities which have become due and payable) or to the Stated Maturity or Redemption Date, as the case may be;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ind w:left="920" w:hanging="264"/>
        <w:spacing w:after="0"/>
        <w:tabs>
          <w:tab w:leader="none" w:pos="9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hereunder by the Company;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Company to the Trustee and any predecessor Trustee under Section 606, the obligations of the Company to any Authenticating Agent under Section 611 and, if money shall have been deposited with and held by the Trustee pursuant to subclause (B) of clause (1) of this Section, the obligations of the Trustee under Section 402 and the last paragraph of Section 1003 shall survive such satisfaction and discharge.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Application of Trust Funds</w:t>
      </w:r>
      <w:r>
        <w:rPr>
          <w:rFonts w:ascii="Times New Roman" w:cs="Times New Roman" w:eastAsia="Times New Roman" w:hAnsi="Times New Roman"/>
          <w:sz w:val="18"/>
          <w:szCs w:val="18"/>
          <w:color w:val="auto"/>
        </w:rPr>
        <w:t>. Subject to the provisions of the last paragraph of Section 1003, all money deposited with the Trustee pursuant to Section 401 shall be held in trust and applied by it, in accordance with the provisions of the Securities, the coupons and this Indenture, to the payment, either directly or through any Paying Agent (including the Company acting as its own Paying Agent) as the Trustee may determine, to the Persons entitled thereto, of the principal (and premium or Make-Whole Amount, if any), and any interest for whose payment such money has been deposited with or received by the Trustee, but such money need not be segregated from other funds except to the extent required by law.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FIVE. - REMEDIES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“Event of Default,”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176" w:lineRule="exact"/>
        <w:rPr>
          <w:sz w:val="20"/>
          <w:szCs w:val="20"/>
          <w:color w:val="auto"/>
        </w:rPr>
      </w:pPr>
    </w:p>
    <w:p>
      <w:pPr>
        <w:ind w:firstLine="656"/>
        <w:spacing w:after="0" w:line="282" w:lineRule="auto"/>
        <w:tabs>
          <w:tab w:leader="none" w:pos="92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on any Security of that series or of any coupon appertaining thereto, when such interest or coupon becomes due and payable, and continuance of such default for a period of 30 days;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or Make-Whole Amount, if any, on) any Security of that series when it becomes due and payable at its Maturity; or</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to the extent applicable to such series of Securities, when and as due by the terms of any Security of that series; or</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0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or warranty of the Company in this Indenture with respect to any Security of that series (other than a covenant or warranty a default in whose performance or whose breach is elsewhere in this Section specifically dealt with or which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both"/>
        <w:ind w:firstLine="656"/>
        <w:spacing w:after="0" w:line="253" w:lineRule="auto"/>
        <w:tabs>
          <w:tab w:leader="none" w:pos="90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under any bond, debenture, note, mortgage, indenture or instrument under which there may be issued or by which there may be secured or evidenced any indebtedness for money borrowed by the Company, having an aggregate principal amount outstanding of at least $30,000,000, whether such indebtedness now exists or shall hereafter be created,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a period of 30 days after there shall have been given, by registered or certified mail, to the Company by the Trustee or to the Company and the Trustee by the Holders of at least 10% in principal amount of the Outstanding Securities of that series a written notice specifying such default and requiring the Company to cause such indebtedness to be discharged or cause such acceleration to be rescinded or annulled and stating that such notice is a “Notice of Default” hereunder;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subject to the provisions of Section 601 and Section 602, the Trustee shall not be deemed to have knowledge of such default unless either (A) a Responsible Officer of the Trustee shall have knowledge of such default or (B) the Trustee shall have received written notice thereof from the Company, from any Holder, from the holder of any such indebtedness or from the trustee under any such mortgage, indenture or other instrument; or</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w:t>
      </w:r>
    </w:p>
    <w:p>
      <w:pPr>
        <w:spacing w:after="0" w:line="225" w:lineRule="exact"/>
        <w:rPr>
          <w:rFonts w:ascii="Times New Roman" w:cs="Times New Roman" w:eastAsia="Times New Roman" w:hAnsi="Times New Roman"/>
          <w:sz w:val="18"/>
          <w:szCs w:val="18"/>
          <w:color w:val="auto"/>
        </w:rPr>
      </w:pPr>
    </w:p>
    <w:p>
      <w:pPr>
        <w:ind w:left="1540" w:hanging="301"/>
        <w:spacing w:after="0"/>
        <w:tabs>
          <w:tab w:leader="none" w:pos="15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225" w:lineRule="exact"/>
        <w:rPr>
          <w:rFonts w:ascii="Times New Roman" w:cs="Times New Roman" w:eastAsia="Times New Roman" w:hAnsi="Times New Roman"/>
          <w:sz w:val="18"/>
          <w:szCs w:val="18"/>
          <w:color w:val="auto"/>
        </w:rPr>
      </w:pPr>
    </w:p>
    <w:p>
      <w:pPr>
        <w:ind w:left="1520" w:hanging="281"/>
        <w:spacing w:after="0"/>
        <w:tabs>
          <w:tab w:leader="none" w:pos="15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225" w:lineRule="exact"/>
        <w:rPr>
          <w:rFonts w:ascii="Times New Roman" w:cs="Times New Roman" w:eastAsia="Times New Roman" w:hAnsi="Times New Roman"/>
          <w:sz w:val="18"/>
          <w:szCs w:val="18"/>
          <w:color w:val="auto"/>
        </w:rPr>
      </w:pPr>
    </w:p>
    <w:p>
      <w:pPr>
        <w:ind w:left="1520" w:hanging="281"/>
        <w:spacing w:after="0"/>
        <w:tabs>
          <w:tab w:leader="none" w:pos="15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1540" w:hanging="301"/>
        <w:spacing w:after="0"/>
        <w:tabs>
          <w:tab w:leader="none" w:pos="15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225" w:lineRule="exact"/>
        <w:rPr>
          <w:rFonts w:ascii="Times New Roman" w:cs="Times New Roman" w:eastAsia="Times New Roman" w:hAnsi="Times New Roman"/>
          <w:sz w:val="18"/>
          <w:szCs w:val="18"/>
          <w:color w:val="auto"/>
        </w:rPr>
      </w:pPr>
    </w:p>
    <w:p>
      <w:pPr>
        <w:ind w:left="1540" w:hanging="301"/>
        <w:spacing w:after="0"/>
        <w:tabs>
          <w:tab w:leader="none" w:pos="154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in an involuntary case,</w:t>
      </w:r>
    </w:p>
    <w:p>
      <w:pPr>
        <w:spacing w:after="0" w:line="225" w:lineRule="exact"/>
        <w:rPr>
          <w:rFonts w:ascii="Times New Roman" w:cs="Times New Roman" w:eastAsia="Times New Roman" w:hAnsi="Times New Roman"/>
          <w:sz w:val="18"/>
          <w:szCs w:val="18"/>
          <w:color w:val="auto"/>
        </w:rPr>
      </w:pPr>
    </w:p>
    <w:p>
      <w:pPr>
        <w:ind w:left="1520" w:hanging="281"/>
        <w:spacing w:after="0"/>
        <w:tabs>
          <w:tab w:leader="none" w:pos="15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for all or substantially all of its property, or</w:t>
      </w:r>
    </w:p>
    <w:p>
      <w:pPr>
        <w:spacing w:after="0" w:line="225" w:lineRule="exact"/>
        <w:rPr>
          <w:rFonts w:ascii="Times New Roman" w:cs="Times New Roman" w:eastAsia="Times New Roman" w:hAnsi="Times New Roman"/>
          <w:sz w:val="18"/>
          <w:szCs w:val="18"/>
          <w:color w:val="auto"/>
        </w:rPr>
      </w:pPr>
    </w:p>
    <w:p>
      <w:pPr>
        <w:ind w:left="1520" w:hanging="281"/>
        <w:spacing w:after="0"/>
        <w:tabs>
          <w:tab w:leader="none" w:pos="152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 and the order or decree remains unstayed and in effect for 90 days; 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used in this Section 501, the term “Bankruptcy Law” means title 11, U.S. Code or any similar Federal or state law for the relief of debtors and the term “Custodian” means any receiver, trustee, assignee, liquidator or other similar official under any Bankruptcy Law.</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Acceleration of Maturit</w:t>
      </w: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Rescission and Annulment</w:t>
      </w:r>
      <w:r>
        <w:rPr>
          <w:rFonts w:ascii="Times New Roman" w:cs="Times New Roman" w:eastAsia="Times New Roman" w:hAnsi="Times New Roman"/>
          <w:sz w:val="18"/>
          <w:szCs w:val="18"/>
          <w:color w:val="auto"/>
        </w:rPr>
        <w:t>. If an Event of Default with respect to Securities of any series at the time Outstanding occurs and is continuing, then and in every such case the Trustee or the Holders of not less than 25% in principal amount of the Outstanding Securities of that series may declare the principal amount (or, if Securities of that Series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of acceleration and its consequences if:</w:t>
      </w:r>
    </w:p>
    <w:p>
      <w:pPr>
        <w:spacing w:after="0" w:line="180" w:lineRule="exact"/>
        <w:rPr>
          <w:sz w:val="20"/>
          <w:szCs w:val="20"/>
          <w:color w:val="auto"/>
        </w:rPr>
      </w:pPr>
    </w:p>
    <w:p>
      <w:pPr>
        <w:ind w:firstLine="656"/>
        <w:spacing w:after="0" w:line="282" w:lineRule="auto"/>
        <w:tabs>
          <w:tab w:leader="none" w:pos="90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deposited with the Trustee a sum sufficient to pay in the currency, currency unit or composite currency in which the Securities of such series are payable (except as otherwise specified pursuant to Section 301 for the Securities of such series):</w:t>
      </w:r>
    </w:p>
    <w:p>
      <w:pPr>
        <w:spacing w:after="0" w:line="161" w:lineRule="exact"/>
        <w:rPr>
          <w:rFonts w:ascii="Times New Roman" w:cs="Times New Roman" w:eastAsia="Times New Roman" w:hAnsi="Times New Roman"/>
          <w:sz w:val="18"/>
          <w:szCs w:val="18"/>
          <w:color w:val="auto"/>
        </w:rPr>
      </w:pPr>
    </w:p>
    <w:p>
      <w:pPr>
        <w:ind w:left="1540" w:hanging="301"/>
        <w:spacing w:after="0"/>
        <w:tabs>
          <w:tab w:leader="none" w:pos="15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installments of interest on all Outstanding Securities of that series and any related coupons,</w:t>
      </w:r>
    </w:p>
    <w:p>
      <w:pPr>
        <w:spacing w:after="0" w:line="225" w:lineRule="exact"/>
        <w:rPr>
          <w:rFonts w:ascii="Times New Roman" w:cs="Times New Roman" w:eastAsia="Times New Roman" w:hAnsi="Times New Roman"/>
          <w:sz w:val="18"/>
          <w:szCs w:val="18"/>
          <w:color w:val="auto"/>
        </w:rPr>
      </w:pPr>
    </w:p>
    <w:p>
      <w:pPr>
        <w:ind w:firstLine="1239"/>
        <w:spacing w:after="0" w:line="282" w:lineRule="auto"/>
        <w:tabs>
          <w:tab w:leader="none" w:pos="152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or Make-Whole Amount, if any, on) any Outstanding Securities of that series which have become due otherwise than by such declaration of acceleration and interest thereon at the rate or rates borne by or provided for in such Securities,</w:t>
      </w:r>
    </w:p>
    <w:p>
      <w:pPr>
        <w:spacing w:after="0" w:line="161" w:lineRule="exact"/>
        <w:rPr>
          <w:rFonts w:ascii="Times New Roman" w:cs="Times New Roman" w:eastAsia="Times New Roman" w:hAnsi="Times New Roman"/>
          <w:sz w:val="18"/>
          <w:szCs w:val="18"/>
          <w:color w:val="auto"/>
        </w:rPr>
      </w:pPr>
    </w:p>
    <w:p>
      <w:pPr>
        <w:ind w:firstLine="1239"/>
        <w:spacing w:after="0" w:line="282" w:lineRule="auto"/>
        <w:tabs>
          <w:tab w:leader="none" w:pos="153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of such interest is lawful, interest upon overdue installments of interest at the rate or rates borne by or provided for in such Securities, and</w:t>
      </w:r>
    </w:p>
    <w:p>
      <w:pPr>
        <w:spacing w:after="0" w:line="161" w:lineRule="exact"/>
        <w:rPr>
          <w:rFonts w:ascii="Times New Roman" w:cs="Times New Roman" w:eastAsia="Times New Roman" w:hAnsi="Times New Roman"/>
          <w:sz w:val="18"/>
          <w:szCs w:val="18"/>
          <w:color w:val="auto"/>
        </w:rPr>
      </w:pPr>
    </w:p>
    <w:p>
      <w:pPr>
        <w:ind w:firstLine="1239"/>
        <w:spacing w:after="0" w:line="282" w:lineRule="auto"/>
        <w:tabs>
          <w:tab w:leader="none" w:pos="1539"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paid or advanced by the Trustee hereunder and the reasonable compensation, expenses, disbursements and advances of the Trustee, its agents and counsel;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2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with respect to Securities of that series, other than the nonpayment of the principal of (or premium or Make-Whole Amount, if any) or interest on Securities of that series which have become due solely by such declaration of acceleration, have been cured or waived as provided in Section 513.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503. Collection of Indebtedness and Suits for Enforcement by Trustee. The Company covenants that if:</w:t>
      </w:r>
    </w:p>
    <w:p>
      <w:pPr>
        <w:spacing w:after="0" w:line="225" w:lineRule="exact"/>
        <w:rPr>
          <w:sz w:val="20"/>
          <w:szCs w:val="20"/>
          <w:color w:val="auto"/>
        </w:rPr>
      </w:pPr>
    </w:p>
    <w:p>
      <w:pPr>
        <w:ind w:firstLine="656"/>
        <w:spacing w:after="0" w:line="282" w:lineRule="auto"/>
        <w:tabs>
          <w:tab w:leader="none" w:pos="90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installment of interest on any Security of any series and any related coupon when such interest becomes due and payable and such default continues for a period of 30 days,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ind w:left="660"/>
        <w:spacing w:after="0"/>
        <w:rPr>
          <w:sz w:val="20"/>
          <w:szCs w:val="20"/>
          <w:color w:val="auto"/>
        </w:rPr>
      </w:pPr>
      <w:r>
        <w:rPr>
          <w:rFonts w:ascii="Times New Roman" w:cs="Times New Roman" w:eastAsia="Times New Roman" w:hAnsi="Times New Roman"/>
          <w:sz w:val="18"/>
          <w:szCs w:val="18"/>
          <w:color w:val="auto"/>
        </w:rPr>
        <w:t>(2) default is made in the payment of the principal of (or premium or Make-Whole Amount, if any, on) any Security of any series at its Maturity,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then the Company will, upon demand of the Trustee, pay to the Trustee, for the benefit of the Holders of such Securities of such series and coupons, the whole amount then due and payable on such Securities and coupons for principal (and premium or Make-Whole Amount, if any) and interest, with interest upon any overdue principal (and premium or Make-Whole Amount, if any) and, to the extent that payment of such interest shall be legally enforceable, upon any overdue installments of interest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such Securities of such series and collect the moneys adjudged or decreed to be payable in the manner provided by law out of the property of the Company or any other obligor upon such Securities of such series, wherever situated.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Securities of any series occurs and is continuing, the Trustee may in its discretion proceed to protect and enforce its rights and the rights of the Holders of Securities of such series and any related coupons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 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overdue principal, premium or Make-Whole Amount, if any, or interest) shall be entitled and empowered, by intervention in such proceeding or otherwise:</w:t>
      </w:r>
    </w:p>
    <w:p>
      <w:pPr>
        <w:spacing w:after="0" w:line="187" w:lineRule="exact"/>
        <w:rPr>
          <w:sz w:val="20"/>
          <w:szCs w:val="20"/>
          <w:color w:val="auto"/>
        </w:rPr>
      </w:pPr>
    </w:p>
    <w:p>
      <w:pPr>
        <w:jc w:val="both"/>
        <w:ind w:firstLine="1304"/>
        <w:spacing w:after="0" w:line="261" w:lineRule="auto"/>
        <w:tabs>
          <w:tab w:leader="none" w:pos="153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or such lesser amount as may be provided for in the Securities of such series, of principal (and premium or Make-Whole Amount, if any)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of Securities of such series and coupons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of a Security or coupon any plan of reorganization, arrangement, adjustment or composition affecting the Securities or coupons or the rights of any Holder thereof, or to authorize the Trustee to vote in respect of the claim of any Holder of a Security or coupon in any such proceeding.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and it shall not be necessary to make any Holders of the Securities parties to any such proceedings.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Trustee May Enforce Claims Without Possession of Securities or Coupons</w:t>
      </w:r>
      <w:r>
        <w:rPr>
          <w:rFonts w:ascii="Times New Roman" w:cs="Times New Roman" w:eastAsia="Times New Roman" w:hAnsi="Times New Roman"/>
          <w:sz w:val="18"/>
          <w:szCs w:val="18"/>
          <w:color w:val="auto"/>
        </w:rPr>
        <w:t>. All rights of action and claims under this Indenture or any of the Securities or coupons may be prosecuted and enforced by the Trustee without the possession of any of the Securities or coupons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and coupons in respect of which such judgment has been recovered.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 Any money collected by the Trustee pursuant to this Article shall be applied in the following order, at the date or dates fixed by the Trustee and, in case of the distribution of such money on account of principal (or premium or Make-Whole Amount, if any) or interest, upon presentation of the Securities or coupons, or both, as the case may be, and the notation thereon of the payment if only partially paid and upon surrender thereof if fully paid: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To the payment of all amounts due the Trustee and any predecessor Trustee under Section 606;</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the Securities and coupons for principal (and premium or Make-Whole Amount, if any) and interest, in respect of which or for the benefit of which such money has been collected, ratably, without preference or priority of any kind, according to the aggregate amounts due and payable on such Securities and coupons for principal (and premium or Make-Whole Amount, if any) and interest, respectively; 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No Holder of any Security of any series or any related coupon shall have any right to institute any proceeding, judicial or otherwise, with respect to this Indenture or the Securities or any related coupon, or for the appointment of a receiver or trustee, or for any other remedy hereunder, unless:</w:t>
      </w:r>
    </w:p>
    <w:p>
      <w:pPr>
        <w:spacing w:after="0" w:line="176" w:lineRule="exact"/>
        <w:rPr>
          <w:sz w:val="20"/>
          <w:szCs w:val="20"/>
          <w:color w:val="auto"/>
        </w:rPr>
      </w:pPr>
    </w:p>
    <w:p>
      <w:pPr>
        <w:ind w:left="5540" w:right="340" w:hanging="4884"/>
        <w:spacing w:after="0" w:line="783" w:lineRule="auto"/>
        <w:tabs>
          <w:tab w:leader="none" w:pos="91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Securities of that series;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ind w:firstLine="656"/>
        <w:spacing w:after="0" w:line="282" w:lineRule="auto"/>
        <w:tabs>
          <w:tab w:leader="none" w:pos="90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indemnity reasonably satisfactory to the Trustee against the costs, expenses and liabilities to be incurred in compliance with such request;</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indemnity has failed to institute any such proceeding;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or the Securities or any related coupon, except in the manner herein provided and for the equal and ratable benefit of all such Holders.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Unconditional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 of Holders to Receive Principal, Premium or Make-Whole Amount, if any, and Interest</w:t>
      </w:r>
      <w:r>
        <w:rPr>
          <w:rFonts w:ascii="Times New Roman" w:cs="Times New Roman" w:eastAsia="Times New Roman" w:hAnsi="Times New Roman"/>
          <w:sz w:val="18"/>
          <w:szCs w:val="18"/>
          <w:color w:val="auto"/>
        </w:rPr>
        <w:t>. Notwithstanding any other provision in this Indenture, the Holder of any Security or coupon shall have the right which is absolute and unconditional to receive payment of the principal of (and premium or Make-Whole Amount, if any) and (subject to Section 305 and Section 307) interest on such Security or payment of such coupon on the respective due dates expressed in such Security or coupon (or, in the case of redemption, on the Redemption Date) and to institute suit for the enforcement of any such payment, and such rights shall not be impaired without the consent of such Holder.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Restoration of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 and Remedies</w:t>
      </w:r>
      <w:r>
        <w:rPr>
          <w:rFonts w:ascii="Times New Roman" w:cs="Times New Roman" w:eastAsia="Times New Roman" w:hAnsi="Times New Roman"/>
          <w:sz w:val="18"/>
          <w:szCs w:val="18"/>
          <w:color w:val="auto"/>
        </w:rPr>
        <w:t>. If the Trustee or any Holder of a Security or coupon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and coupons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 Except as otherwise provided with respect to the replacement or payment of mutilated, destroyed, lost or stolen Securities or coupons in the last paragraph of Section 306, no right or remedy herein conferred upon or 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 No delay or omission of the Trustee or of any Holder of any Security or coupon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or coupons, as the case may be.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Control by Holders of Securities</w:t>
      </w:r>
      <w:r>
        <w:rPr>
          <w:rFonts w:ascii="Times New Roman" w:cs="Times New Roman" w:eastAsia="Times New Roman" w:hAnsi="Times New Roman"/>
          <w:sz w:val="18"/>
          <w:szCs w:val="18"/>
          <w:color w:val="auto"/>
        </w:rPr>
        <w:t xml:space="preserve">. The Holders of not less than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6" w:lineRule="exact"/>
        <w:rPr>
          <w:sz w:val="20"/>
          <w:szCs w:val="20"/>
          <w:color w:val="auto"/>
        </w:rPr>
      </w:pPr>
    </w:p>
    <w:p>
      <w:pPr>
        <w:ind w:left="920" w:hanging="264"/>
        <w:spacing w:after="0"/>
        <w:tabs>
          <w:tab w:leader="none" w:pos="9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not take any action, which might involve it in personal liability or be unduly prejudicial to the Holders of Securities of such series not joining therein.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Nothing in this Indenture shall impair the right of the Trustee in its discretion to take any action deemed proper by the Trustee and which is not inconsistent with such direction by Holders.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 The Holders of not less than a majority in principal amount of the Outstanding Securities of any series may on behalf of the Holders of all the Securities of such series and any related coupons waive any past default hereunder with respect to such series and its consequences, except a default</w:t>
      </w:r>
    </w:p>
    <w:p>
      <w:pPr>
        <w:spacing w:after="0" w:line="176" w:lineRule="exact"/>
        <w:rPr>
          <w:sz w:val="20"/>
          <w:szCs w:val="20"/>
          <w:color w:val="auto"/>
        </w:rPr>
      </w:pPr>
    </w:p>
    <w:p>
      <w:pPr>
        <w:ind w:left="940" w:hanging="284"/>
        <w:spacing w:after="0"/>
        <w:tabs>
          <w:tab w:leader="none" w:pos="9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the principal of (or premium or Make-Whole Amount, if any) or interest on any Security of such series or any related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coupons, or</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1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which under Article Nine cannot be modified or amended without the consent of the Holder of each Outstanding Security of such series affected; or</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or provision hereof for the benefit or protection of the Trustee, without its express written consent.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Waiver of Usur</w:t>
      </w: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u w:val="single" w:color="auto"/>
          <w:color w:val="auto"/>
        </w:rPr>
        <w:t>, Stay or Extension Laws</w:t>
      </w:r>
      <w:r>
        <w:rPr>
          <w:rFonts w:ascii="Times New Roman" w:cs="Times New Roman" w:eastAsia="Times New Roman" w:hAnsi="Times New Roman"/>
          <w:sz w:val="18"/>
          <w:szCs w:val="18"/>
          <w:color w:val="auto"/>
        </w:rPr>
        <w:t>.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Undertakin</w:t>
      </w: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for Costs</w:t>
      </w:r>
      <w:r>
        <w:rPr>
          <w:rFonts w:ascii="Times New Roman" w:cs="Times New Roman" w:eastAsia="Times New Roman" w:hAnsi="Times New Roman"/>
          <w:sz w:val="18"/>
          <w:szCs w:val="18"/>
          <w:color w:val="auto"/>
        </w:rPr>
        <w:t>.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premium or Make-Whole Amount, if any) or interest on any Security on or after the respective Stated Maturities expressed in such Security (or, in the case of redemption, on or after the Redemption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SIX. - THE TRUSTEE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 xml:space="preserve">. Within 90 days after the occurrence of any default hereunder with respect to the Securities of any series, the Trustee shall transmit in the manner and to the extent provided in TIA Section 313(c), notice of such default hereunder known to the Trustee, unless such default shall have been cured or waived;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in the case of a default in the payment of the principal of (or premium or Make-Whole Amount, if any) or interest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interests of the Holders of the Securities and coupons of such series;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case of any default or breach of the character specified in Section 501(4) with respect to the Securities and coupons of such series, no such notice to Holders shall be given until at least 60 days after the occurrence thereof. For the purpose of this Section, the term “default” means any event, which is, or after notice or lapse of time or both would become, an Event of Default with respect to the Securities of such series.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Certain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 of Trustee</w:t>
      </w:r>
      <w:r>
        <w:rPr>
          <w:rFonts w:ascii="Times New Roman" w:cs="Times New Roman" w:eastAsia="Times New Roman" w:hAnsi="Times New Roman"/>
          <w:sz w:val="18"/>
          <w:szCs w:val="18"/>
          <w:color w:val="auto"/>
        </w:rPr>
        <w:t>. Subject to the provisions of TIA Section 315(a) through 315(d):</w:t>
      </w:r>
    </w:p>
    <w:p>
      <w:pPr>
        <w:spacing w:after="0" w:line="225" w:lineRule="exact"/>
        <w:rPr>
          <w:sz w:val="20"/>
          <w:szCs w:val="20"/>
          <w:color w:val="auto"/>
        </w:rPr>
      </w:pPr>
    </w:p>
    <w:p>
      <w:pPr>
        <w:jc w:val="both"/>
        <w:ind w:firstLine="656"/>
        <w:spacing w:after="0" w:line="266" w:lineRule="auto"/>
        <w:tabs>
          <w:tab w:leader="none" w:pos="91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fully protected in acting or refraining from acting upon any resolution, certificate, statement, instrument, opinion, report, notice, request, direction, consent, order, bond, debenture, note, coupon or other paper or document (whether in its original or facsimile form) reasonably believed by it to be genuine and to have been signed or presented by the proper party or parties;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firstLine="656"/>
        <w:spacing w:after="0" w:line="266" w:lineRule="auto"/>
        <w:tabs>
          <w:tab w:leader="none" w:pos="91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or direction of the Company mentioned herein shall be sufficiently evidenced by a Company Request or Company Order (other than delivery of any Security, together with any coupons appertaining thereto, to the Trustee for authentication and delivery pursuant to Section 303 which shall be sufficiently evidenced as provided therein) and any resolution of the Board of Directors may be sufficiently evidenced by a Board Resolution;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own selection and the written advice of such counsel or any Opinion of Counsel shall be full and complete authorization and protection in respect of any action taken, suffered or omitted by it hereunder in good faith and in reliance thereon;</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of Securities of any series or any related coupons pursuant to this Indenture, unless such Holders shall have offered to the Trustee security or indemnity reasonably satisfactory to the Trustee against the costs, expenses and liabilities which might be incurred by it in compliance with such request or direction;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bound to make any investigation into the facts or matters stated in any resolution, certificate, statement, instrument, opinion, report, notice, request, direction, consent, order, bond, debenture, note, coupon or other paper or document, unless requested in writing so to do by the Holders of not less than a majority in aggregate principal amount of the Outstanding Securities of any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examination shall be paid by the Holders or, if paid by the Trustee, shall be repaid by the Holders upon demand.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relevant to the facts or matters that are the subject of its inquiry, personally or by agent or attorney at the expense of the Company and shall incur no liability or additional liability of any kind by reason of such inquiry or investigation;</w:t>
      </w:r>
    </w:p>
    <w:p>
      <w:pPr>
        <w:spacing w:after="0" w:line="194" w:lineRule="exact"/>
        <w:rPr>
          <w:rFonts w:ascii="Times New Roman" w:cs="Times New Roman" w:eastAsia="Times New Roman" w:hAnsi="Times New Roman"/>
          <w:sz w:val="18"/>
          <w:szCs w:val="18"/>
          <w:color w:val="auto"/>
        </w:rPr>
      </w:pPr>
    </w:p>
    <w:p>
      <w:pPr>
        <w:jc w:val="both"/>
        <w:ind w:firstLine="656"/>
        <w:spacing w:after="0" w:line="266" w:lineRule="auto"/>
        <w:tabs>
          <w:tab w:leader="none" w:pos="92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ind w:firstLine="656"/>
        <w:spacing w:after="0" w:line="282" w:lineRule="auto"/>
        <w:tabs>
          <w:tab w:leader="none" w:pos="91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suffered or omitted by it in good faith and reasonably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0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permissive right or power available to the Trustee under this Indenture or any supplement hereto shall not be construed to be a mandatory duty or obligation;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charged with knowledge of any matter (including any default, other than as described in Section 501(1), (2) or (3)) unless and except to the extent actually known to a Responsible Officer of the Trustee or to the extent written notice thereof is received by the Trustee at the Corporate Trust Office;</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00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liability for any inaccuracy in the books and records of, or for any actions or omissions of, DTC, Euroclear or Clearstream or any depository acting on behalf of any of them;</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by the Trustee to act hereunder;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1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during the continuance of an Event of Default, the Trustee undertakes to perform only such duties as are specifically set forth in this Indenture, and no implied covenants or obligations shall be read into this Indenture against the Trustee.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 Responsible for Recitals or Issuance of Securities</w:t>
      </w:r>
      <w:r>
        <w:rPr>
          <w:rFonts w:ascii="Times New Roman" w:cs="Times New Roman" w:eastAsia="Times New Roman" w:hAnsi="Times New Roman"/>
          <w:sz w:val="18"/>
          <w:szCs w:val="18"/>
          <w:color w:val="auto"/>
        </w:rPr>
        <w:t>. The recitals contained herein and in the Securities, except the Trustee’s certificate of authentication, and in any coupons shall be taken as the statements of the Company, and neither the Trustee nor any Authenticating Agent assumes any responsibility for their correctness. The Trustee makes no representations as to the validity or sufficiency of this Indenture or of the Securities or coupons, except that the Trustee represents that it is duly authorized to execute and deliver this Indenture, authenticate the Securities and perform its obligations hereunder. Neither the Trustee nor any Authenticating Agent shall be accountable for the use or application by the Company of Securities or the proceeds thereof. The Trustee shall have no responsibility with respect to any information, statement or recital in any offering prospectus or other disclosure materials prepared or distributed with respect to the Securities.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 The Trustee, any Paying Agent, Security Registrar, Authenticating Agent or any other agent of the Company, in its individual or any other capacity, may become the owner or pledgee of Securities and coupons and, subject to TIA Sections 310(b) and 311, may otherwise deal with the Company with the same rights it would have if it were not Trustee, Paying Agent, Security Registrar, Authenticating Agent or such other agent.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Money Held in Trust</w:t>
      </w:r>
      <w:r>
        <w:rPr>
          <w:rFonts w:ascii="Times New Roman" w:cs="Times New Roman" w:eastAsia="Times New Roman" w:hAnsi="Times New Roman"/>
          <w:sz w:val="18"/>
          <w:szCs w:val="18"/>
          <w:color w:val="auto"/>
        </w:rPr>
        <w:t>. 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Compensation and Reimbursement</w:t>
      </w:r>
      <w:r>
        <w:rPr>
          <w:rFonts w:ascii="Times New Roman" w:cs="Times New Roman" w:eastAsia="Times New Roman" w:hAnsi="Times New Roman"/>
          <w:sz w:val="18"/>
          <w:szCs w:val="18"/>
          <w:color w:val="auto"/>
        </w:rPr>
        <w:t>. The Company agrees:</w:t>
      </w:r>
    </w:p>
    <w:p>
      <w:pPr>
        <w:spacing w:after="0" w:line="225" w:lineRule="exact"/>
        <w:rPr>
          <w:sz w:val="20"/>
          <w:szCs w:val="20"/>
          <w:color w:val="auto"/>
        </w:rPr>
      </w:pPr>
    </w:p>
    <w:p>
      <w:pPr>
        <w:ind w:firstLine="656"/>
        <w:spacing w:after="0" w:line="282" w:lineRule="auto"/>
        <w:tabs>
          <w:tab w:leader="none" w:pos="91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to the Trustee as agreed upon in writing from time to time reasonable compensation for all services rendered by it hereunder (which compensation shall not be limited by any provision of law in regard to the compensation of a trustee of an express trust);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0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to reimburse each of the Trustee and any predecessor Trustee upon its request for all reasonable expenses, and disbursements incurred by the Trustee in accordance with any provision of this Indenture (including the reasonable compensation and the reasonable expenses and disbursements of its agents and counsel), except any such expense or disbursement as shall be determined to have been caused by its own negligence, willful misconduct or bad faith; and</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each of the Trustee and any predecessor Trustee for, and to hold it harmless against, any loss, liability, claim, damage or expense incurred without negligence, willful misconduct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When the Trustee incurs expenses or renders services in connection with an Event of Default specified in Section 501(7) or Section 501(8),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security for the performance of the obligations of the Company under this Section, the Trustee shall have a lien for payment of the Trustee’s fees and expenses prior to the Securities upon all property and funds held or collected by the Trustee as such, except funds held in trust for the payment of principal of (or premium or Make-Whole Amount, if any) or interest on particular Securities or any coupons.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shall survive the termination of this Indenture and the resignation or removal of the Trustee.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Corporate Trustee 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Conflicting Interests</w:t>
      </w:r>
      <w:r>
        <w:rPr>
          <w:rFonts w:ascii="Times New Roman" w:cs="Times New Roman" w:eastAsia="Times New Roman" w:hAnsi="Times New Roman"/>
          <w:sz w:val="18"/>
          <w:szCs w:val="18"/>
          <w:color w:val="auto"/>
        </w:rPr>
        <w:t>. There shall at all times be a Trustee hereunder which shall be eligible to act as Trustee under TIA Section 310(a)(1) and shall have at all times a combined capital and surplus of at least $50,000,000 (or which shall have a combined capital and surplus of at least $10,000,000 and whose ultimate parent holding company shall have a combined capital and surplus of at least $50,000,000. If the Trustee publishes reports of condition at least annually, pursuant to law or the requirements of Federal, state, territorial or District of Columbia supervising or examining authority, then for the purposes of this Section, the combined capital and surplus of the Trustee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Neither the Company nor any Person directly or indirectly controlling, controlled by, or under common control with the Company shall serve as Trustee.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ind w:left="66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Resi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nation and Removal; Appointment of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52"/>
        <w:spacing w:after="0" w:line="282" w:lineRule="auto"/>
        <w:tabs>
          <w:tab w:leader="none" w:pos="220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609.</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at any time with respect to the Securities of one or more series by giving written notice thereof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be removed at any time with respect to the Securities of any series by Act of the Holders of a majority in principal amount of the Outstanding Securities of such series delivered to the Trustee and to the Company. If an instrument of acceptance by a successor Trustee shall not have been delivered to the Trustee within 60 days after the giving of such notice of resignation, the resigning Trustee may petition, at the expense of the Company, any court of competent jurisdiction for the appointment of a successor Trustee.</w:t>
      </w:r>
    </w:p>
    <w:p>
      <w:pPr>
        <w:spacing w:after="0" w:line="179"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w:t>
      </w:r>
    </w:p>
    <w:p>
      <w:pPr>
        <w:spacing w:after="0" w:line="225" w:lineRule="exact"/>
        <w:rPr>
          <w:sz w:val="20"/>
          <w:szCs w:val="20"/>
          <w:color w:val="auto"/>
        </w:rPr>
      </w:pPr>
    </w:p>
    <w:p>
      <w:pPr>
        <w:ind w:left="660" w:firstLine="1292"/>
        <w:spacing w:after="0" w:line="282" w:lineRule="auto"/>
        <w:tabs>
          <w:tab w:leader="none" w:pos="221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TIA Section 310(b) after written request therefor by the Company or by any Holder of a Security who has been a bona fide Holder of a Security for at least six months, or</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21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under Section 607 and shall fail to resign after written request therefor by the Company or by any Holder of a Security who has been a bona fide Holder of a Security for at least six months, or</w:t>
      </w:r>
    </w:p>
    <w:p>
      <w:pPr>
        <w:spacing w:after="0" w:line="161" w:lineRule="exact"/>
        <w:rPr>
          <w:rFonts w:ascii="Times New Roman" w:cs="Times New Roman" w:eastAsia="Times New Roman" w:hAnsi="Times New Roman"/>
          <w:sz w:val="18"/>
          <w:szCs w:val="18"/>
          <w:color w:val="auto"/>
        </w:rPr>
      </w:pPr>
    </w:p>
    <w:p>
      <w:pPr>
        <w:jc w:val="both"/>
        <w:ind w:left="660" w:right="20" w:firstLine="1292"/>
        <w:spacing w:after="0" w:line="266" w:lineRule="auto"/>
        <w:tabs>
          <w:tab w:leader="none" w:pos="221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firstLine="1952"/>
        <w:spacing w:after="0" w:line="253" w:lineRule="auto"/>
        <w:tabs>
          <w:tab w:leader="none" w:pos="219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w:t>
      </w:r>
    </w:p>
    <w:p>
      <w:pPr>
        <w:spacing w:after="0" w:line="18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8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5" w:lineRule="auto"/>
        <w:tabs>
          <w:tab w:leader="none" w:pos="220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w:t>
      </w:r>
    </w:p>
    <w:p>
      <w:pPr>
        <w:spacing w:after="0" w:line="188"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0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pursuant to Article Nine hereof,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firstLine="1952"/>
        <w:spacing w:after="0" w:line="266" w:lineRule="auto"/>
        <w:tabs>
          <w:tab w:leader="none" w:pos="219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609, as the case may be.</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2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Merger, Conversion, Consolidation or Succession to Business</w:t>
      </w:r>
      <w:r>
        <w:rPr>
          <w:rFonts w:ascii="Times New Roman" w:cs="Times New Roman" w:eastAsia="Times New Roman" w:hAnsi="Times New Roman"/>
          <w:sz w:val="18"/>
          <w:szCs w:val="18"/>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corporation shall be otherwise qualified and eligible under this Article, without the execution or filing of any paper or any further act on the part of any of the parties hereto. In case any Securities or coupons shall have been authenticated, but not delivered, by the Trustee then in office, any successor by merger, conversion or consolidation to such authenticating Trustee may adopt such authentication and deliver the Securities or coupons so authenticated with the same effect as if such successor Trustee had itself authenticated such Securities or coupons. In case any Securities or coupons shall not have been authenticated by such predecessor Trustee, any such successor Trustee may authenticate and deliver such Securities or coupons, in either its own name or that of its predecessor Trustee, with the full force and effect, which this Indenture provides for the certificate of authentication of the Trustee.</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Appointment of Authenticatin</w:t>
      </w:r>
      <w:r>
        <w:rPr>
          <w:rFonts w:ascii="Times New Roman" w:cs="Times New Roman" w:eastAsia="Times New Roman" w:hAnsi="Times New Roman"/>
          <w:sz w:val="18"/>
          <w:szCs w:val="18"/>
          <w:color w:val="auto"/>
        </w:rPr>
        <w:t>g Agent. At any time when any of the Securities remain Outstanding, the Trustee may appoint an Authenticating Agent or Agents with respect to one or more series of Securities which shall be authorized to act on behalf of the Trustee to authenticate Securities of such series issued upon conversion or exchange, registration of transfer or partial redemption or repayment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$50,000,000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give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agrees to pay to each Authenticating Agent from time to time reasonable compensation including reimbursement of its reasonable expenses for its services under this Section, subject to Section 606.</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spacing w:after="0" w:line="282" w:lineRule="auto"/>
        <w:rPr>
          <w:sz w:val="20"/>
          <w:szCs w:val="20"/>
          <w:color w:val="auto"/>
        </w:rPr>
      </w:pPr>
      <w:r>
        <w:rPr>
          <w:rFonts w:ascii="Times New Roman" w:cs="Times New Roman" w:eastAsia="Times New Roman" w:hAnsi="Times New Roman"/>
          <w:sz w:val="18"/>
          <w:szCs w:val="18"/>
          <w:color w:val="auto"/>
        </w:rPr>
        <w:t>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 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308610</wp:posOffset>
            </wp:positionV>
            <wp:extent cx="283718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283718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as Trustee</w:t>
      </w:r>
    </w:p>
    <w:p>
      <w:pPr>
        <w:spacing w:after="0" w:line="293" w:lineRule="exact"/>
        <w:rPr>
          <w:sz w:val="20"/>
          <w:szCs w:val="20"/>
          <w:color w:val="auto"/>
        </w:rPr>
      </w:pPr>
    </w:p>
    <w:p>
      <w:pPr>
        <w:ind w:left="680"/>
        <w:spacing w:after="0"/>
        <w:tabs>
          <w:tab w:leader="none" w:pos="67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8890</wp:posOffset>
            </wp:positionV>
            <wp:extent cx="25374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As Authenticating Agent</w:t>
      </w:r>
    </w:p>
    <w:p>
      <w:pPr>
        <w:spacing w:after="0" w:line="293" w:lineRule="exact"/>
        <w:rPr>
          <w:sz w:val="20"/>
          <w:szCs w:val="20"/>
          <w:color w:val="auto"/>
        </w:rPr>
      </w:pPr>
    </w:p>
    <w:p>
      <w:pPr>
        <w:ind w:left="680"/>
        <w:spacing w:after="0"/>
        <w:tabs>
          <w:tab w:leader="none" w:pos="67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8890</wp:posOffset>
            </wp:positionV>
            <wp:extent cx="25374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2537460" cy="17145"/>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As Authenticating Agent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Certain Duties and Responsibilities of the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With respect to the Securities of any series, except during the continuance of an Event of Default with respect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 such series:</w:t>
      </w:r>
    </w:p>
    <w:p>
      <w:pPr>
        <w:spacing w:after="0" w:line="207" w:lineRule="exact"/>
        <w:rPr>
          <w:sz w:val="20"/>
          <w:szCs w:val="20"/>
          <w:color w:val="auto"/>
        </w:rPr>
      </w:pPr>
    </w:p>
    <w:p>
      <w:pPr>
        <w:ind w:left="660" w:firstLine="1292"/>
        <w:spacing w:after="0" w:line="282" w:lineRule="auto"/>
        <w:tabs>
          <w:tab w:leader="none" w:pos="223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2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shall not be under any duty to verify the contents or accuracy thereof.</w:t>
      </w:r>
    </w:p>
    <w:p>
      <w:pPr>
        <w:spacing w:after="0" w:line="183" w:lineRule="exact"/>
        <w:rPr>
          <w:sz w:val="20"/>
          <w:szCs w:val="20"/>
          <w:color w:val="auto"/>
        </w:rPr>
      </w:pPr>
    </w:p>
    <w:p>
      <w:pPr>
        <w:jc w:val="both"/>
        <w:ind w:left="660" w:firstLine="1292"/>
        <w:spacing w:after="0" w:line="266" w:lineRule="auto"/>
        <w:tabs>
          <w:tab w:leader="none" w:pos="221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 Event of Default with respect to the Securities of any series has occurred and is continuing, the Trustee shall, with respect to Securities of such series, exercise such of the rights and powers vested in it by this Indenture, and use the same degree of care and skill in their exercise, as a prudent man would exercise or use under the circumstances in the conduct of his own affairs.</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0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2" w:lineRule="exact"/>
        <w:rPr>
          <w:sz w:val="20"/>
          <w:szCs w:val="20"/>
          <w:color w:val="auto"/>
        </w:rPr>
      </w:pPr>
    </w:p>
    <w:p>
      <w:pPr>
        <w:ind w:left="2200" w:hanging="248"/>
        <w:spacing w:after="0"/>
        <w:tabs>
          <w:tab w:leader="none" w:pos="22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Subsection shall not be construed to limit the effect of Subsection (a) of this Section;</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2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1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a majority in principal amount of the Outstanding Securities of any series relating to the time, method and place of conducting any proceeding for any remedy available to the Trustee, or exercising any trust or power conferred upon the Trustee, under this Indenture with respect to the Securities of such series;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left="1300" w:firstLine="652"/>
        <w:spacing w:after="0" w:line="258" w:lineRule="auto"/>
        <w:tabs>
          <w:tab w:leader="none" w:pos="222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and, the Trustee shall be under no obligation to exercise any of its rights and powers under this Indenture at the request of any Holder, unless such Holder shall have offered to the Trustee security and indemnity satisfactory to it against any loss, liability or expense.</w:t>
      </w:r>
    </w:p>
    <w:p>
      <w:pPr>
        <w:spacing w:after="0" w:line="183" w:lineRule="exact"/>
        <w:rPr>
          <w:sz w:val="20"/>
          <w:szCs w:val="20"/>
          <w:color w:val="auto"/>
        </w:rPr>
      </w:pPr>
    </w:p>
    <w:p>
      <w:pPr>
        <w:ind w:right="20" w:firstLine="1952"/>
        <w:spacing w:after="0" w:line="282" w:lineRule="auto"/>
        <w:tabs>
          <w:tab w:leader="none" w:pos="222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relating to the conduct or affecting the liability of or affording protection to the Trustee shall be subject to the provisions of this Section 612.</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20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or assets held by it except to the extent the Trustee may agree in writing with the Company. Assets held in trust by the Trustee need not be segregated from other assets except to the extent required by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SEVEN. - HOLDERS’ LISTS AND REPORTS BY TRUSTEE AND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Disclosure of Names and Addresses of Holders</w:t>
      </w:r>
      <w:r>
        <w:rPr>
          <w:rFonts w:ascii="Times New Roman" w:cs="Times New Roman" w:eastAsia="Times New Roman" w:hAnsi="Times New Roman"/>
          <w:sz w:val="18"/>
          <w:szCs w:val="18"/>
          <w:color w:val="auto"/>
        </w:rPr>
        <w:t>. Every Holder of Securities or coupons, by receiving and holding the same, agrees with the Company and the Trustee that neither the Company nor the Trustee nor any Authenticating Agent nor any Paying Agent nor any Security Registrar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Reports by Trustee</w:t>
      </w:r>
      <w:r>
        <w:rPr>
          <w:rFonts w:ascii="Times New Roman" w:cs="Times New Roman" w:eastAsia="Times New Roman" w:hAnsi="Times New Roman"/>
          <w:sz w:val="18"/>
          <w:szCs w:val="18"/>
          <w:color w:val="auto"/>
        </w:rPr>
        <w:t>. The Trustee shall transmit to Holders such reports concerning the Trustee and its actions under this Indenture as may be required by TIA Section 313 at the times and in the manner provided by the TIA, which shall initially be not less than every twelve months commencing on, 20. A copy of each such report shall, at the time of such transmission to Holders, be filed by the Trustee with each over-the-counter market or securities exchange, if any, upon which any Securities are quoted or listed, with the Commission and with the Company. The Company will notify the Trustee when any Securities are quoted or listed on any over-the-counter market or securities exchange or delisted therefrom.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Reports by Company</w:t>
      </w:r>
      <w:r>
        <w:rPr>
          <w:rFonts w:ascii="Times New Roman" w:cs="Times New Roman" w:eastAsia="Times New Roman" w:hAnsi="Times New Roman"/>
          <w:sz w:val="18"/>
          <w:szCs w:val="18"/>
          <w:color w:val="auto"/>
        </w:rPr>
        <w:t>. The Company will:</w:t>
      </w:r>
    </w:p>
    <w:p>
      <w:pPr>
        <w:spacing w:after="0" w:line="225" w:lineRule="exact"/>
        <w:rPr>
          <w:sz w:val="20"/>
          <w:szCs w:val="20"/>
          <w:color w:val="auto"/>
        </w:rPr>
      </w:pPr>
    </w:p>
    <w:p>
      <w:pPr>
        <w:jc w:val="both"/>
        <w:ind w:firstLine="656"/>
        <w:spacing w:after="0" w:line="255" w:lineRule="auto"/>
        <w:tabs>
          <w:tab w:leader="none" w:pos="91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not required to file information, documents or reports pursuant to either of such Sections, then it will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quoted or listed and registered on an over-the-counter market or national securities exchange as may be prescribed from time to time in such rules and regulations;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both"/>
        <w:ind w:firstLine="656"/>
        <w:spacing w:after="0" w:line="266" w:lineRule="auto"/>
        <w:tabs>
          <w:tab w:leader="none" w:pos="92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transmit by mail to the Holders of Securities, within 30 days after the filing thereof with the Trustee, in the manner and to the extent provided in TIA Section 313(c), such summaries of any information, documents and reports required to be filed by the Company pursuant to paragraphs (1) and (2) of this Section as may be required by rules and regulations prescribed from time to time by the Commission;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Company to Furnish Trustee Names and Addresses of Holders</w:t>
      </w:r>
      <w:r>
        <w:rPr>
          <w:rFonts w:ascii="Times New Roman" w:cs="Times New Roman" w:eastAsia="Times New Roman" w:hAnsi="Times New Roman"/>
          <w:sz w:val="18"/>
          <w:szCs w:val="18"/>
          <w:color w:val="auto"/>
        </w:rPr>
        <w:t>. The Company will furnish or cause to be furnished to the Trustee:</w:t>
      </w:r>
    </w:p>
    <w:p>
      <w:pPr>
        <w:spacing w:after="0" w:line="225" w:lineRule="exact"/>
        <w:rPr>
          <w:sz w:val="20"/>
          <w:szCs w:val="20"/>
          <w:color w:val="auto"/>
        </w:rPr>
      </w:pPr>
    </w:p>
    <w:p>
      <w:pPr>
        <w:jc w:val="both"/>
        <w:ind w:firstLine="1952"/>
        <w:spacing w:after="0" w:line="261" w:lineRule="auto"/>
        <w:tabs>
          <w:tab w:leader="none" w:pos="220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semiannually, not later than 15 days after the Regular Record Date for interest for each series of Securities, a list, in such form as the Trustee may reasonably require, of the names and addresses of the Holders of Registered Securities of such series as of such Regular Record Date, or if there is no Regular Record Date for interest for such series of Securities, semiannually, upon such dates as are set forth in the Board Resolution or indenture supplemental hereto authorizing such series, and</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2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such other times as the Trustee may request in writing, within 30 days after the receipt by the Company of any such request, a list of similar form and content as of a date not more than 15 days prior to the time such list is furnished,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so long as the Trustee is the Security Registrar, no such list shall be required to be furnished.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EIGHT. - CONSOLIDATION, MERGER, SALE, LEASE OR CONVEYANCE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Consolidations and Mergers of Company and 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Leases and Conveyances Permitted Subject to Certain Conditions</w:t>
      </w:r>
      <w:r>
        <w:rPr>
          <w:rFonts w:ascii="Times New Roman" w:cs="Times New Roman" w:eastAsia="Times New Roman" w:hAnsi="Times New Roman"/>
          <w:sz w:val="18"/>
          <w:szCs w:val="18"/>
          <w:color w:val="auto"/>
        </w:rPr>
        <w:t>. The Company may consolidate with, or sell, lease or convey all or substantially all of its assets to, or merge with or into any other corporation, provided that in any such case, (1) either the Company shall be the continuing corporation, or the successor corporation shall be a corporation organized and existing under the laws of the United States or a State thereof and such successor corporation shall expressly assume the due and punctual payment of the principal of (and premium or Make-Whole Amount, if any) and any interest on all of the Securities, according to their tenor, and the due and punctual performance and observance of all of the covenants and conditions of this Indenture to be performed by the Company by supplemental indenture, complying with Article Nine hereof, satisfactory to the Trustee, executed and delivered to the Trustee by such corporation, (2) immediately after giving effect to such transaction and treating any indebtedness which becomes an obligation of the Company as a result thereof as having been incurred by the Company at the time of such transaction, no Event of Default, and no event which, after notice or the lapse of time, or both, would become an Event of Default, shall have occurred and be continuing and (3) the Company shall have delivered to the Trustee the Officer’s Certificate and Opinion of Counsel required pursuant to Section 803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Rights and Duties of Successor Corporation</w:t>
      </w:r>
      <w:r>
        <w:rPr>
          <w:rFonts w:ascii="Times New Roman" w:cs="Times New Roman" w:eastAsia="Times New Roman" w:hAnsi="Times New Roman"/>
          <w:sz w:val="18"/>
          <w:szCs w:val="18"/>
          <w:color w:val="auto"/>
        </w:rPr>
        <w:t>. In case of any such consolidation, merger, sale, lease or conveyance and upon any such assumption by the successor corporation, such successor corporation shall succeed to and be substituted for the Company, with the same effect as if it had been named herein as the party of the first part, and the predecessor corporation, except in the event of a lease, shall be relieved of any further obligation under this Indenture and the Securities. Such successor corporation thereupon may cause to be signed, and may issue either in its own name or in the name of the Company, any or all of the Securities issuable hereunder which theretofore shall not have been signed by the Company and delivered to the Trustee; and, upon the order of such successor corporation, instead of the Company, and subject to all the terms, conditions and limitations in this Indenture prescribed, the Trustee shall authenticate and shall deliver any Securities which previously shall have been signed and delivered by the officers of the Company to the Trustee for authentication, and any Securities which such successor corporation thereafter shall cause to be signed and delivered to the Trustee for that purpose. All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case of any such consolidation, merger, sale, lease or conveyance, such changes in phraseology and form (but not in substance) may be made in the Securities thereafter to be issued as may be appropriate.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Officers’ Certificate and Opinion of Counsel</w:t>
      </w:r>
      <w:r>
        <w:rPr>
          <w:rFonts w:ascii="Times New Roman" w:cs="Times New Roman" w:eastAsia="Times New Roman" w:hAnsi="Times New Roman"/>
          <w:sz w:val="18"/>
          <w:szCs w:val="18"/>
          <w:color w:val="auto"/>
        </w:rPr>
        <w:t>. Any consolidation, merger, sale, lease or conveyance permitted under Section 801 is also subject to the condition that the Trustee receive an Officers’ Certificate and an Opinion of Counsel to the effect that any such consolidation, merger, sale, lease or conveyance, and the assumption by any successor corporation, complies with the provisions of this Article and that all conditions precedent herein provided for relating to such transaction have been complied with.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NINE. - SUPPLEMENTAL INDENTURES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Supplemental Indentures Without Consent of Holders</w:t>
      </w:r>
      <w:r>
        <w:rPr>
          <w:rFonts w:ascii="Times New Roman" w:cs="Times New Roman" w:eastAsia="Times New Roman" w:hAnsi="Times New Roman"/>
          <w:sz w:val="18"/>
          <w:szCs w:val="18"/>
          <w:color w:val="auto"/>
        </w:rPr>
        <w:t>. Without the consent of any Holders of Securities or coupons,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176" w:lineRule="exact"/>
        <w:rPr>
          <w:sz w:val="20"/>
          <w:szCs w:val="20"/>
          <w:color w:val="auto"/>
        </w:rPr>
      </w:pPr>
    </w:p>
    <w:p>
      <w:pPr>
        <w:ind w:right="20" w:firstLine="656"/>
        <w:spacing w:after="0" w:line="282" w:lineRule="auto"/>
        <w:tabs>
          <w:tab w:leader="none" w:pos="9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the Company and the assumption by any such successor of the covenants of the Company contained herein and in the Securities;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jc w:val="both"/>
        <w:ind w:firstLine="656"/>
        <w:spacing w:after="0" w:line="266" w:lineRule="auto"/>
        <w:tabs>
          <w:tab w:leader="none" w:pos="90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0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1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add to or change any of the provisions of this Indenture to provide that Bearer Securities may be registrable as to principal, to change or eliminate any restrictions on the payment of principal of or premium or Make-Whole Amount, if any, or interest on Bearer Securities, to permit Bearer Securities to be issued in exchange for Registered Securities, to permit Bearer Securities to be issued in exchange for Bearer Securities of other authorized denominations or to permit or facilitate the issuance of Securities in uncertificated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any series or any related coupons in any material respect; or</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Securities; 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establish the form or terms of Securities of any series and any related coupons as permitted or contemplated by Section 201 and Section 301;</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7"/>
          <w:szCs w:val="17"/>
          <w:color w:val="auto"/>
        </w:rPr>
      </w:pPr>
    </w:p>
    <w:p>
      <w:pPr>
        <w:jc w:val="both"/>
        <w:ind w:firstLine="656"/>
        <w:spacing w:after="0" w:line="266" w:lineRule="auto"/>
        <w:tabs>
          <w:tab w:leader="none" w:pos="92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to correct or supplement any provision herein which may be defective or inconsistent with any other provision herein, or to make any other provisions with respect to matters or questions arising under this Indenture which shall not be inconsistent with the provisions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provisions shall not adversely affect the interests of the Holders of Securities of any series or any related coupons in any material respect; or</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97"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action shall not adversely affect the interests of the Holders of Securities of such series and any related coupons or any other series of Securities in any material respect;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ind w:left="660"/>
        <w:spacing w:after="0"/>
        <w:rPr>
          <w:sz w:val="20"/>
          <w:szCs w:val="20"/>
          <w:color w:val="auto"/>
        </w:rPr>
      </w:pPr>
      <w:r>
        <w:rPr>
          <w:rFonts w:ascii="Times New Roman" w:cs="Times New Roman" w:eastAsia="Times New Roman" w:hAnsi="Times New Roman"/>
          <w:sz w:val="18"/>
          <w:szCs w:val="18"/>
          <w:color w:val="auto"/>
        </w:rPr>
        <w:t>(11) to make provisions with respect to Holders’ rights of conversion with respect to any series of Securities pursuant to Article Seventeen.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Supplemental Indentures with Consent of Holders</w:t>
      </w:r>
      <w:r>
        <w:rPr>
          <w:rFonts w:ascii="Times New Roman" w:cs="Times New Roman" w:eastAsia="Times New Roman" w:hAnsi="Times New Roman"/>
          <w:sz w:val="18"/>
          <w:szCs w:val="18"/>
          <w:color w:val="auto"/>
        </w:rPr>
        <w:t xml:space="preserve">. With the consent of the Holders of not less than a majority in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and any related coupons under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supplemental indenture shall, without the consent of the Holder of each Outstanding Security affected thereby:</w:t>
      </w:r>
    </w:p>
    <w:p>
      <w:pPr>
        <w:spacing w:after="0" w:line="187" w:lineRule="exact"/>
        <w:rPr>
          <w:sz w:val="20"/>
          <w:szCs w:val="20"/>
          <w:color w:val="auto"/>
        </w:rPr>
      </w:pPr>
    </w:p>
    <w:p>
      <w:pPr>
        <w:jc w:val="both"/>
        <w:ind w:firstLine="656"/>
        <w:spacing w:after="0" w:line="253" w:lineRule="auto"/>
        <w:tabs>
          <w:tab w:leader="none" w:pos="91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premium or Make-Whole Amount, if any, on) or any installment of principal of or interest on, any Security; or reduce the principal amount thereof or the rate or amount of interest thereon, or any premium or Make-Whole Amount payable upon the redemption thereof, or reduce the amount of the principal of an Original Issue Discount Security that would be due and payable upon a declaration of acceleration of the Maturity thereof pursuant to Section 502 or the amount thereof provable in bankruptcy pursuant to Section 504, or adversely affect any right of repayment at the option of the Holder of any Security, or change any Place of Payment where, or the currency or currencies, currency unit or units or composite currency or currencies in which, any Security or any premium or Make-Whole Amount or the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(if Securities of such series are convertible) adversely affect the right of the Holder to convert any Security as provided in Article Seventeen, or modify the provisions of this Indenture with respect to the subordination of the Securities in a manner materially adverse to the Holders; or</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91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Outstanding Securities of any series, the consent of whose Holders is required for any such supplemental indenture, or the consent of whose Holders is required for any waiver with respect to such series (or compliance with certain provisions of this Indenture or certain defaults hereunder and their consequences) provided for in this Indenture, or reduce the requirements of Section 1504 for quorum or voting, or</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0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modify any of the provisions of this Section, Section 513 or Section 1009, except to increase the required percentage to effect such action or to provide that certain other provisions of this Indenture cannot be modified or waived without the consent of the Holder of each Outstanding Security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clause shall not be deemed to require the consent of any Holder with respect to changes in the references to “the Trustee” and concomitant changes in this Section 902 and Section 1009, or the deletion of this proviso, in accordance with the requirements of Sections 609(b) and 901(11).</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It shall not be necessary for any Act of Holders under this Section 902 to approve the particular form of any proposed supplemental indenture, but it shall be sufficient if such Act shall approve the substance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Execution of Supplemental Indentures</w:t>
      </w:r>
      <w:r>
        <w:rPr>
          <w:rFonts w:ascii="Times New Roman" w:cs="Times New Roman" w:eastAsia="Times New Roman" w:hAnsi="Times New Roman"/>
          <w:sz w:val="18"/>
          <w:szCs w:val="18"/>
          <w:color w:val="auto"/>
        </w:rPr>
        <w:t>. In executing, or accepting the additional trusts created by, any supplemental indenture permitted by this Article or the modification thereby of the trusts created by this Indenture, the Trustee shall be entitled to receive, and (subject to Section</w:t>
      </w:r>
    </w:p>
    <w:p>
      <w:pPr>
        <w:jc w:val="both"/>
        <w:ind w:firstLine="8"/>
        <w:spacing w:after="0" w:line="255" w:lineRule="auto"/>
        <w:tabs>
          <w:tab w:leader="none" w:pos="37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Effect of Supplemental Indentures</w:t>
      </w:r>
      <w:r>
        <w:rPr>
          <w:rFonts w:ascii="Times New Roman" w:cs="Times New Roman" w:eastAsia="Times New Roman" w:hAnsi="Times New Roman"/>
          <w:sz w:val="18"/>
          <w:szCs w:val="18"/>
          <w:color w:val="auto"/>
        </w:rPr>
        <w:t>.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and of any coupon, appertaining thereto shall be bound thereby.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Conformity with Trust Indenture Act</w:t>
      </w:r>
      <w:r>
        <w:rPr>
          <w:rFonts w:ascii="Times New Roman" w:cs="Times New Roman" w:eastAsia="Times New Roman" w:hAnsi="Times New Roman"/>
          <w:sz w:val="18"/>
          <w:szCs w:val="18"/>
          <w:color w:val="auto"/>
        </w:rPr>
        <w:t>. Every supplemental indenture executed pursuant to this Article shall conform to the requirements of the Trust Indenture Act as then in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Reference in Securities to Supplemental Indentures</w:t>
      </w:r>
      <w:r>
        <w:rPr>
          <w:rFonts w:ascii="Times New Roman" w:cs="Times New Roman" w:eastAsia="Times New Roman" w:hAnsi="Times New Roman"/>
          <w:sz w:val="18"/>
          <w:szCs w:val="18"/>
          <w:color w:val="auto"/>
        </w:rPr>
        <w:t>.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TEN. COVENANTS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1001</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of Principal, Premium or Make-Whole Amount, if any; and Interest</w:t>
      </w:r>
      <w:r>
        <w:rPr>
          <w:rFonts w:ascii="Times New Roman" w:cs="Times New Roman" w:eastAsia="Times New Roman" w:hAnsi="Times New Roman"/>
          <w:sz w:val="18"/>
          <w:szCs w:val="18"/>
          <w:color w:val="auto"/>
        </w:rPr>
        <w:t>. The Company covenants and agrees for the benefit of the Holders of each series of Securities that it will duly and punctually pay the principal of (and premium or Make-Whole Amount, if any) and interest on the Securities of that series in accordance with the terms of such series of Securities, any coupons appertaining thereto and this Indenture. Unless otherwise specified as contemplated by Section 301 with respect to any series of Securities, any interest due on Bearer Securities on or before Maturity shall be payable only upon presentation and surrender of the several coupons for such interest installments as are evidenced thereby as they severally mature. Unless otherwise specified with respect to Securities of any series pursuant to Section 301, at the option of the Company (upon written notice to the Trustee), all payments of principal may be paid by check to the registered Holder of the Registered Security or other Person entitled thereto against surrender of such Security.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Maintenance of Office or A</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enc</w:t>
      </w:r>
      <w:r>
        <w:rPr>
          <w:rFonts w:ascii="Times New Roman" w:cs="Times New Roman" w:eastAsia="Times New Roman" w:hAnsi="Times New Roman"/>
          <w:sz w:val="18"/>
          <w:szCs w:val="18"/>
          <w:color w:val="auto"/>
        </w:rPr>
        <w:t xml:space="preserve">y. If Securities of a series are issuable only as Registered Securities, the Company shall maintain in each Place of Payment for any series of Securities an office or agency where Securities of that series may be presented or surrendered for payment or conversion, where Securities of that series may be surrendered for registration of transfer or conversion or exchange and where notices and demands to or upon the Company in respect of the Securities of that series and this Indenture may be served. If Securities of a series are issuable as Bearer Securities, the Company will maintain: (A) in the Borough of Manhattan, The City of New York, an office or agency where any Registered Securities of that series may be presented or surrendered for payment or conversion, where any Registered Securities of that series may be surrendered for registration of transfer, where Securities of that series may be surrendered for conversion or exchange, where notices and demands to or upon the Company in respect of the Securities of that series and this Indenture may be served and where Bearer Securities of that series and related coupons may be presented or surrendered for payment or conversion in the circumstances described in the following paragraph (and not otherwise); (B) subject to any laws or regulations applicable thereto, in a Place of Payment for that series which is located outside the United States, an office or agency where Securities of that series and related coupons may be presented and surrendered for payment;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if the Securities of that series are listed on any stock exchange located outside the United States and such stock exchange shall so require, the Company will maintain a Paying Agent for the Securities of that series in any required city located outside the United States, as the case may be, so long as the Securities of that series are listed on such exchange; and (C) subject to any laws or regulations applicable thereto, in a Place of Payment for that series located outside the United States an office or agency where any Registered Securities of that series may be surrendered for registration of transfer, where Securities of that series may be surrendered for conversion or exchange and where notices and demands to or upon the Company in respect of the Securities of that series and this Indenture may be served. The Company will give prompt written notice to the Trustee of the location, and any change in the location, of each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except that Bearer Securities of that series and the related coupons may be presented and surrendered for payment or conversion at the offices specified in the Security, in London, England, and the Company hereby appoints the same as its agent to receive such respective presentations, surrenders, notices and demands, and the Company hereby appoints the Trustee its agent to receive all such presentations, surrenders, notices and demands.</w:t>
      </w:r>
    </w:p>
    <w:p>
      <w:pPr>
        <w:spacing w:after="0" w:line="2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Unless otherwise specified with respect to any Securities pursuant to Section 301, no payment of principal, premium or Make- Whole Amount or interest on Bearer Securities shall be made at any office or agency of the Company in the United States or by check mailed to any address in the United States or by transfer to an account maintained with a bank located in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Securities of a series are payable in Dollars, payment of principal of and any premium or Make-Whole Amount and interest on any Bearer Security shall be made at the office of the Company’s Paying Agent in the Borough of Manhattan, The City of New York, if (but only if) payment in Dollars of the full amount of such principal, premium or Make-Whole Amount, or interest, as the case may be, at all offices or agencies outside the United States maintained for the purpose by the Company in accordance with this Indenture, is illegal or effectively precluded by exchange controls or other similar restrictions.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may from time to time designate one or more other offices or agencies (in or outside the Place of Payment) where the Securities of one or more series may be presented or surrendered for any or all of such purposes, and may from time to time rescind such designations;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each of (i) the office or agency of the Company in the Borough of Manhattan, The City of New York, and (ii) the Corporate Trust Office of the Trustee (as Paying Agent); and the Company hereby initially appoints the Trustee at its Corporate Trust Office as Paying Agent in such city; and the Company hereby initially appoints as its agent to receive all such presentations, surrenders, notices and demands each of the Trustee, at its Corporate Trust Office.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specified with respect to any Securities pursuant to Section 301, if and so long as the Securities of any series (i) are denominated in a Foreign Currency or (ii) may be payable in a Foreign Currency, or so long as it is required under any other provision of the Indenture, then the Company will maintain with respect to each such series of Securities, or as so required, at least one exchange rate agent (of which it shall give written notice to the Trustee).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Money for Securities Payments to Be Held in Trust</w:t>
      </w:r>
      <w:r>
        <w:rPr>
          <w:rFonts w:ascii="Times New Roman" w:cs="Times New Roman" w:eastAsia="Times New Roman" w:hAnsi="Times New Roman"/>
          <w:sz w:val="18"/>
          <w:szCs w:val="18"/>
          <w:color w:val="auto"/>
        </w:rPr>
        <w:t>. If the Company shall at any time act as its own Paying Agent with respect to any series of any Securities and any related coupons, it will, on or before each due date of the principal of (and premium or Make-Whole Amount, if any), or interest on any of the Securities of that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301 for the Securities of such series) sufficient to pay the principal (and premium or Make-Whole Amount, if any) or interest so becoming due until such sums shall be paid to such Persons or otherwise disposed of as herein provided, and will promptly notify the Trustee of its action or failure so to act.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Whenever the Company shall have one or more Paying Agents for any series of Securities and any related coupons, it will, on or before each due date of the principal of (and premium or Make-Whole Amount, if any), or interest on any Securities of that series, deposit with a Paying Agent a sum (in the currency or currencies, currency unit or units or composite currency or currencies described in the preceding paragraph) sufficient to pay the principal (and premium or Make-Whole Amount, if any) or interest so becoming due, such sum to be held in trust for the benefit of the Persons entitled to such principal, premium or Make-Whole Amount, if any, or interest and (unless such Paying Agent is the Trustee) the Company will promptly notify the Trustee of its action or failure so to act.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w:t>
      </w:r>
    </w:p>
    <w:p>
      <w:pPr>
        <w:spacing w:after="0" w:line="162" w:lineRule="exact"/>
        <w:rPr>
          <w:sz w:val="20"/>
          <w:szCs w:val="20"/>
          <w:color w:val="auto"/>
        </w:rPr>
      </w:pPr>
    </w:p>
    <w:p>
      <w:pPr>
        <w:ind w:right="20" w:firstLine="656"/>
        <w:spacing w:after="0" w:line="282" w:lineRule="auto"/>
        <w:tabs>
          <w:tab w:leader="none" w:pos="90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all sums held by it for the payment of principal of (and premium or Make-Whole Amount, if any) or interest on Securities in trust for the benefit of the Persons entitled thereto until such sums shall be paid to such Persons or otherwise disposed of as herein provided;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Trustee notice of any default by the Company (or any other obligor upon the Securities) in the making of any such payment of principal (and premium or Make-Whole Amount, if any) or interest on the Securities of that series;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ind w:firstLine="656"/>
        <w:spacing w:after="0" w:line="282" w:lineRule="auto"/>
        <w:tabs>
          <w:tab w:leader="none" w:pos="907"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continuance of any such default upon the written request of the Trustee, forthwith pay to the Trustee all sums so held in trust by such Paying Agent.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Except as otherwise provided in the Securities of any series, and subject to applicable laws, any money deposited with the Trustee or any Paying Agent, or then held by the Company, in trust for the payment of the principal of (and premium or Make-Whole Amount, if any) or interest on any Security of any series and remaining unclaimed for two years after such principal (and premium or Make-Whole Amount, if any) or interest has become due and payable shall be paid to the Company upon Company Request or (if then held by the Company) shall be discharged from such trust; and the Holder of such Security shall thereafter, as an unsecured general creditor, look only to the Company for payment of such principal of (and premium or Make-Whole Amount, if any) or interest on any Security, without interest thereon,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Subject to Article Eight, the Company will do or cause to be done all things necessary to preserve and keep in full force and effect its corporate existence, all material rights (by certificate of incorporation, bylaws and statute) and material franchises;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to preserve any such right or franchise if the Board of Directors shall determine that the preservation thereof is no longer desirable in the conduct of the business of the Company.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xml:space="preserve">. The Company will cause all of its material properties used or useful in the conduct of its business to be maintained and kept in good condition, repair and working order, normal wear and tear, casualty and condemnation excepted, and supplied with all necessary equipment and will cause to be made all necessary repairs, renewals, replacements, betterments and improvements thereof (and the Company may take out of service for a period of time, any of its properties that have been condemned or suffered any loss due to casualty in order to make such repairs, betterments and improvements), all as in the judgment of the Company may be necessary so that the business carried on in connection therewith may be properly and advantageously conducted at all times;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prevented from (i) removing permanently any property that has been condemned or suffered a loss due to casualty based on the Company’s reasonable judgment that such removal is in the best interest of the Company, or (ii) selling or otherwise disposing of its properties for value in the ordinary course of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will cause its insurable properties to be insured against loss or damage in an amount deemed reasonable by the Board of Directors with insurers of recognized responsibility.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Payment of Taxes and Other Claims</w:t>
      </w:r>
      <w:r>
        <w:rPr>
          <w:rFonts w:ascii="Times New Roman" w:cs="Times New Roman" w:eastAsia="Times New Roman" w:hAnsi="Times New Roman"/>
          <w:sz w:val="18"/>
          <w:szCs w:val="18"/>
          <w:color w:val="auto"/>
        </w:rPr>
        <w:t xml:space="preserve">. The Company will pay or discharge or cause to be paid or discharged, before the same shall become delinquent, (1) all taxes, assessments and governmental charges levied or imposed upon it or upon the income, profits or property of the Company, and (2) all lawful claims for labor, materials and supplies which, if unpaid, might by law become a lien upon the property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to pay or discharge or cause to be paid or discharged any such tax, assessment, charge or claim whose amount, applicability or validity is being contested in good faith by appropriate proceedings.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Statement as to Compliance</w:t>
      </w:r>
      <w:r>
        <w:rPr>
          <w:rFonts w:ascii="Times New Roman" w:cs="Times New Roman" w:eastAsia="Times New Roman" w:hAnsi="Times New Roman"/>
          <w:sz w:val="18"/>
          <w:szCs w:val="18"/>
          <w:color w:val="auto"/>
        </w:rPr>
        <w:t>. The Company will deliver to the Trustee, within 120 days after the end of each fiscal year, a brief certificate from the principal executive officer, principal financial officer or principal accounting officer as to his or her knowledge of the Company’s compliance with all conditions and covenants under this Indenture and, in the event of any noncompliance, specifying such noncompliance and the nature and status thereof. For purposes of this Section 1008, such compliance shall be determined without regard to any period of grace or requirement of notice under this Indenture.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Waiver of Certain Covenants</w:t>
      </w:r>
      <w:r>
        <w:rPr>
          <w:rFonts w:ascii="Times New Roman" w:cs="Times New Roman" w:eastAsia="Times New Roman" w:hAnsi="Times New Roman"/>
          <w:sz w:val="18"/>
          <w:szCs w:val="18"/>
          <w:color w:val="auto"/>
        </w:rPr>
        <w:t>. The Company may omit in any particular instance to comply with any term, provision or condition set forth in Sections 1004 to 1008, inclusive, if before or after the time for such compliance the Holders of at least a majority in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ELEVEN. - REDEMPTION OF SECURITIES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1101. A</w:t>
      </w:r>
      <w:r>
        <w:rPr>
          <w:rFonts w:ascii="Times New Roman" w:cs="Times New Roman" w:eastAsia="Times New Roman" w:hAnsi="Times New Roman"/>
          <w:sz w:val="18"/>
          <w:szCs w:val="18"/>
          <w:u w:val="single" w:color="auto"/>
          <w:color w:val="auto"/>
        </w:rPr>
        <w:t>pplicability of Article</w:t>
      </w:r>
      <w:r>
        <w:rPr>
          <w:rFonts w:ascii="Times New Roman" w:cs="Times New Roman" w:eastAsia="Times New Roman" w:hAnsi="Times New Roman"/>
          <w:sz w:val="18"/>
          <w:szCs w:val="18"/>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Election to Redeem; Notice to Trustee</w:t>
      </w:r>
      <w:r>
        <w:rPr>
          <w:rFonts w:ascii="Times New Roman" w:cs="Times New Roman" w:eastAsia="Times New Roman" w:hAnsi="Times New Roman"/>
          <w:sz w:val="18"/>
          <w:szCs w:val="18"/>
          <w:color w:val="auto"/>
        </w:rPr>
        <w:t>. The election of the Company to redeem any Securities shall be evidenced by or pursuant to a Board Resolution. In case of any redemption at the election of the Company of less than all of the Securities of any series, the Company shall, at least 45 days prior to the giving of the notice of redemption in Section 1104 (unless a shorter notice shall be satisfactory to the Trustee), notify the Trustee of such Redemption Date and of the principal amount of Securities of such series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Selection by Trustee of Securities to Be Redeemed</w:t>
      </w:r>
      <w:r>
        <w:rPr>
          <w:rFonts w:ascii="Times New Roman" w:cs="Times New Roman" w:eastAsia="Times New Roman" w:hAnsi="Times New Roman"/>
          <w:sz w:val="18"/>
          <w:szCs w:val="18"/>
          <w:color w:val="auto"/>
        </w:rPr>
        <w:t>. 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and which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notice that is mailed to the Holders of Registered Securities in the manner herein provided shall be conclusively presumed to have been duly given, whether or not the Holder receives the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notices of redemption shall state:</w:t>
      </w:r>
    </w:p>
    <w:p>
      <w:pPr>
        <w:spacing w:after="0" w:line="225" w:lineRule="exact"/>
        <w:rPr>
          <w:sz w:val="20"/>
          <w:szCs w:val="20"/>
          <w:color w:val="auto"/>
        </w:rPr>
      </w:pPr>
    </w:p>
    <w:p>
      <w:pPr>
        <w:ind w:left="920" w:hanging="264"/>
        <w:spacing w:after="0"/>
        <w:tabs>
          <w:tab w:leader="none" w:pos="9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accrued interest to the Redemption Date payable as provided in Section 1106, if any,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0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Security is to be redeemed in part only, the notice which relates to such Security shall state that on and after the Redemption Date, upon surrender of such Security, the holder will receive, without a charge, a new Security or Securities of authorized denominations for the principal amount thereof remaining unredeemed,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the Redemption Date the Redemption Price and accrued interest to the Redemption Date payable as provided in Section 1106, if any, will become due and payable upon each such Security, or the portion thereof, to be redeemed and, if applicable, that interest thereon shall cease to accrue on and after said date,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of Payment where such Securities, together in the case of Bearer Securities with all coupons appertaining thereto, if any, maturing after the Redemption Date, are to be surrendered for payment of the Redemption Price and accrued interest, if any, or for conversion,</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redemption is for a sinking fund, if such is the case,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otherwise specified in such notice, Bearer Securities of any series, if any, surrendered for redemption must be accompanied by all coupons maturing subsequent to the date fixed for redemption or the amount of any such missing coupon or coupons will be deducted from the Redemption Price, unless security or indemnity satisfactory to the Company, the Trustee for such series and any Paying Agent is furnished,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jc w:val="both"/>
        <w:ind w:firstLine="656"/>
        <w:spacing w:after="0" w:line="266" w:lineRule="auto"/>
        <w:tabs>
          <w:tab w:leader="none" w:pos="91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Bearer Securities of any series are to be redeemed and any Registered Securities of such series are not to be redeemed, and if such Bearer Securities may be exchanged for Registered Securities not subject to redemption on this Redemption Date pursuant to Section 305 or otherwise, the last date, as determined by the Company, on which such exchanges may be made,</w:t>
      </w:r>
    </w:p>
    <w:p>
      <w:pPr>
        <w:spacing w:after="0" w:line="17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 of such Security, if any, and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that a Holder of Securities who desires to convert Securities for redemption must satisfy the requirements for conversion contained in such Securities, the then existing conversion price or rate, the place or places where such Securities may be surrendered for conversion, and the date and time when the option to convert shall expire.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Notice of redemption of Securities to be redeemed at the election of the Company shall be given by the Company or, at the Company’s request, by the Trustee in the name and at the expense of the Company.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 On or prior to any Redemption Date, the Company shall deposit with the Trustee or with a Paying Agent (or, if the Company is acting as its own Paying Agent, which it may not do in the case of a sinking fund payment under Article Twelve,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on the Redemption Date the Redemption Price of, and (except if the Redemption Date shall be an Interest Payment Date) accrued interest on, all the Securities or portions thereof which are to be redeemed on that date.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Securities called for redemption are converted, any money deposited with the Trustee or with any Paying Agent or so segregated and held in trust for the redemption of such Security shall be paid to the Company upon Company Request or, if then held by the Company, shall be discharged from such trust.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Securities Payable on Redemption Date</w:t>
      </w:r>
      <w:r>
        <w:rPr>
          <w:rFonts w:ascii="Times New Roman" w:cs="Times New Roman" w:eastAsia="Times New Roman" w:hAnsi="Times New Roman"/>
          <w:sz w:val="18"/>
          <w:szCs w:val="18"/>
          <w:color w:val="auto"/>
        </w:rPr>
        <w:t xml:space="preserve">. Notice of redemption having been given as aforesaid, the Securities so to be redeemed shall, on the Redemption Date, become due and payable at the Redemption Price therein specified in the currency or currencies, currency unit or units or composite currency or currencies in which the Securities of such series are payable (except as otherwise specified pursuant to Section 301 for the Securities of such series) (together with accrued interest, if any, to the Redemption Date), and from and after such date (unless the Company shall default in the payment of the Redemption Price and accrued interest) such Securities shall, if the same were interest-bearing, cease to bear interest and the coupons for such interest appertaining to any Bearer Securities so to be redeemed, except to the extent provided below, shall be void. Upon surrender of any such Security for redemption in accordance with said notice, together with all coupons, if any, appertaining thereto maturing after the Redemption Date, such Security shall be paid by the Company at the Redemption Price, together with accrued interest, if any, to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installments of interest on Bearer Securities whose Stated Maturity is on or prior to the Redemption Date shall be payable only at an office or agency located outside the United States (except as otherwise provided in Section 1002) and, unless otherwise specified as contemplated by Section 301, only upon presentation and surrender of coupons for such interest;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except as otherwise provided with respect to Securities convertible into the Company’s Common Stock or Preferred Stock,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any Bearer Security surrendered for redemption shall not be accompanied by all appurtenant coupons maturing after the Redemption Date, such Security may be paid after deducting from the Redemption Price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from the Redemption Price, such Holder shall be entitled to receive the amount so deducted;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Security called for redemption shall not be so paid upon surrender thereof for redemption, the principal (and premium or Make-Whole Amount, if any) shall, until paid, bear interest from the Redemption Date at the rate borne by the Security.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 Any Registered Security which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 If a Global Security is so surrendered, the Company shall execute and the Trustee shall authenticate and deliver to the depository, without service charge, a new Global Security in a denomination equal to and in exchange for the unredeemed portion of the principal of the Global Security so surrendered.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color w:val="auto"/>
        </w:rPr>
        <w:t>ARTICLE TWELVE. - SINKING FUNDS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The provisions of this Article shall be applicable to any sinking fund for the retirement of Securities of a series except as otherwise specified as contemplated by Section 301 for Securities of such series.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 xml:space="preserve">. The Company may, in satisfaction of all or any part of any mandatory sinking fund payment with respect to the Securities of a series, (1) deliver Outstanding Securities of such series (other than any previously called for redemption) together in the case of any Bearer Securities of such series with all unmatured coupons appertaining thereto and (2)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or which have otherwise been acquired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 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or currencies, currency unit or units or composite currency or currencies in which the Securities of such series are payable (except as otherwise specified pursuant to Section 301 for the Securities of such series)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color w:val="auto"/>
        </w:rPr>
        <w:t>ARTICLE THIRTEEN. - REPAYMENT AT THE OPTION OF HOLDERS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Repayment of Securities of any series before their Stated Maturity at the option of Holders thereof shall be made in accordance with the terms of such Securities, if any, and (except as otherwise specified by the terms of such series established pursuant to Section 301) in accordance with this Article.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u w:val="single" w:color="auto"/>
          <w:color w:val="auto"/>
        </w:rPr>
        <w:t>Repayment of Securities</w:t>
      </w:r>
      <w:r>
        <w:rPr>
          <w:rFonts w:ascii="Times New Roman" w:cs="Times New Roman" w:eastAsia="Times New Roman" w:hAnsi="Times New Roman"/>
          <w:sz w:val="18"/>
          <w:szCs w:val="18"/>
          <w:color w:val="auto"/>
        </w:rPr>
        <w:t>. 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on or prior to the Repayment Date it will deposit with the Trustee or with a Paying Agent (or, if the Company is acting as its own Paying Agent, segregate and hold in trust as provided in Section 1003) an amount of money in the currency or currencies, currency unit or units or composite currency or currencies in which the Securities of such series are payable (except as otherwise specified pursuant to Section 301 for the Securities of such series) sufficient to pay the principal (or, if so provided by the terms of the Securities of any series, a percentage of the principal) of, and (except if the Repayment Date shall be an Interest Payment Date) accrued interest on, all the Securities or portions thereof, as the case may be, to be repaid on such date.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xml:space="preserve">. Securities of any series subject to repayment at the option of the Holders thereof will contain an “Option to Elect Repayment” form on the reverse of such Securities. In order for any Security to be repaid at the option of the Holder, the Trustee must receive at the Place of Payment therefor specified in the terms of such Security (or at such other place or places of which the Company shall from time to time notify the Holders of such Securities) not earlier than 60 days nor later than 30 days prior to the Repayment Date (1) the Security so providing for such repayment together with the “Option to Elect Repayment” form on the reverse thereof duly completed by the Holder (or by the Holder’s attorney duly authorized in writing) or (2) a telegram, telex, facsimile transmission or a letter from a member of a national securities exchange, or the FINRA, or a commercial bank or trust company in the United States setting forth the name of the Holder of the Security, the principal amount of the Security, the principal amount of the Security to be repaid, the CUSIP number, if any, or a description of the tenor and terms of the Security, a statement that the option to elect repayment is being exercised thereby and a guarantee that the Security to be repaid, together with the duly completed form entitled “Option to Elect Repayment” on the reverse of the Security, will be received by the Trustee not later than the fifth Business Day after the date of such telegram, telex, facsimile transmission or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telegram, telex, facsimile transmission or letter shall only be effective if such Security and form duly completed are received by the Trustee by such fifth Business Day.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When Securities Presented for Repayment Become Due and Payable</w:t>
      </w:r>
      <w:r>
        <w:rPr>
          <w:rFonts w:ascii="Times New Roman" w:cs="Times New Roman" w:eastAsia="Times New Roman" w:hAnsi="Times New Roman"/>
          <w:sz w:val="18"/>
          <w:szCs w:val="18"/>
          <w:color w:val="auto"/>
        </w:rPr>
        <w:t xml:space="preserve">. 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and the coupons for such interest appertaining to any Bearer Securities so to be repaid, except to the extent provided below, shall be void. Upon surrender of any such Security for repayment in accordance with such provisions, together with all coupons, if any, appertaining thereto maturing after the Repayment Date, the principal amount of such Security so to be repaid shall be paid by the Company, together with accrued interest, if any, to the Repayment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coupons whose Stated Maturity is on or prior to the Repayment Date shall be payable only at an office or agency located outside the United States (except as otherwise provided in Section 1002) and, unless otherwise specified pursuant to Section 301, only upon presentation and surrender of such coupons; and provided further that, in the case of Registered Securities, installments of interest, if any, whose Stated Maturity is on or prior to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any Bearer Security surrendered for repayment shall not be accompanied by all appurtenant coupons maturing after the Repayment Date, such Security may be paid after deducting from the amount payable therefor as provided in Section 1302 an amount equal to the face amount of all such missing coupons, or the surrender of such missing coupon or coupons may be waived by the Company and the Trustee if there be furnished to them such security or indemnity as they may require to save each of them and any Paying Agent harmless. If thereafter the Holder of such Security shall surrender to the Trustee or any Paying Agent any such missing coupon in respect of which a deduction shall have been made as provided in the preceding sentence, such Holder shall be entitled to receive the amount so deducted;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interest represented by coupons shall be payable only at an office or agency located outside the United States (except as otherwise provided in Section 1002) and, unless otherwise specified as contemplated by Section 301, only upon presentation and surrender of those coupons.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principal amount of any Security surrendered for repayment shall not be so repaid upon surrender thereof, such principal amount (together with interest, if any, thereon accrued to such Repayment Date) shall, until paid, bear interest from the Repayment Date at the rate of interest or Yield to Maturity (in the case of Original Issue Discount Securities) set forth in such Security.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u w:val="single" w:color="auto"/>
          <w:color w:val="auto"/>
        </w:rPr>
        <w:t>Securities Repaid in Part</w:t>
      </w:r>
      <w:r>
        <w:rPr>
          <w:rFonts w:ascii="Times New Roman" w:cs="Times New Roman" w:eastAsia="Times New Roman" w:hAnsi="Times New Roman"/>
          <w:sz w:val="18"/>
          <w:szCs w:val="18"/>
          <w:color w:val="auto"/>
        </w:rPr>
        <w:t>. Upon surrender of any Registered Security which is to be repaid in part only, the Company shall execute and the Trustee shall authenticate and deliver to the Holder of such Security, without service charge and at the expense of the Company, a new Registered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color w:val="auto"/>
        </w:rPr>
        <w:t>ARTICLE FOURTEEN. - DEFEASANCE AND COVENANT DEFEASANCE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1401.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Company’s Option to Effect Defeasance or Covenant Defeasance</w:t>
      </w:r>
      <w:r>
        <w:rPr>
          <w:rFonts w:ascii="Times New Roman" w:cs="Times New Roman" w:eastAsia="Times New Roman" w:hAnsi="Times New Roman"/>
          <w:sz w:val="18"/>
          <w:szCs w:val="18"/>
          <w:color w:val="auto"/>
        </w:rPr>
        <w:t>.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any coupons appertaining thereto, and the Company may at its option by Board Resolution, at any time, with respect to such Securities and any coupons appertaining thereto, elect to have Section 1402 (if applicable) or Section 1403 (if applicable) be applied to such Outstanding Securities and any coupons appertaining thereto upon compliance with the conditions set forth below in this Article.</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1402. </w:t>
      </w:r>
      <w:r>
        <w:rPr>
          <w:rFonts w:ascii="Times New Roman" w:cs="Times New Roman" w:eastAsia="Times New Roman" w:hAnsi="Times New Roman"/>
          <w:sz w:val="18"/>
          <w:szCs w:val="18"/>
          <w:u w:val="single" w:color="auto"/>
          <w:color w:val="auto"/>
        </w:rPr>
        <w:t>Defeasance and Discharge</w:t>
      </w:r>
      <w:r>
        <w:rPr>
          <w:rFonts w:ascii="Times New Roman" w:cs="Times New Roman" w:eastAsia="Times New Roman" w:hAnsi="Times New Roman"/>
          <w:sz w:val="18"/>
          <w:szCs w:val="18"/>
          <w:color w:val="auto"/>
        </w:rPr>
        <w:t>. Upon the Company’s exercise of the above option applicable to this Section with respect to any Securities of or within a series, the Company shall be deemed to have been discharged from its obligations with respect to such Outstanding Securities and any coupons appertaining thereto on the date the conditions set forth in Section 1404 are satisfied (hereinafter, “Defeasance”). For this purpose, such Defeasance means that the Company shall be deemed to have paid and discharged the entire indebtedness represented by such Outstanding Securities and any coupons appertaining thereto, which shall thereafter be deemed to be “Outstanding” only for the purposes of Section 1405 and the other Sections of this Indenture referred to in clauses (A) and (B) below, and to have satisfied all of its other obligations under such Securities and any coupons appertaining thereto and this Indenture insofar as such Securities and any coupons appertaining thereto are concerned (and the Trustee, at the expense of the Company, shall execute proper instruments acknowledging the same), except for the following which shall survive until otherwise terminated or discharged hereunder: (A) the rights of Holders of such Outstanding Securities and any coupons appertaining thereto to receive, solely from the trust fund described in Section 1404 and as more fully set forth in such Section, payments in respect of the principal of (and premium or Make-Whole Amount, if any) and interest, if any, on such Securities and any coupons appertaining thereto when such payments are due, (B) the Company’s obligations with respect to such Securities under Sections 305, 306, 1002 and 1003, and the Company’s obligations under Section 606 hereof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and any coupons appertaining thereto.</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1403.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Upon the Company’s exercise of the above option applicable to this Section with respect to any Securities of or within a series, the Company shall be released from its obligations under Sections 1004 to 1009, inclusive, and, if specified pursuant to Section 301, its obligations under any other covenant contained herein or in any indenture supplemental hereto, with respect to such Outstanding Securities and any coupons appertaining thereto on and after the date the conditions set forth in Section 1404 are satisfied (hereinafter, “Covenant Defeasance”), and such Securities and any coupons appertaining thereto shall thereafter be deemed to be not “Outstanding” for the purposes of any direction, waiver, consent or declaration or Act of Holders (and the consequences of any thereof) in connection with Sections 1004 to 1009, inclusive, or such other covenant, but shall continue to be deemed “Outstanding” for all other purposes hereunder. For this purpose, such Covenant Defeasance means that, with respect to such Outstanding Securities and any coupons appertaining thereto,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501(4) or 501(8) or otherwise, as the case may be, but, except as specified above, the remainder of this Indenture and such Securities and any coupons appertaining thereto shall be unaffected thereby.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1404. </w:t>
      </w:r>
      <w:r>
        <w:rPr>
          <w:rFonts w:ascii="Times New Roman" w:cs="Times New Roman" w:eastAsia="Times New Roman" w:hAnsi="Times New Roman"/>
          <w:sz w:val="18"/>
          <w:szCs w:val="18"/>
          <w:u w:val="single" w:color="auto"/>
          <w:color w:val="auto"/>
        </w:rPr>
        <w:t>Conditions to Defeasance or Covenant Defeasance</w:t>
      </w:r>
      <w:r>
        <w:rPr>
          <w:rFonts w:ascii="Times New Roman" w:cs="Times New Roman" w:eastAsia="Times New Roman" w:hAnsi="Times New Roman"/>
          <w:sz w:val="18"/>
          <w:szCs w:val="18"/>
          <w:color w:val="auto"/>
        </w:rPr>
        <w:t>. The following shall be the conditions to application of Section 1402 or Section 1403 to any Outstanding Securities of or within a series and any coupons appertaining thereto:</w:t>
      </w:r>
    </w:p>
    <w:p>
      <w:pPr>
        <w:spacing w:after="0" w:line="162" w:lineRule="exact"/>
        <w:rPr>
          <w:sz w:val="20"/>
          <w:szCs w:val="20"/>
          <w:color w:val="auto"/>
        </w:rPr>
      </w:pPr>
    </w:p>
    <w:p>
      <w:pPr>
        <w:jc w:val="both"/>
        <w:ind w:firstLine="1952"/>
        <w:spacing w:after="0" w:line="252" w:lineRule="auto"/>
        <w:tabs>
          <w:tab w:leader="none" w:pos="219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irrevocably have deposited or caused to be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and dedicated solely to, the benefit of the Holders of such Securities and any coupons appertaining thereto, (1) an amount in such currency, currencies or currency unit in which such Securities and any coupons appertaining thereto are then specified as payable at Stated Maturity, or (2) Government Obligations applicable to such Securities and coupons appertaining thereto (determined on the basis of the currency, currencies or currency unit in which such Securities and coupons appertaining thereto are then specified as payable at Stated Maturity) which through the scheduled payment of principal and interest in respect thereof in accordance with their terms will provide, not later than the due date of any payment of principal of (and premium or Make-Whole Amount, if any) and interest, if any, on such Securities and any coupons appertaining thereto,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or Make-Whole Amount, if any) and interest, if any, on such Outstanding Securities and any coupons appertaining thereto on the Stated Maturity of such principal or installment of principal or interest and (ii) any mandatory sinking fund payments or analogous payments applicable to such Outstanding Securities and any coupons appertaining thereto on the day on which such payments are due and payable in accordance with the terms of this Indenture and of such Securities and any coupons appertaining thereto.</w:t>
      </w:r>
    </w:p>
    <w:p>
      <w:pPr>
        <w:spacing w:after="0" w:line="195" w:lineRule="exact"/>
        <w:rPr>
          <w:rFonts w:ascii="Times New Roman" w:cs="Times New Roman" w:eastAsia="Times New Roman" w:hAnsi="Times New Roman"/>
          <w:sz w:val="18"/>
          <w:szCs w:val="18"/>
          <w:color w:val="auto"/>
        </w:rPr>
      </w:pPr>
    </w:p>
    <w:p>
      <w:pPr>
        <w:ind w:firstLine="1952"/>
        <w:spacing w:after="0" w:line="282" w:lineRule="auto"/>
        <w:tabs>
          <w:tab w:leader="none" w:pos="222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which with notice or lapse of time or both would become an Event of Default with respect to such Securities and any coupons appertaining thereto shall have occurred and be continuing on the date of such deposit or, insofar as Sections 501(6) and 501(7) are concerned, at any time during the period ending on the 91st day after the date of such deposit (it being understood that this condition shall not be deemed satisfied until the expiration of such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jc w:val="both"/>
        <w:ind w:firstLine="1952"/>
        <w:spacing w:after="0" w:line="256" w:lineRule="auto"/>
        <w:tabs>
          <w:tab w:leader="none" w:pos="219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and any coupons appertaining thereto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87"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1403, the Company shall have delivered to the Trustee an Opinion of Counsel to the effect that the Holders of such Outstanding Securities and any coupons appertaining thereto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8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an Officers’ Certificate and an Opinion of Counsel, each stating that all conditions precedent to the Defeasance under Section 1402 or the Covenant Defeasance under Section 1403 (as the case may be) have been complied with and an Opinion of Counsel to the effect that either (i) as a result of a deposit pursuant to subsection (a) above and the related exercise of the Company’s option under Section 1402 or Section 1403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4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Section, such Defeasance or Covenant Defeasance shall be effected in compliance with any additional or substitute terms, conditions or limitations which may be imposed on the Company in connection therewith pursuant to Section 301.</w:t>
      </w:r>
    </w:p>
    <w:p>
      <w:pPr>
        <w:spacing w:after="0" w:line="17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amounts payable to the Trustee pursuant to this Indenture shall be paid or provided for to the reasonable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of the Trustee.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1405. </w:t>
      </w:r>
      <w:r>
        <w:rPr>
          <w:rFonts w:ascii="Times New Roman" w:cs="Times New Roman" w:eastAsia="Times New Roman" w:hAnsi="Times New Roman"/>
          <w:sz w:val="18"/>
          <w:szCs w:val="18"/>
          <w:u w:val="single" w:color="auto"/>
          <w:color w:val="auto"/>
        </w:rPr>
        <w:t>Deposited Money and Government Obli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ations to Be Held in Trust; Other Miscellaneous Provisions</w:t>
      </w:r>
      <w:r>
        <w:rPr>
          <w:rFonts w:ascii="Times New Roman" w:cs="Times New Roman" w:eastAsia="Times New Roman" w:hAnsi="Times New Roman"/>
          <w:sz w:val="18"/>
          <w:szCs w:val="18"/>
          <w:color w:val="auto"/>
        </w:rPr>
        <w:t>. 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“Trustee”) pursuant to Section 1404 in respect of any Outstanding Securities of any series and any coupons appertaining thereto shall be held in trust and applied by the Trustee, in accordance with the provisions of such Securities and any coupons appertaining thereto and this Indenture, to the payment, either directly or through any Paying Agent (including the Company acting as its own Paying Agent) as the Trustee may determine, to the Holders of such Securities and any coupons appertaining thereto of all sums due and to become due thereon in respect of principal (and premium or Make-Whole Amount, if any) and interest, but such money need not be segregated from other funds except to the extent required by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ind w:left="660"/>
        <w:spacing w:after="0"/>
        <w:rPr>
          <w:sz w:val="20"/>
          <w:szCs w:val="20"/>
          <w:color w:val="auto"/>
        </w:rPr>
      </w:pPr>
      <w:r>
        <w:rPr>
          <w:rFonts w:ascii="Times New Roman" w:cs="Times New Roman" w:eastAsia="Times New Roman" w:hAnsi="Times New Roman"/>
          <w:sz w:val="18"/>
          <w:szCs w:val="18"/>
          <w:color w:val="auto"/>
        </w:rPr>
        <w:t>Unless otherwise specified with respect to any Security pursuant to Section 301, if, after a deposit referred to in Section 1404(a) has been made,</w:t>
      </w:r>
    </w:p>
    <w:p>
      <w:pPr>
        <w:spacing w:after="0" w:line="27" w:lineRule="exact"/>
        <w:rPr>
          <w:sz w:val="20"/>
          <w:szCs w:val="20"/>
          <w:color w:val="auto"/>
        </w:rPr>
      </w:pPr>
    </w:p>
    <w:p>
      <w:pPr>
        <w:jc w:val="both"/>
        <w:ind w:firstLine="8"/>
        <w:spacing w:after="0" w:line="251" w:lineRule="auto"/>
        <w:tabs>
          <w:tab w:leader="none" w:pos="25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Security in respect of which such deposit was made is entitled to, and does, elect pursuant to Section 301 or the terms of such Security to receive payment in a currency or currency unit other than that in which the deposit pursuant to Section 1404(a) has been made in respect of such Security, or (b) a Conversion Event occurs in respect of the currency or currency unit in which the deposit pursuant to Section 1404(a) has been made, the indebtedness represented by such Security and any coupons appertaining thereto shall be deemed to have been, and will be, fully discharged and satisfied through the payment of the principal of (and premium or Make-Whole Amount, if any), and interest, if any, on such Security as the same becomes due out of the proceeds yielded by converting (from time to time as specified below in the case of any such election) the amount or other property deposited in respect of such Security into the currency or currency unit in which such Security becomes payable as a result of such election or Conversion Event based on the applicable market exchange rate for such currency or currency unit in effect on the second Business Day prior to each payment date, except, with respect to a Conversion Event, for such currency or currency unit in effect (as nearly as feasible) at the time of the Conversion Event.</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shall pay and indemnify the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Outstanding Securities and any coupons appertaining thereto.</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Anything in this Article to the contrary notwithstanding, subject to Section 606,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FIFTEEN. - MEETINGS OF HOLDERS OF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1501. </w:t>
      </w:r>
      <w:r>
        <w:rPr>
          <w:rFonts w:ascii="Times New Roman" w:cs="Times New Roman" w:eastAsia="Times New Roman" w:hAnsi="Times New Roman"/>
          <w:sz w:val="18"/>
          <w:szCs w:val="18"/>
          <w:u w:val="single" w:color="auto"/>
          <w:color w:val="auto"/>
        </w:rPr>
        <w:t>Purposes for Which Meetings May Be Called.</w:t>
      </w:r>
      <w:r>
        <w:rPr>
          <w:rFonts w:ascii="Times New Roman" w:cs="Times New Roman" w:eastAsia="Times New Roman" w:hAnsi="Times New Roman"/>
          <w:sz w:val="18"/>
          <w:szCs w:val="18"/>
          <w:color w:val="auto"/>
        </w:rPr>
        <w:t xml:space="preserve"> A meeting of Holders of Securities of any series may be called at any time and from time to time pursuant to this Article to make, give or take any request, demand, authorization, direction, notice, consent, waiver or other action provided by this Indenture to be made, given or taken by Holders of Securities of such series.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1502. </w:t>
      </w:r>
      <w:r>
        <w:rPr>
          <w:rFonts w:ascii="Times New Roman" w:cs="Times New Roman" w:eastAsia="Times New Roman" w:hAnsi="Times New Roman"/>
          <w:sz w:val="18"/>
          <w:szCs w:val="18"/>
          <w:u w:val="single" w:color="auto"/>
          <w:color w:val="auto"/>
        </w:rPr>
        <w:t>Call. Notice and Place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1" w:lineRule="auto"/>
        <w:tabs>
          <w:tab w:leader="none" w:pos="219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call a meeting of Holders of Securities of any series for any purpose specified in Section 1501, to be held at such time and at such place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20 nor more than 180 days prior to the date fixed for the meeting.</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0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Company, pursuant to a Board Resolution, or the Holders of at least 25%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of the notice of such meeting within 20 days after receipt of such request or shall not thereafter proceed to cause the meeting to be held as provided herein, then the Company or the Holders of Securities of such series in the amount above specified, as the case may be, may determine the time and the place for such meeting and may call such meeting for such purposes by giving notice thereof as provided in subsection (a) of this Section.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ind w:left="660"/>
        <w:spacing w:after="0"/>
        <w:rPr>
          <w:sz w:val="20"/>
          <w:szCs w:val="20"/>
          <w:color w:val="auto"/>
        </w:rPr>
      </w:pPr>
      <w:r>
        <w:rPr>
          <w:rFonts w:ascii="Times New Roman" w:cs="Times New Roman" w:eastAsia="Times New Roman" w:hAnsi="Times New Roman"/>
          <w:sz w:val="18"/>
          <w:szCs w:val="18"/>
          <w:color w:val="auto"/>
        </w:rPr>
        <w:t xml:space="preserve">Section 1503. </w:t>
      </w:r>
      <w:r>
        <w:rPr>
          <w:rFonts w:ascii="Times New Roman" w:cs="Times New Roman" w:eastAsia="Times New Roman" w:hAnsi="Times New Roman"/>
          <w:sz w:val="18"/>
          <w:szCs w:val="18"/>
          <w:u w:val="single" w:color="auto"/>
          <w:color w:val="auto"/>
        </w:rPr>
        <w:t>Persons Entitled to Vote at Meetin</w:t>
      </w:r>
      <w:r>
        <w:rPr>
          <w:rFonts w:ascii="Times New Roman" w:cs="Times New Roman" w:eastAsia="Times New Roman" w:hAnsi="Times New Roman"/>
          <w:sz w:val="18"/>
          <w:szCs w:val="18"/>
          <w:color w:val="auto"/>
        </w:rPr>
        <w:t>gs. To be entitled to vote at any meeting of Holders of Securities of any series, a Person shall be</w:t>
      </w:r>
    </w:p>
    <w:p>
      <w:pPr>
        <w:spacing w:after="0" w:line="27" w:lineRule="exact"/>
        <w:rPr>
          <w:sz w:val="20"/>
          <w:szCs w:val="20"/>
          <w:color w:val="auto"/>
        </w:rPr>
      </w:pPr>
    </w:p>
    <w:p>
      <w:pPr>
        <w:jc w:val="both"/>
        <w:ind w:firstLine="8"/>
        <w:spacing w:after="0" w:line="253" w:lineRule="auto"/>
        <w:tabs>
          <w:tab w:leader="none" w:pos="25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1504. </w:t>
      </w:r>
      <w:r>
        <w:rPr>
          <w:rFonts w:ascii="Times New Roman" w:cs="Times New Roman" w:eastAsia="Times New Roman" w:hAnsi="Times New Roman"/>
          <w:sz w:val="18"/>
          <w:szCs w:val="18"/>
          <w:u w:val="single" w:color="auto"/>
          <w:color w:val="auto"/>
        </w:rPr>
        <w:t>Quorum; Action</w:t>
      </w:r>
      <w:r>
        <w:rPr>
          <w:rFonts w:ascii="Times New Roman" w:cs="Times New Roman" w:eastAsia="Times New Roman" w:hAnsi="Times New Roman"/>
          <w:sz w:val="18"/>
          <w:szCs w:val="18"/>
          <w:color w:val="auto"/>
        </w:rPr>
        <w:t xml:space="preserve">. The Persons entitled to vote a majority in principal amount of the Outstanding Securities of a series shall constitute a quorum for a meeting of Holders of Securities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action is to be taken at such meeting with respect to a consent or waiver which this Indenture expressly provides may be given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the reconvening of any such adjourned meeting, such adjourned meeting may be further adjourned for a period of not less than 10 days; at the reconvening of any meeting adjourned or further adjourned for lack of a quorum, the Persons entitled to vote 25% in aggregate principal amount of the then Outstanding Securities shall constitute a quorum for the taking of any action set forth in the notice of the original meeting. Notice of the reconvening of any adjourned meeting shall be given as provided in Section 1502(a), except that such notice need be given only once not less than five days prior to the date on which the meeting is scheduled to be reconvened.</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Except as limited by the proviso to Section 902, any resolution presented to a meeting or adjourned meeting duly reconvened at which a quorum is present as aforesaid may be adopted by the affirmative vote of the Persons entitled to vote a majority in aggregate principal amount of the Outstanding Securities represented at such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limited by the proviso to Section 902, any resolution with respect to any request, demand, authorization, direction, notice, consent, waiver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resolution passed or decision taken at any meeting of Holders of Securities of any series duly held in accordance with this Section shall be binding on all the Holders of Securities of such series and the related coupons, whether or not present or represented at the meeting.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of this Section 1504, if any action is to be taken at a meeting of Holders of Securities of any series with respect to any request, demand, authorization, direction, notice, consent, waiver or other action that this Indenture expressly provides may be made, given or taken by the Holders of a specified percentage in principal amount of all Outstanding Securities affected thereby, or of the Holders of such series and one or more additional series:</w:t>
      </w:r>
    </w:p>
    <w:p>
      <w:pPr>
        <w:spacing w:after="0" w:line="180" w:lineRule="exact"/>
        <w:rPr>
          <w:sz w:val="20"/>
          <w:szCs w:val="20"/>
          <w:color w:val="auto"/>
        </w:rPr>
      </w:pPr>
    </w:p>
    <w:p>
      <w:pPr>
        <w:ind w:left="1520" w:hanging="216"/>
        <w:spacing w:after="0"/>
        <w:tabs>
          <w:tab w:leader="none" w:pos="15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minimum quorum requirement for such meeting;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Outstanding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this Indenture.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1505. </w:t>
      </w:r>
      <w:r>
        <w:rPr>
          <w:rFonts w:ascii="Times New Roman" w:cs="Times New Roman" w:eastAsia="Times New Roman" w:hAnsi="Times New Roman"/>
          <w:sz w:val="18"/>
          <w:szCs w:val="18"/>
          <w:u w:val="single" w:color="auto"/>
          <w:color w:val="auto"/>
        </w:rPr>
        <w:t>Determination of Voting Rights; Conduct and Adjournment of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4" w:lineRule="auto"/>
        <w:tabs>
          <w:tab w:leader="none" w:pos="222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or by having the signature of the Person executing the proxy witnessed or guaranteed by any trust company, bank or banker authorized by Section 104 to certify to the holding of Bearer Securities. Such regulations may provide that written instruments appointing proxies, regular on their face, may be presumed valid and genuine without the proof specified in Section 104 or other proof.</w:t>
      </w:r>
    </w:p>
    <w:p>
      <w:pPr>
        <w:spacing w:after="0" w:line="19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1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0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meeting each Holder of a Security of such series or proxy shall be entitled to one vote for each $1,000 principal amount of the Outstanding Securities of such series held or represented by him;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jc w:val="both"/>
        <w:ind w:firstLine="1952"/>
        <w:spacing w:after="0" w:line="266" w:lineRule="auto"/>
        <w:tabs>
          <w:tab w:leader="none" w:pos="219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1506. </w:t>
      </w:r>
      <w:r>
        <w:rPr>
          <w:rFonts w:ascii="Times New Roman" w:cs="Times New Roman" w:eastAsia="Times New Roman" w:hAnsi="Times New Roman"/>
          <w:sz w:val="18"/>
          <w:szCs w:val="18"/>
          <w:u w:val="single" w:color="auto"/>
          <w:color w:val="auto"/>
        </w:rPr>
        <w:t>Counting Votes and Recording Action of Meetings.</w:t>
      </w:r>
      <w:r>
        <w:rPr>
          <w:rFonts w:ascii="Times New Roman" w:cs="Times New Roman" w:eastAsia="Times New Roman" w:hAnsi="Times New Roman"/>
          <w:sz w:val="18"/>
          <w:szCs w:val="18"/>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SIXTEEN. - SUBORDINATION OF SECURITIES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1601. </w:t>
      </w:r>
      <w:r>
        <w:rPr>
          <w:rFonts w:ascii="Times New Roman" w:cs="Times New Roman" w:eastAsia="Times New Roman" w:hAnsi="Times New Roman"/>
          <w:sz w:val="18"/>
          <w:szCs w:val="18"/>
          <w:u w:val="single" w:color="auto"/>
          <w:color w:val="auto"/>
        </w:rPr>
        <w:t>Agreement to Subordinate</w:t>
      </w:r>
      <w:r>
        <w:rPr>
          <w:rFonts w:ascii="Times New Roman" w:cs="Times New Roman" w:eastAsia="Times New Roman" w:hAnsi="Times New Roman"/>
          <w:sz w:val="18"/>
          <w:szCs w:val="18"/>
          <w:color w:val="auto"/>
        </w:rPr>
        <w:t>. Notwithstanding anything in this Indenture to the contrary (other than Article Four of this Indenture), the Company covenants and agrees, and each Holder of a Security, by his acceptance thereof, likewise covenants and agrees, that, to the extent and in the manner hereinafter set forth in this Article, the Indebtedness represented by the Securities and the payment of any Obligations with respect to each and all of the Securities are hereby expressly made subordinate and subject in right of payment to the prior payment in full of all Senior Indebtedness.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1602. </w:t>
      </w:r>
      <w:r>
        <w:rPr>
          <w:rFonts w:ascii="Times New Roman" w:cs="Times New Roman" w:eastAsia="Times New Roman" w:hAnsi="Times New Roman"/>
          <w:sz w:val="18"/>
          <w:szCs w:val="18"/>
          <w:u w:val="single" w:color="auto"/>
          <w:color w:val="auto"/>
        </w:rPr>
        <w:t>Payment Over of Proceeds upon Dissolution, Etc.</w:t>
      </w:r>
      <w:r>
        <w:rPr>
          <w:rFonts w:ascii="Times New Roman" w:cs="Times New Roman" w:eastAsia="Times New Roman" w:hAnsi="Times New Roman"/>
          <w:sz w:val="18"/>
          <w:szCs w:val="18"/>
          <w:color w:val="auto"/>
        </w:rPr>
        <w:t>. 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marshaling of assets and liabilities of the Company, then and in any such event specified in (a), (b) or (c) above (each such event, if any, herein sometimes referred to as a “Proceeding”)</w:t>
      </w:r>
    </w:p>
    <w:p>
      <w:pPr>
        <w:spacing w:after="0" w:line="183" w:lineRule="exact"/>
        <w:rPr>
          <w:sz w:val="20"/>
          <w:szCs w:val="20"/>
          <w:color w:val="auto"/>
        </w:rPr>
      </w:pPr>
    </w:p>
    <w:p>
      <w:pPr>
        <w:jc w:val="both"/>
        <w:ind w:firstLine="656"/>
        <w:spacing w:after="0" w:line="258" w:lineRule="auto"/>
        <w:tabs>
          <w:tab w:leader="none" w:pos="90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Senior Indebtedness shall first be entitled to receive payment in full of all Obligations due or to become due on or in respect of all Senior Indebtedness, or provision shall be made for such payment in cash or cash equivalents or otherwise in a manner satisfactory to the holders of Senior Indebtedness, before the Holders of the Securities are entitled to receive any payment or distribution on account of principal of or premium, if any, or interest on or other Obligations in respect of the Securities or on account of any purchase, redemption or other acquisition of Securities by the Company (individually and collectively, a “Securities Payment”), and</w:t>
      </w:r>
    </w:p>
    <w:p>
      <w:pPr>
        <w:spacing w:after="0" w:line="399" w:lineRule="exact"/>
        <w:rPr>
          <w:rFonts w:ascii="Times New Roman" w:cs="Times New Roman" w:eastAsia="Times New Roman" w:hAnsi="Times New Roman"/>
          <w:sz w:val="18"/>
          <w:szCs w:val="18"/>
          <w:color w:val="auto"/>
        </w:rPr>
      </w:pPr>
    </w:p>
    <w:p>
      <w:pPr>
        <w:jc w:val="both"/>
        <w:ind w:firstLine="656"/>
        <w:spacing w:after="0" w:line="254" w:lineRule="auto"/>
        <w:tabs>
          <w:tab w:leader="none" w:pos="90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Sixteen with respect to the Securities, to the payment in full, without diminution or modification by such plan, of all Senior Indebtedness), to which the Holders would be entitled except for the provisions of this Article Sixteen, shall be paid by the liquidating trustee or agent or other person making such a payment or distribution, directly to the holders of Senior Indebtedness) (or their representative(s) or trustee(s) acting on their behalf), ratably according to the aggregate amounts remaining unpaid on account of the principal of or interest on and other amounts due on the Senior Indebtedness held or represented by each, to the extent necessary to make payment in full of all Senior Indebtedness remaining unpaid, after giving effect to any concurrent payment or distribution to the holders of such Senior Indebtedness.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notwithstanding the foregoing provisions of this Section 1602, the Trustee or the Holder of any Security shall have received any payment or distribution of assets of the Company of any kind or character, whether in cash, property or securities (other than Capital Stock or securities of the Company as reorganized or readjusted, or securities of the Company or any other corporation provided for by a plan of reorganization or readjustment, the payment of which is subordinate, at least to the extent provided in this Article with respect to the Securities, to the payment in full, without diminution or modification by such plan, of Senior Indebtedness), before all Senior Indebtedness is paid in full or payment thereof provided for in cash or cash equivalents or otherwise in a manner satisfactory to the holders of Senior Indebtedness, such payment or distribution shall be held in trust for the benefit of, and be paid over to, the holders of the Senior Indebtedness remaining unpaid (or their representative(s) or trustee(s) acting on their behalf), ratably as aforesaid, for application to the payment of such Senior Indebtedness until such Senior Indebtedness shall have been paid in full, after giving effect to any concurrent payment or distribution to the holders of such Senior Indebtedness.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consolidation of the Company with, or the merger of the Company into, another Person or the liquidation or dissolution of the Company following the conveyance or transfer of all or substantially all of its properties and assets as an entirety to another Person upon the terms and conditions set forth in Article Eight shall not be deemed a Proceeding for the purposes of this Section 1602 if the Person formed by such consolidation or into which the Company is merged or the Person which acquires by conveyance or transfer such properties and assets as an entirety, as the case may be, shall, as a part of such consolidation, merger, conveyance or transfer, comply with the conditions set forth in Article Eight.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1603. </w:t>
      </w:r>
      <w:r>
        <w:rPr>
          <w:rFonts w:ascii="Times New Roman" w:cs="Times New Roman" w:eastAsia="Times New Roman" w:hAnsi="Times New Roman"/>
          <w:sz w:val="18"/>
          <w:szCs w:val="18"/>
          <w:u w:val="single" w:color="auto"/>
          <w:color w:val="auto"/>
        </w:rPr>
        <w:t>No Payment When Senior Indebtedness in Default</w:t>
      </w:r>
      <w:r>
        <w:rPr>
          <w:rFonts w:ascii="Times New Roman" w:cs="Times New Roman" w:eastAsia="Times New Roman" w:hAnsi="Times New Roman"/>
          <w:sz w:val="18"/>
          <w:szCs w:val="18"/>
          <w:color w:val="auto"/>
        </w:rPr>
        <w:t>. Anything in this Indenture to the contrary notwithstanding, no payment on account of principal of or redemption of, interest on or other amounts due on the Securities, and no redemption, purchase, or other acquisition of the Securities, shall be made by or on behalf of the Company (i) unless full payment of amounts then due for principal and interest and of all other obligations then due on all Senior Indebtedness has been made or duly provided for pursuant to the terms of the instrument governing such Senior Indebtedness, (ii) if, at the time of such payment, redemption, purchase or other acquisition, or immediately after giving effect thereto, there shall exist under any Senior Indebtedness, or any agreement pursuant to which any Senior Indebtedness is issued, any default, which default shall not have been cured or waived and which default shall have resulted in the full amount of such Senior Indebtedness being declared due and payable or (iii) if, at the time of such payment, redemption, purchase or other acquisition, the Trustee shall have received written notice from the holder or holders of any Senior Indebtedness or their representative or representatives (a “Payment Blockage Notice”) that there exists under such Senior Indebtedness, or any agreement pursuant to which such Senior Indebtedness is issued, any default, which default shall not have been cured or waived, permitting the holders thereof to declare the full amount of such Senior Indebtedness due and payable, but only for the period (the “Payment Blockage Period”) commencing on the date of receipt of the Payment Blockage Notice and ending (unless earlier terminated by notice given to the Trustee by the Holders of such Senior Indebtedness) on the earlier of (A) the date on which such event of default shall have been cured or waived or (B) 180 days from the receipt of the Payment Blockage Notice. Upon termination of a Payment Blockage Period, payments on account of principal of or interest on the Securities and redemptions, purchases or other acquisitions may be made by or on behalf of the Company. Notwithstanding anything herein to the contrary, (A) only one Payment Blockage Notice may be given during any period of 360 consecutive days with respect to the same event of default and any other events of default on the same issue of Senior Indebtedness existing and known to the person giving such notice at the time of such notice and (B) no new Payment Blockage Period may be commenced by the holder or holders of the same issue of Senior Indebtedness or their representative or representatives during any period of 360 consecutive days unless all events of default which were the object of the immediately preceding Payment Blockage Notice, and any other event of default on the same issue of Senior Indebtedness existing and known to the person giving such notice at the time of such notice, have been cured or waived.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notwithstanding the provisions of this Section 1603, payments are made by or on behalf of the Company in contravention of the provisions of this Section 1603, such payments shall be held by the Trustee, any Paying Agent or the Holders, as applicable, in trust for the benefit of, and shall be paid over to and delivered to, the holders of Senior Indebtedness or their representative or the trustee under the indenture or other agreement (if any), pursuant to which any instruments evidencing any Senior Indebtedness may have been issued, as their respective interests may appear, for application to the payment of all Senior Indebtedness remaining unpaid to the extent necessary to pay all Senior Indebtedness in full in accordance with the terms of such Senior Indebtedness, after giving effect to any concurrent payment or distribution to or for the holders of Senior Indebtedness.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shall not apply to any payment with respect to which Section 1602 would be applicable.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1604. </w:t>
      </w:r>
      <w:r>
        <w:rPr>
          <w:rFonts w:ascii="Times New Roman" w:cs="Times New Roman" w:eastAsia="Times New Roman" w:hAnsi="Times New Roman"/>
          <w:sz w:val="18"/>
          <w:szCs w:val="18"/>
          <w:u w:val="single" w:color="auto"/>
          <w:color w:val="auto"/>
        </w:rPr>
        <w:t>Reliance by Senior Indebtedness on Subordination Provisions</w:t>
      </w:r>
      <w:r>
        <w:rPr>
          <w:rFonts w:ascii="Times New Roman" w:cs="Times New Roman" w:eastAsia="Times New Roman" w:hAnsi="Times New Roman"/>
          <w:sz w:val="18"/>
          <w:szCs w:val="18"/>
          <w:color w:val="auto"/>
        </w:rPr>
        <w:t>. Each Holder of any Security by his acceptance thereof acknowledges and agrees that the foregoing subordination provisions are, and are intended to be, an inducement and a consideration for each holder of any Senior Indebtedness, whether such Senior Indebtedness was created or acquired before or after the issuance of the Securities, to acquire and continue to hold, or to continue to hold, such Senior Indebtedness, and such holder of Senior Indebtedness shall be deemed conclusively to have relied on such subordination provisions in acquiring and continuing to hold or in continuing to hold such Senior Indebtedness.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1605. </w:t>
      </w:r>
      <w:r>
        <w:rPr>
          <w:rFonts w:ascii="Times New Roman" w:cs="Times New Roman" w:eastAsia="Times New Roman" w:hAnsi="Times New Roman"/>
          <w:sz w:val="18"/>
          <w:szCs w:val="18"/>
          <w:u w:val="single" w:color="auto"/>
          <w:color w:val="auto"/>
        </w:rPr>
        <w:t>Subro</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ation to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 of Holders of Senior Indebtedness</w:t>
      </w:r>
      <w:r>
        <w:rPr>
          <w:rFonts w:ascii="Times New Roman" w:cs="Times New Roman" w:eastAsia="Times New Roman" w:hAnsi="Times New Roman"/>
          <w:sz w:val="18"/>
          <w:szCs w:val="18"/>
          <w:color w:val="auto"/>
        </w:rPr>
        <w:t>. Subject to the payment in full of all Obligations due or to become due on or in respect of Senior Indebtedness, or the provision for such payment in cash or cash equivalents or otherwise in a manner satisfactory to the holders of Senior Indebtedness, the Holders of the Securities shall be subrogated to the extent of the payments or distributions made to the holders of such Senior Indebtedness pursuant to the provisions of this Article Sixteen to the rights of the holders of such Senior Indebtedness to receive payments and distributions of cash, property and securities applicable to the Senior Indebtedness until the principal of and premium, if any, and interest on the Securities shall be paid in full. For purposes of such subrogation, no payments or distributions to the holders of the Senior Indebtedness of any cash, property or securities to which the Holders of the Securities or the Trustee would be entitled except for the provisions of this Article Sixteen, and no payments over pursuant to the provisions of this Article Sixteen to the holders of Senior Indebtedness by Holders of the Securities or the Trustee, shall, as among the Company, its creditors other than holders of Senior Indebtedness and the Holders of the Securities, be deemed to be a payment or distribution by the Company to or on account of the Senior Indebtedness.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1606. </w:t>
      </w:r>
      <w:r>
        <w:rPr>
          <w:rFonts w:ascii="Times New Roman" w:cs="Times New Roman" w:eastAsia="Times New Roman" w:hAnsi="Times New Roman"/>
          <w:sz w:val="18"/>
          <w:szCs w:val="18"/>
          <w:u w:val="single" w:color="auto"/>
          <w:color w:val="auto"/>
        </w:rPr>
        <w:t>Provisions Solely to Define Relative Rights.</w:t>
      </w:r>
      <w:r>
        <w:rPr>
          <w:rFonts w:ascii="Times New Roman" w:cs="Times New Roman" w:eastAsia="Times New Roman" w:hAnsi="Times New Roman"/>
          <w:sz w:val="18"/>
          <w:szCs w:val="18"/>
          <w:color w:val="auto"/>
        </w:rPr>
        <w:t xml:space="preserve"> The provisions of this Article Sixteen are and are intended solely for the purpose of defining the relative rights of the Holders of the Securities on the one hand and the holders of Senior Indebtedness on the other hand. Nothing contained in this Article or elsewhere in this Indenture or in the Securities is intended to or shall (a) impair, as among the Company, its creditors other than holders of Senior Indebtedness and the Holders of the Securities, the obligation of the Company, which is absolute and unconditional (and which, subject to the rights under this Article Sixteen of the holders of Senior Indebtedness, is intended to rank equally with all other general obligations of the Company), to pay to the Holders of the Securities the principal of and premium, if any, and interest on the Securities as and when the same shall become due and payable in accordance with their terms; or (b) affect the relative rights against the Company of the Holders of the Securities and creditors of the Company other than the holders of Senior Indebtedness; or (c) prevent the Trustee or the Holder of any Security from exercising all remedies otherwise permitted by applicable law upon default under this Indenture, subject to the rights, if any, under this Article of the holders of Senior Indebtedness to receive cash, property and securities otherwise payable or deliverable to the Trustee or such Holder.</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1607. </w:t>
      </w:r>
      <w:r>
        <w:rPr>
          <w:rFonts w:ascii="Times New Roman" w:cs="Times New Roman" w:eastAsia="Times New Roman" w:hAnsi="Times New Roman"/>
          <w:sz w:val="18"/>
          <w:szCs w:val="18"/>
          <w:u w:val="single" w:color="auto"/>
          <w:color w:val="auto"/>
        </w:rPr>
        <w:t>Trustee to Effectuate Subordination</w:t>
      </w:r>
      <w:r>
        <w:rPr>
          <w:rFonts w:ascii="Times New Roman" w:cs="Times New Roman" w:eastAsia="Times New Roman" w:hAnsi="Times New Roman"/>
          <w:sz w:val="18"/>
          <w:szCs w:val="18"/>
          <w:color w:val="auto"/>
        </w:rPr>
        <w:t>. Each Holder of a Security by his acceptance thereof authorizes and directs the Trustee on his behalf to take such action as may be necessary or appropriate to effectuate, as between the Holders of the Securities and the holders of Senior Indebtedness, the subordination provided in this Article Sixteen and appoints the Trustee his attorney-in-fact for any and all such purposes, including, in the event of any dissolution, winding up or liquidation or reorganization under any applicable bankruptcy law of the Company (whether in bankruptcy, insolvency or receivership Proceedings or otherwise), the timely filing of a claim for the unpaid balance of such Holder’s Securities in the form required in such Proceedings and the causing of such claim to be approved. If the Trustee does not file a claim or proof of debt in the form required in such Proceedings prior to 30 days before the expiration of the time to file such claims or proofs, then the holders of Senior Indebtedness, jointly, or their representatives shall have the right to file an appropriate claim for and on behalf of the Holders and to demand, sue for, collect, receive and receipt for the payments and distributions in respect of the Securities which are required to be paid or delivered to the holders of Senior Indebtedness as provided in this Article Sixteen and to take all such other action in the name of the Holders or otherwise, as such holder of Senior Indebtedness or representative thereof may determine to be necessary or appropriate for the enforcement of the provisions of this Article Sixteen.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1608. </w:t>
      </w:r>
      <w:r>
        <w:rPr>
          <w:rFonts w:ascii="Times New Roman" w:cs="Times New Roman" w:eastAsia="Times New Roman" w:hAnsi="Times New Roman"/>
          <w:sz w:val="18"/>
          <w:szCs w:val="18"/>
          <w:u w:val="single" w:color="auto"/>
          <w:color w:val="auto"/>
        </w:rPr>
        <w:t>No Waiver of Subordination Provisions</w:t>
      </w:r>
      <w:r>
        <w:rPr>
          <w:rFonts w:ascii="Times New Roman" w:cs="Times New Roman" w:eastAsia="Times New Roman" w:hAnsi="Times New Roman"/>
          <w:sz w:val="18"/>
          <w:szCs w:val="18"/>
          <w:color w:val="auto"/>
        </w:rPr>
        <w:t>.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any representative or trustee therefor, or by any non-compliance by the Company with the terms, provisions and covenants of this Indenture, regardless of any knowledge thereof any such holder may have or be otherwise charged with.</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Without in any way limiting the generality of the foregoing paragraph, the holders of Senior Indebtedness may, at any time from time to time, without the consent of or notice to the Trustee or the Holders of the Securities, without incurring responsibility to the Holders of the Securities and without impairing or releasing the subordination provided in this Article Sixteen or the obligations hereunder of the Holders of the Securities to the holders of Senior Indebtedness, do any one or more of the following: (i) 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collection of Senior Indebtedness and settle or compromise Senior Indebtedness (which, to the extent so settled and compromised, shall be deemed to have been paid in full for all purposes hereof); (iv) apply any amounts received to any liability of the Company owing to holders of Senior Indebtedness; and (v) exercise or refrain from exercising any rights against the Company and any other Person.</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1609.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 xml:space="preserve">. The Company shall give prompt written notice to the Trustee of any default or event of default with respect to any Senior Indebtedness or of any fact known to the Company, which would prohibit the making of any payment to or by the Trustee in respect of the Securities pursuant to the provisions of this Article Sixteen. Notwithstanding the provisions of this Article Sixteen or any other provision of this Indenture, the Trustee shall not be charged with knowledge of the existence of any facts which would prohibit the making of any payment to or by the Trustee in respect of the Securities, unless and until the Trustee shall have received written notice thereof from the Company or a holder of Senior Indebtedness or from any representative or trustee acting on their behalf; and, prior to the receipt of any such written notice, the Trustee, subject to the provisions of Section 612, shall be entitled in all respects to assume that no such facts exist;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Trustee shall not have received the notice provided for in this Section at least three Business Days prior to the date upon which by the terms hereof any money may become payable for any purpose (including, without limitation, the payment of the principal of and premium, if any, or interest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three Business Days prior to such date. Nothing contained in this Article Sixteen or any other Article of this Indenture or in any of the Securities shall prevent (a) the Company, at any time except during the pendency of any Proceeding, or under the conditions described in Section 1603, from making payments at any time in respect of the Securities, or (b) the application by the Trustee of any money deposited with it hereunder to the payment of or on account of the Securities, or the retention thereof by any Holder, if the Trustee did not have notice, as provided in this Section 1609, that such payment would have been prohibited by the provisions of this Article Sixteen.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provisions of Section 612, the Trustee shall be entitled to rely on the delivery to it of a written notice by a Person representing himself to be a holder of Senior Indebtedness (or a representative or trustee therefor) to establish that such notice has been given by a holder of Senior Indebtedness (or a trustee therefor).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1610. </w:t>
      </w:r>
      <w:r>
        <w:rPr>
          <w:rFonts w:ascii="Times New Roman" w:cs="Times New Roman" w:eastAsia="Times New Roman" w:hAnsi="Times New Roman"/>
          <w:sz w:val="18"/>
          <w:szCs w:val="18"/>
          <w:u w:val="single" w:color="auto"/>
          <w:color w:val="auto"/>
        </w:rPr>
        <w:t>Reliance on Judicial Order or Certificate of Liquidatin</w:t>
      </w:r>
      <w:r>
        <w:rPr>
          <w:rFonts w:ascii="Times New Roman" w:cs="Times New Roman" w:eastAsia="Times New Roman" w:hAnsi="Times New Roman"/>
          <w:sz w:val="18"/>
          <w:szCs w:val="18"/>
          <w:color w:val="auto"/>
        </w:rPr>
        <w:t>g Agent. Upon any payment or distribution of assets of the Company referred to in this Article Sixteen, the Trustee, subject to the provisions of Section 612, and the Holders of the Securities shall be entitled to rely upon any order or decree entered by any court of competent jurisdiction in which any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Senior Indebtedness and other indebtedness of the Company, the amount thereof or payable thereon, the amount or amounts paid or distributed thereon and all other facts pertinent thereto or to this Article.</w:t>
      </w:r>
    </w:p>
    <w:p>
      <w:pPr>
        <w:spacing w:after="0" w:line="18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1611. </w:t>
      </w:r>
      <w:r>
        <w:rPr>
          <w:rFonts w:ascii="Times New Roman" w:cs="Times New Roman" w:eastAsia="Times New Roman" w:hAnsi="Times New Roman"/>
          <w:sz w:val="18"/>
          <w:szCs w:val="18"/>
          <w:u w:val="single" w:color="auto"/>
          <w:color w:val="auto"/>
        </w:rPr>
        <w:t>Trustee Not Fiduciary for Holders of Senior Indebtedness</w:t>
      </w:r>
      <w:r>
        <w:rPr>
          <w:rFonts w:ascii="Times New Roman" w:cs="Times New Roman" w:eastAsia="Times New Roman" w:hAnsi="Times New Roman"/>
          <w:sz w:val="18"/>
          <w:szCs w:val="18"/>
          <w:color w:val="auto"/>
        </w:rPr>
        <w:t>. The Trustee shall not be deemed to owe any fiduciary duty to the holders of Senior Indebtedness. Nothing contained in this Article Sixteen or elsewhere in this Indenture, or in any of the Securities, shall prevent the application by the Trustee of any moneys which were deposited with it hereunder, prior to its receipt of written notice of facts which would prohibit such application, for the purpose of the payment of or on account of the principal of or interest on, the Securities unless, prior to the date on which such application is made by the Trustee, the Trustee shall be charged with notice under Section 1609 hereof of the facts which would prohibit the making of such application.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1612. Ri</w:t>
      </w:r>
      <w:r>
        <w:rPr>
          <w:rFonts w:ascii="Times New Roman" w:cs="Times New Roman" w:eastAsia="Times New Roman" w:hAnsi="Times New Roman"/>
          <w:sz w:val="18"/>
          <w:szCs w:val="18"/>
          <w:u w:val="single" w:color="auto"/>
          <w:color w:val="auto"/>
        </w:rPr>
        <w:t>ghts of Trustee as Holder of Senior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Preservation of Trustee’s Ri</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hts</w:t>
      </w:r>
      <w:r>
        <w:rPr>
          <w:rFonts w:ascii="Times New Roman" w:cs="Times New Roman" w:eastAsia="Times New Roman" w:hAnsi="Times New Roman"/>
          <w:sz w:val="18"/>
          <w:szCs w:val="18"/>
          <w:color w:val="auto"/>
        </w:rPr>
        <w:t>. The Trustee in its individual capacity shall be entitled to all the rights set forth in this Article Sixteen with respect to any Senior Indebtedness which may at any time be held by it, to the same extent as any other holder of Senior Indebtedness, and nothing in this Indenture shall deprive the Trustee of any of its rights as such holder. Nothing in this Article shall apply to claims of, or payments to, the Trustee under or pursuant to Section 606.</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1613. </w:t>
      </w:r>
      <w:r>
        <w:rPr>
          <w:rFonts w:ascii="Times New Roman" w:cs="Times New Roman" w:eastAsia="Times New Roman" w:hAnsi="Times New Roman"/>
          <w:sz w:val="18"/>
          <w:szCs w:val="18"/>
          <w:u w:val="single" w:color="auto"/>
          <w:color w:val="auto"/>
        </w:rPr>
        <w:t>Article Applicable to Paying Agents</w:t>
      </w:r>
      <w:r>
        <w:rPr>
          <w:rFonts w:ascii="Times New Roman" w:cs="Times New Roman" w:eastAsia="Times New Roman" w:hAnsi="Times New Roman"/>
          <w:sz w:val="18"/>
          <w:szCs w:val="18"/>
          <w:color w:val="auto"/>
        </w:rPr>
        <w:t xml:space="preserve">. In case at any time any Paying Agent other than the Trustee shall have been appointed by the Company and be then acting hereunder, the term “Trustee” as used in this Article Sixteen shall in such case (unless the context otherwise requires) be construed as extending to and including such Paying Agent within its meaning as fully for all intents and purposes as if such Paying Agent were named in this Article in addition to or in place of the Trustee;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that Section 1612 shall not apply to the Company or any Affiliate of the Company if it or such Affiliate acts as Paying Agent.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8"/>
          <w:szCs w:val="18"/>
          <w:color w:val="auto"/>
        </w:rPr>
        <w:t>ARTICLE SEVENTEEN. - CONVERSION OF SECURITIES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1701. </w:t>
      </w:r>
      <w:r>
        <w:rPr>
          <w:rFonts w:ascii="Times New Roman" w:cs="Times New Roman" w:eastAsia="Times New Roman" w:hAnsi="Times New Roman"/>
          <w:sz w:val="18"/>
          <w:szCs w:val="18"/>
          <w:u w:val="single" w:color="auto"/>
          <w:color w:val="auto"/>
        </w:rPr>
        <w:t>Applicability of 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 Privile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and Conversion Price</w:t>
      </w:r>
      <w:r>
        <w:rPr>
          <w:rFonts w:ascii="Times New Roman" w:cs="Times New Roman" w:eastAsia="Times New Roman" w:hAnsi="Times New Roman"/>
          <w:sz w:val="18"/>
          <w:szCs w:val="18"/>
          <w:color w:val="auto"/>
        </w:rPr>
        <w:t>. Securities of any series which are convertible shall be convertible in accordance with their terms and (except as otherwise specified as contemplated by Section 301 for Securities of any series) in accordance with this Article Seventeen. Subject to and upon compliance with the provisions of this Article Seventeen, at any time during the period specified in the Securities, at the option of the Holder thereof, any Security or any portion of the principal amount thereof which is $1,000 or an integral multiple of $1,000 may be converted at the principal amount thereof, or of such portion thereof, into fully paid and nonassessable shares (calculated as to each conversion to the nearest 1/100 of a share) of Common Stock of the Company, at the Conversion Price, determined as hereinafter provided, in effect at the time of conversion. In case a Security or portion thereof is called for redemption, such conversion right in respect of the Security or portion so called shall expire at the close of business on the Business Day immediately preceding the Redemption Date, unless the Company defaults in making the payment due upon redemption, in which case such conversion right shall terminate on the date such default is cured.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price at which shares of Common Stock shall be delivered upon conversion (herein called the “Conversion Price”) of Securities of any series shall be specified in such Securities. The Conversion Price shall be adjusted in certain instances as provided in Section 1704.</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In case the Company shall, by dividend or otherwise, declare or make a distribution on its Common Stock referred to in paragraph (4) of Section 1704, the Holder of each Security, upon the conversion thereof pursuant to this Article Seventeen subsequent to the close of business on the date fixed for the determination of stockholders entitled to receive such distribution and prior to the effectiveness of the Conversion Price adjustment in respect of such distribution pursuant to paragraph (4) of Section 1704, shall be entitled to receive for each share of Common Stock into which such Security is converted, the portion of the evidence of indebtedness, shares of Capital Stock or assets so distributed applicable to one share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the election of the Company (whose election shall be evidenced by a Board Resolution filed with the Trustee) with respect to all Holders so converting, the Company may, in lieu of distributing to such Holder any portion of such distribution not consisting of cash or securities of the Company, pay such Holder an amount in cash equal to the fair market value thereof (as determined in good faith by the Board of Directors, whose determination shall be conclusive and described in a Board Resolution filed with the Trustee). If any conversion of a Security entitled to the benefits described in the immediately preceding sentence occurs prior to the payment date for a distribution to holders of Common Stock which the Holder of the Security so converted is entitled to receive in accordance with the immediately preceding sentence, the Company may elect (such election to be evidenced by a Board Resolution filed with the Trustee) to distribute to such Holder a due bill for the evidences of indebtedness, shares of Capital Stock or assets to which such Holder is so entitled, provided that such due bill (i) meets any applicable requirements of the principal over-the-counter market or national securities exchange or other market on which the Common Stock is then traded, and (ii) requires payment or delivery of such evidences of indebtedness or assets no later than the date of payment or delivery thereof to holders of Common Stock receiving such distribution.</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1702. </w:t>
      </w:r>
      <w:r>
        <w:rPr>
          <w:rFonts w:ascii="Times New Roman" w:cs="Times New Roman" w:eastAsia="Times New Roman" w:hAnsi="Times New Roman"/>
          <w:sz w:val="18"/>
          <w:szCs w:val="18"/>
          <w:u w:val="single" w:color="auto"/>
          <w:color w:val="auto"/>
        </w:rPr>
        <w:t>Exercise of Conversion Privilege.</w:t>
      </w:r>
      <w:r>
        <w:rPr>
          <w:rFonts w:ascii="Times New Roman" w:cs="Times New Roman" w:eastAsia="Times New Roman" w:hAnsi="Times New Roman"/>
          <w:sz w:val="18"/>
          <w:szCs w:val="18"/>
          <w:color w:val="auto"/>
        </w:rPr>
        <w:t xml:space="preserve"> In order to exercise the conversion privilege, the Holder of any Security to be converted shall surrender such Security, duly endorsed or assigned to the Company or in blank, at any office or agency maintained by the Company pursuant to Section 1002, accompanied by written notice to the Company at such office or agency that the Holder elects to convert such Security or, if less than the entire principal amount thereof is to be converted, the portion thereof to be converted and shall comply with any additional requirements set forth in such Security. Securities surrendered for conversion during the period from the close of business on any Regular Record Date next preceding any Interest Payment Date to the opening of business on such Interest Payment Date shall (except for Securities the Maturity of which is prior to such Interest Payment Date) be accompanied by payment in funds acceptable to the Company of an amount equal to the interest payable on such Interest Payment Date on the principal amount of Securities being surrendered for conversion and such interest shall be paid on such Interest Payment Date as provided in Section 307. Except as provided in the preceding sentence, no payment or adjustment shall be made upon any conversion on account of any interest accrued on the Securities surrendered for conversion or on account of any dividends on the Common Stock issued upon conversion.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delivery to the Holder of the fixed number of shares of the Common Stock of the Company (and any cash in lieu of any fractional share of Common Stock) into which the Security is convertible shall be deemed to satisfy the Company’s obligation to pay the principal amount of the Security and all accrued interest and original issue discount that has not previously been paid. The shares of Common Stock of the Company so delivered shall be treated as issued first in payment of accrued interest and original issue discount and then in payment of principal. Thus, accrued interest and original issue discount shall be treated as paid, rather than canceled, extinguished or forfeited.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1703.</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case of any Security which is converted in part only, as promptly as practicable on or after the conversion date the Company shall execute and the Trustee shall authenticate and make available for delivery to the Holder thereof (or the Depositary in the case of a Global Security), at the expense of the Company, a new Security or Securities, of authorized denominations in aggregate principal amount equal to the unconverted portion of the principal amount of such Security.</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1703. </w:t>
      </w:r>
      <w:r>
        <w:rPr>
          <w:rFonts w:ascii="Times New Roman" w:cs="Times New Roman" w:eastAsia="Times New Roman" w:hAnsi="Times New Roman"/>
          <w:sz w:val="18"/>
          <w:szCs w:val="18"/>
          <w:u w:val="single" w:color="auto"/>
          <w:color w:val="auto"/>
        </w:rPr>
        <w:t>Fractions of Shares</w:t>
      </w:r>
      <w:r>
        <w:rPr>
          <w:rFonts w:ascii="Times New Roman" w:cs="Times New Roman" w:eastAsia="Times New Roman" w:hAnsi="Times New Roman"/>
          <w:sz w:val="18"/>
          <w:szCs w:val="18"/>
          <w:color w:val="auto"/>
        </w:rPr>
        <w:t>. No fractional shares of Common Stock shall be issued upon conversion of Securities. If more than one Security shall be surrendered for conversion at one time by the same Holder, the number of full shares of Common Stock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(rounded to the nearest cent) in respect of such fraction in an amount equal to the same fraction of the Closing Price per share of the Common Stock on the day of conversion (or, if such day is not a Trading Day, on the Trading Day immediately preceding such day).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ind w:left="660"/>
        <w:spacing w:after="0"/>
        <w:rPr>
          <w:sz w:val="20"/>
          <w:szCs w:val="20"/>
          <w:color w:val="auto"/>
        </w:rPr>
      </w:pPr>
      <w:r>
        <w:rPr>
          <w:rFonts w:ascii="Times New Roman" w:cs="Times New Roman" w:eastAsia="Times New Roman" w:hAnsi="Times New Roman"/>
          <w:sz w:val="18"/>
          <w:szCs w:val="18"/>
          <w:color w:val="auto"/>
        </w:rPr>
        <w:t xml:space="preserve">Section 1704. </w:t>
      </w:r>
      <w:r>
        <w:rPr>
          <w:rFonts w:ascii="Times New Roman" w:cs="Times New Roman" w:eastAsia="Times New Roman" w:hAnsi="Times New Roman"/>
          <w:sz w:val="18"/>
          <w:szCs w:val="18"/>
          <w:u w:val="single" w:color="auto"/>
          <w:color w:val="auto"/>
        </w:rPr>
        <w:t>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 of Conversion Price</w:t>
      </w:r>
      <w:r>
        <w:rPr>
          <w:rFonts w:ascii="Times New Roman" w:cs="Times New Roman" w:eastAsia="Times New Roman" w:hAnsi="Times New Roman"/>
          <w:sz w:val="18"/>
          <w:szCs w:val="18"/>
          <w:color w:val="auto"/>
        </w:rPr>
        <w:t>. The Conversion Price shall be subject to adjustment from time to time as follows:</w:t>
      </w:r>
    </w:p>
    <w:p>
      <w:pPr>
        <w:spacing w:after="0" w:line="225" w:lineRule="exact"/>
        <w:rPr>
          <w:sz w:val="20"/>
          <w:szCs w:val="20"/>
          <w:color w:val="auto"/>
        </w:rPr>
      </w:pPr>
    </w:p>
    <w:p>
      <w:pPr>
        <w:jc w:val="both"/>
        <w:ind w:firstLine="656"/>
        <w:spacing w:after="0" w:line="253" w:lineRule="auto"/>
        <w:tabs>
          <w:tab w:leader="none" w:pos="91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pays or makes a dividend or other distribution (a) on its Common Stock exclusively in Common Stock or (b) on any other class of Capital Stock of the Company, which dividend or distribution includes Common Stock of the Company, the Conversion Price in effect at the opening of business on the day following the date fixed for the determination of stockholders entitled to receive such dividend or other distribution (the “Dividend Record Date”) shall be reduced by multiplying such Conversion Price by a fraction of which the numerator shall be the number of shares of Common Stock of the Company outstanding at the close of business on the Dividend Record Date and the denominator shall be the sum of such number of shares and the total number of shares constituting such dividend or other distribution. Such reduction shall become effective immediately after the opening of business on the day following the date fixed for such determination. For the purposes of this paragraph (1), the number of shares of Common Stock of the Company at any time outstanding shall not include shares held in the treasury of the Company, but shall include shares issuable in respect of scrip certificates issued in lieu of fractions of shares of Common Stock. The Company shall not pay any dividend or make any distribution on shares of Common Stock held in the treasury of the Company.</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92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(6) of this Section, if the Company pays or makes a dividend or other distribution on its Common Stock consisting exclusively of Short Term Rights (as defined below), or otherwise issues Short Term Rights to all holders of its Common Stock, the Conversion Price in effect at the opening of business on the day following the record date for the determination of holders of Common Stock entitled to receive such Short Term Rights (the “Rights Record Date”) shall be reduced by multiplying such Conversion Price by a fraction of which the numerator shall be the number of shares of Common Stock of the Company outstanding at the close of business on the Rights Record Date plus the number of shares of Common Stock of the Company which the aggregate of the offering price of the total number of shares of Common Stock so offered for subscription or purchase would purchase at such current market price and the denominator shall be the number of shares of Common Stock of the Company outstanding at the close of business on the Rights Record Date plus the number of shares of Common Stock so offered for subscription or purchase. Such reduction shall become effective immediately after the opening of business on the day following the Rights Record Date. For the purposes of this paragraph (2), the number of shares of Common Stock of the Company at any time outstanding shall not include shares held in the treasury of the Company, but shall include shares issuable in respect of scrip certificates issued in lieu of fractions of shares of Common Stock of the Company. The Company shall not issue any rights, options or warrants in respect of shares of its Common Stock held in the treasury of the Company. When used in this Section 1704, the term “Short Term Rights” shall mean rights, warrants or options entitling the holders thereof (for a period commencing no earlier than the Rights Record Date and expiring not more than 45 days after the Rights Record Date) to subscribe for or purchase shares of Common Stock of the Company at a price per share less than the current market price per share (determined as provided in paragraph (7) of this Section 1704) of the Common Stock of the Company on the Rights Record Date.</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92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outstanding shares of Common Stock of the Company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of the Company shall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both"/>
        <w:ind w:firstLine="656"/>
        <w:spacing w:after="0" w:line="252" w:lineRule="auto"/>
        <w:tabs>
          <w:tab w:leader="none" w:pos="91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sentence of this paragraph (4) of this Section, if the Company, by dividend or otherwise, (a) distributes to all holders of its Common Stock evidences of its indebtedness, shares of any class of Capital Stock of the Company or other assets (other than cash dividends out of current or retained earnings), or (b) distributes to substantially all holders of Common Stock rights or warrants to subscribe for securities (other than Short Term Rights to which paragraph(2) of this Section 1704 applies), the Conversion Price shall be reduced by multiplying such Conversion Price by a fraction of which the numerator shall be the current market price per share (determined as provided in paragraph (7) of this Section 1704) of the Common Stock of the Company on the Reference Date (as defined below) less the fair market value (as determined in good faith by the Board of Directors, whose determination shall be conclusive and described in a Board Resolution filed with the Trustee), on the Reference Date, of the portion of the evidences of indebtedness and other assets so distributed or of such subscription rights or warrants applicable to one share of Common Stock (collectively, the “Market Value of the Distribution”) and the denominator shall be such current market price per share of the Common Stock of the Company. Such reduction shall become effective immediately prior to the opening of business on the day (the “Reference Date”) following the later of (a) the date fixed for the payment of such distribution and (b) the date 20 days after notice relating to such distribution is required to be given pursuant to Section 1706(a). If the Board of Directors determines the fair market value of any distribution for purposes of this paragraph (4) by reference to the actual or when issued trading market for any securities comprising such distribution, it must in doing so consider the prices in such market over the same period used in computing the current market price per share pursuant to paragraph (7) of this Section 1704. In the event that, with respect to any distribution to which this paragraph (4) of Section 1704 would otherwise apply, the Market Value of the Distribution is greater than the current market price per share of the Common Stock (such distribution being referred to herein as an “Unadjusted Distribution”), then the adjustment provided by this paragraph (4) shall not be made and in lieu thereof the provisions of Section 1711 shall apply with respect to such Unadjusted Distribution.</w:t>
      </w:r>
    </w:p>
    <w:p>
      <w:pPr>
        <w:spacing w:after="0" w:line="19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but shall not be required to, make such reductions in the Conversion Price, in addition to those required by paragraphs (1),</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(3), and (4) of this Section 1704, as it considers to be advisable in order that any event treated for federal income tax purposes as a dividend of stock or stock rights shall not be taxable to the recipients. In addition, the Company, from time to time, may decrease the Conversion Price by any amount and for any reason, temporarily or otherwise, including situations where the Board of Directors determines such decrease to be fair and appropriate with respect to transactions in which holders of Common Stock have the right to participate.</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9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or warrants issued or distributed by the Company to all holders of its Common Stock entitling the holders thereof to subscribe for or purchase shares of Common Stock or Preferred Stock, which rights or warrants (i) are deemed to be transferred with such shares of Common Stock, (ii) are not exercisable and (iii) are also issued or distributed in respect of future issuances of Common Stock, in each case in clauses (i) through (iii) until the occurrence of a specified event or events (“Trigger Events”), shall for purposes of this Section 1704 not be deemed issued or distributed until the occurrence of the earliest Trigger Event. Each share of Common Stock issued upon conversion of Securities pursuant to this Article Seventeen shall be entitled to receive the appropriate number of Common Stock purchase rights (the “Rights”), if any, and the certificates representing the Common Stock issued upon conversion shall bear such legends, if any. Notwithstanding anything to the contrary in this Article Seventeen, there shall not be any adjustment to the Conversion Price as a result of (i) the distribution of separate certificates representing the Rights; (ii) the occurrence of certain events entitling holders of Rights to receive, upon exercise thereof, Common Stock or other securities of the Company or other securities of another corporation; or (iii) the exercise of such Rights. No adjustment in the Conversion Price need be made for rights to purchase or the sale of Common Stock pursuant to a Company plan providing for reinvestment of dividends or interest.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both"/>
        <w:ind w:firstLine="656"/>
        <w:spacing w:after="0" w:line="266" w:lineRule="auto"/>
        <w:tabs>
          <w:tab w:leader="none" w:pos="903"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any computation under paragraph (2), (4) or (5) of this Section 1704, the “current market price” per share of Common Stock of the Company on any date shall be deemed to be the average of the daily Closing Prices for the 15 consecutive Trading Days selected by the Company commencing not more than 30 Trading Days before, and ending not later than, the date in question.</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7"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adjustment in the Conversion Price shall be required unless such adjustment would require an increase or decrease of at least 1% in the Conversion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adjustments, which by reason of this paragraph (8) are not required to be made, shall be carried forward and taken into account in any subsequent adjustment. All calculations under this Article Seventeen shall be made to the nearest cent or to the nearest one-hundredth of a share of Common Stock, as the case may be.</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11"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in the event the Company shall declare any dividend or distribution requiring an adjustment in the Conversion Price hereunder and shall, thereafter and before the payment of such dividend or distribution to stockholders, legally abandon its plan to pay such dividend or distribution, the Conversion Price then in effect hereunder, if changed to reflect such dividend or distribution, shall upon the legal abandonment of such plan be changed to the Conversion Price which would have been in effect at the time of such abandonment (after giving effect to all other adjustments not so legally abandoned pursuant to the provisions of this Article Seventeen) had such dividend or distribution never been declared.</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95"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1704, no adjustment to the Conversion Price shall reduce the Conversion Price below the then par value per share of the Common Stock of the Company, and any such purported adjustment shall instead reduce the Conversion Price to such par value. Notwithstanding the foregoing sentence, the Company hereby covenants that it will from time to time take all such action as may be required to assure that the par value per share of the Common Stock is at all times equal to or less than the Conversion Price.</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991"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this Article Seventeen requires adjustments to the Conversion Price under more than one of paragraphs (1), (2), (3) or (4) of this Section 1704, and the record or effective dates for the transaction giving rise to such adjustments shall occur on the same date, then such adjustments shall be made by applying (to the extent they are applicable), first, the provisions of paragraph (3) of this Section 1704, second, the provisions of paragraph</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7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1704, third, the provisions of paragraph (4) of this Section 1704 and, fourth, the provisions of paragraph (2) of this Section 1704. Anything herein to the contrary notwithstanding, no single event shall require or result in duplicative adjustments in the Conversion Price pursuant to this Section 1704. After an adjustment to the Conversion Price under this Article Seventeen, any subsequent event requiring an adjustment under this Article Seventeen shall cause an adjustment to the Conversion Price as so adjusted. If, after an adjustment, a Holder of a Security upon conversion of such Security receives shares of two or more classes of Capital Stock of the Company, the Conversion Price shall thereafter be subject to adjustment upon the occurrence of an action taken with respect to any such class of Capital Stock as is contemplated by this Article Seventeen with respect to the Common Stock in this Article Seventeen.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ind w:left="660"/>
        <w:spacing w:after="0"/>
        <w:rPr>
          <w:sz w:val="20"/>
          <w:szCs w:val="20"/>
          <w:color w:val="auto"/>
        </w:rPr>
      </w:pPr>
      <w:r>
        <w:rPr>
          <w:rFonts w:ascii="Times New Roman" w:cs="Times New Roman" w:eastAsia="Times New Roman" w:hAnsi="Times New Roman"/>
          <w:sz w:val="18"/>
          <w:szCs w:val="18"/>
          <w:color w:val="auto"/>
        </w:rPr>
        <w:t xml:space="preserve">Section 1705. </w:t>
      </w:r>
      <w:r>
        <w:rPr>
          <w:rFonts w:ascii="Times New Roman" w:cs="Times New Roman" w:eastAsia="Times New Roman" w:hAnsi="Times New Roman"/>
          <w:sz w:val="18"/>
          <w:szCs w:val="18"/>
          <w:u w:val="single" w:color="auto"/>
          <w:color w:val="auto"/>
        </w:rPr>
        <w:t>Notice of 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 of Conversion Price</w:t>
      </w:r>
      <w:r>
        <w:rPr>
          <w:rFonts w:ascii="Times New Roman" w:cs="Times New Roman" w:eastAsia="Times New Roman" w:hAnsi="Times New Roman"/>
          <w:sz w:val="18"/>
          <w:szCs w:val="18"/>
          <w:color w:val="auto"/>
        </w:rPr>
        <w:t>. Whenever the Conversion Price is adjusted as herein provided:</w:t>
      </w:r>
    </w:p>
    <w:p>
      <w:pPr>
        <w:spacing w:after="0" w:line="225" w:lineRule="exact"/>
        <w:rPr>
          <w:sz w:val="20"/>
          <w:szCs w:val="20"/>
          <w:color w:val="auto"/>
        </w:rPr>
      </w:pPr>
    </w:p>
    <w:p>
      <w:pPr>
        <w:jc w:val="both"/>
        <w:ind w:firstLine="656"/>
        <w:spacing w:after="0" w:line="261" w:lineRule="auto"/>
        <w:tabs>
          <w:tab w:leader="none" w:pos="92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compute the adjusted Conversion Price in accordance with Section 1704 or Section 1711 and shall prepare an Officer’s Certificate setting forth the adjusted Conversion Price and showing in reasonable detail the facts upon which such adjustment is based, and such certificate shall forthwith be filed (with a copy to the Trustee) at each office or agency maintained for the purpose of conversion of any Securities pursuant to Section 1002; and</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1706. </w:t>
      </w:r>
      <w:r>
        <w:rPr>
          <w:rFonts w:ascii="Times New Roman" w:cs="Times New Roman" w:eastAsia="Times New Roman" w:hAnsi="Times New Roman"/>
          <w:sz w:val="18"/>
          <w:szCs w:val="18"/>
          <w:u w:val="single" w:color="auto"/>
          <w:color w:val="auto"/>
        </w:rPr>
        <w:t>Notice of Certain Corporate Action. In case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20" w:hanging="264"/>
        <w:spacing w:after="0"/>
        <w:tabs>
          <w:tab w:leader="none" w:pos="92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any action that would require a Conversion Price adjustment pursuant to Section 1704 or Section 1711; or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occur any reclassification of the Common Stock of the Company (other than a subdivision or combination of its outstanding shares of Common Stock), or any consolidation or merger to which the Company is a party, or the sale, transfer or lease of all or substantially all of the assets of the Company and for which approval of any stockholders of the Company is required; or</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occur the voluntary or involuntary dissolution, liquidation or winding up of the Company, then the Company shall cause to be filed at each office or agency maintained for the purpose of conversion of Securities pursuant to Section 1002, and shall cause to be mailed to all Holders at their last addresses as they shall appear in the Security Register, at least 10 days prior to the applicable record, effective or expiration date hereinafter specified, a notice stating (x) the date on which a record is to be taken for the purpose of any dividend, distribution or granting of rights, warrants or options,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 or winding up is expected to become effective, and, if applicable,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1707. </w:t>
      </w:r>
      <w:r>
        <w:rPr>
          <w:rFonts w:ascii="Times New Roman" w:cs="Times New Roman" w:eastAsia="Times New Roman" w:hAnsi="Times New Roman"/>
          <w:sz w:val="18"/>
          <w:szCs w:val="18"/>
          <w:u w:val="single" w:color="auto"/>
          <w:color w:val="auto"/>
        </w:rPr>
        <w:t>Company to Reserve Common Stock</w:t>
      </w:r>
      <w:r>
        <w:rPr>
          <w:rFonts w:ascii="Times New Roman" w:cs="Times New Roman" w:eastAsia="Times New Roman" w:hAnsi="Times New Roman"/>
          <w:sz w:val="18"/>
          <w:szCs w:val="18"/>
          <w:color w:val="auto"/>
        </w:rPr>
        <w:t>. The Company shall at all times reserve and keep available, free from preemptive rights, out of its authorized but unissued Common Stock, for the purpose of effecting the conversion of Securities, a number of shares of Common Stock for the conversion of all outstanding Securities of any series which is convertible into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0" w:name="page231"/>
    <w:bookmarkEnd w:id="2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1708. </w:t>
      </w:r>
      <w:r>
        <w:rPr>
          <w:rFonts w:ascii="Times New Roman" w:cs="Times New Roman" w:eastAsia="Times New Roman" w:hAnsi="Times New Roman"/>
          <w:sz w:val="18"/>
          <w:szCs w:val="18"/>
          <w:u w:val="single" w:color="auto"/>
          <w:color w:val="auto"/>
        </w:rPr>
        <w:t>Taxes on Conversion</w:t>
      </w:r>
      <w:r>
        <w:rPr>
          <w:rFonts w:ascii="Times New Roman" w:cs="Times New Roman" w:eastAsia="Times New Roman" w:hAnsi="Times New Roman"/>
          <w:sz w:val="18"/>
          <w:szCs w:val="18"/>
          <w:color w:val="auto"/>
        </w:rPr>
        <w:t>. 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1709. </w:t>
      </w:r>
      <w:r>
        <w:rPr>
          <w:rFonts w:ascii="Times New Roman" w:cs="Times New Roman" w:eastAsia="Times New Roman" w:hAnsi="Times New Roman"/>
          <w:sz w:val="18"/>
          <w:szCs w:val="18"/>
          <w:u w:val="single" w:color="auto"/>
          <w:color w:val="auto"/>
        </w:rPr>
        <w:t>Covenants as to Common Stock</w:t>
      </w:r>
      <w:r>
        <w:rPr>
          <w:rFonts w:ascii="Times New Roman" w:cs="Times New Roman" w:eastAsia="Times New Roman" w:hAnsi="Times New Roman"/>
          <w:sz w:val="18"/>
          <w:szCs w:val="18"/>
          <w:color w:val="auto"/>
        </w:rPr>
        <w:t>. The Company covenants that all shares of Common Stock, which may be issued upon conversion of Securities, will upon issue be duly and validly issued, fully paid and nonassessable, free of preemptive or any similar rights, and, except as provided in Section 1708, the Company will pay all taxes, liens and charges with respect to the issue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endeavor promptly to comply with all Federal and state securities laws regulating the offer and delivery of shares of Common Stock upon conversion of Securities, if any, and will list or cause to have quoted such shares of Common Stock on each national securities exchange or in the over-the-counter market or such other market on which the Common Stock is then listed or quoted.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1710. </w:t>
      </w:r>
      <w:r>
        <w:rPr>
          <w:rFonts w:ascii="Times New Roman" w:cs="Times New Roman" w:eastAsia="Times New Roman" w:hAnsi="Times New Roman"/>
          <w:sz w:val="18"/>
          <w:szCs w:val="18"/>
          <w:u w:val="single" w:color="auto"/>
          <w:color w:val="auto"/>
        </w:rPr>
        <w:t>Cancellation of Converted Securities</w:t>
      </w:r>
      <w:r>
        <w:rPr>
          <w:rFonts w:ascii="Times New Roman" w:cs="Times New Roman" w:eastAsia="Times New Roman" w:hAnsi="Times New Roman"/>
          <w:sz w:val="18"/>
          <w:szCs w:val="18"/>
          <w:color w:val="auto"/>
        </w:rPr>
        <w:t>. All Securities delivered for conversion shall be delivered to the Trustee to be cancelled by or at the direction of the Trustee, which shall dispose of the same as provided in Section 309.</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1711. </w:t>
      </w:r>
      <w:r>
        <w:rPr>
          <w:rFonts w:ascii="Times New Roman" w:cs="Times New Roman" w:eastAsia="Times New Roman" w:hAnsi="Times New Roman"/>
          <w:sz w:val="18"/>
          <w:szCs w:val="18"/>
          <w:u w:val="single" w:color="auto"/>
          <w:color w:val="auto"/>
        </w:rPr>
        <w:t>Provisions in Case of Consolidation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 or Sale of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Special Distributions</w:t>
      </w:r>
      <w:r>
        <w:rPr>
          <w:rFonts w:ascii="Times New Roman" w:cs="Times New Roman" w:eastAsia="Times New Roman" w:hAnsi="Times New Roman"/>
          <w:sz w:val="18"/>
          <w:szCs w:val="18"/>
          <w:color w:val="auto"/>
        </w:rPr>
        <w:t>. If any of the following shall occur, namely: (i) any reclassification or change of outstanding shares of Common Stock issuable upon conversion of Securities (other than a change in par value, or from par value to no par value, or from no par value to par value, or as a result of a subdivision or combination), (ii) any consolidation or merger to which the Company is a party other than a merger in which the Company is the continuing corporation and which does not result in any reclassification of, or change (other than a change in name, or par value, or from par value to no par value, or from no par value to par value or as a result of a subdivision or combination) in, outstanding shares of Common Stock or (iii) any sale or conveyance of all or substantially all of the property or business of the Company as an entirety, then the Person formed by such consolidation or resulting from such merger or which acquires such properties or assets, as the case may be, shall as a condition precedent to such transaction execute and deliver to the Trustee a supplemental indenture providing that the Holder of each Security then outstanding shall have the right thereafter, during the period such Security shall be convertible as specified in Section 1701, to convert such Security only into the kind and amount of securities, cash and other property receivable, if any, upon such consolidation, merger, sale, transfer or lease by a holder of the number of shares of Common Stock of the Company into which such Security might have been converted immediately prior to such consolidation, merger, sale, transfer or lease; provided that the kind and amount of securities, cash and other property so receivable shall be determined on the basis of the following assumptions. The holder of Common Stock referred to in the foregoing sentence:</w:t>
      </w:r>
    </w:p>
    <w:p>
      <w:pPr>
        <w:spacing w:after="0" w:line="187" w:lineRule="exact"/>
        <w:rPr>
          <w:sz w:val="20"/>
          <w:szCs w:val="20"/>
          <w:color w:val="auto"/>
        </w:rPr>
      </w:pPr>
    </w:p>
    <w:p>
      <w:pPr>
        <w:ind w:left="920" w:hanging="264"/>
        <w:spacing w:after="0"/>
        <w:tabs>
          <w:tab w:leader="none" w:pos="92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a Person with which the Company consolidated, (b) a Person into which the Company merged or which merged into the Company, or</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67"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to which such sale, transfer or lease was made (any Person described in the foregoing clauses (a), (b), or (c), hereinafter referred to as a “Constituent Person”), or (d) an Affiliate of a Constituent Person; and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1" w:name="page232"/>
    <w:bookmarkEnd w:id="231"/>
    <w:p>
      <w:pPr>
        <w:jc w:val="both"/>
        <w:ind w:firstLine="656"/>
        <w:spacing w:after="0" w:line="258" w:lineRule="auto"/>
        <w:tabs>
          <w:tab w:leader="none" w:pos="9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exercise his rights of election, if any, as to the kind or amount of securities, cash and other property receivable upon such consolidation, merger, sale, transfer or lease (provided that if the kind or amount of securities, cash and other property receivable upon such consolidation, merger, sale transfer or lease is not the same for each share of Common Stock of the Company in respect of which such rights of election shall not have been exercised, then for the purpose of this Section 1711 the kind and amount of securities, cash and other property receivable upon such consolidation, merger, sale, transfer or lease shall be deemed to be the kind and amount so receivable per share by a plurality of such shares of Common Stock).</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Such supplemental indenture shall provide for adjustments, which, for events subsequent to the effective date of such supplemental indenture, shall be as nearly equivalent as may be practicable to the adjustments provided for in this Article Seventeen. If, in the case of any such consolidation, merger, sale transfer or lease the stock or other securities and property (including cash) receivable thereupon by a holder of Common Stock includes shares of stock or other securities and property of a corporation other than the successor or purchasing corporation, as the case may be, in such consolidation, merger, sale, transfer or lease then such supplemental indenture shall also be executed by such other corporation and shall contain such additional provisions to protect the interests of the Holders of the Securities as the Board of Directors of the Company shall reasonably consider necessary by reason of the foregoing. The above provisions of this Section 1711 shall similarly apply to successive consolidations, mergers, sales, transfers or leases.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the Company shall execute a supplemental indenture pursuant to this Section 1711, the Company shall promptly file with the Trustee an Officers’ Certificate briefly stating the reasons therefor, the kind or amount of shares of stock or securities or property (including cash) receivable by Holders of the Securities upon the conversion of their Securities after any such reclassification, change, consolidation, merger, sale, transfer or lease and any adjustment to be made with respect thereto.</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Company makes a distribution to all holders of its Common Stock that constitutes an Unadjusted Distribution pursuant to the last sentence of paragraph (4) of Section 1704, then, from and after the record date for determining the holders of Common Stock entitled to receive such distribution (the “Distribution Record Date”), a Holder of a Security who converts such Security in accordance with the provisions of this Indenture shall, upon conversion, be entitled to receive, in addition to the shares of Common Stock into which the Security is convertible, the kind and amount of evidences of indebtedness, shares of Capital Stock, or other assets or subscription rights or warrants, as the case may be, comprising the distribution that such Holder would have received if such Holder had converted the Security immediately prior to the Distribution Record Date.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1712. </w:t>
      </w:r>
      <w:r>
        <w:rPr>
          <w:rFonts w:ascii="Times New Roman" w:cs="Times New Roman" w:eastAsia="Times New Roman" w:hAnsi="Times New Roman"/>
          <w:sz w:val="18"/>
          <w:szCs w:val="18"/>
          <w:u w:val="single" w:color="auto"/>
          <w:color w:val="auto"/>
        </w:rPr>
        <w:t>Trustee 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 Disclaimer; Company Determination Final</w:t>
      </w:r>
      <w:r>
        <w:rPr>
          <w:rFonts w:ascii="Times New Roman" w:cs="Times New Roman" w:eastAsia="Times New Roman" w:hAnsi="Times New Roman"/>
          <w:sz w:val="18"/>
          <w:szCs w:val="18"/>
          <w:color w:val="auto"/>
        </w:rPr>
        <w:t>. The Trustee has no duty to determine when an adjustment under this Article Seventeen should be made, how it should be made or what it should be. The Trustee has no duty to determine whether a supplemental indenture under Section 1711 need be entered into or whether any provisions of any supplemental indenture are correct. The Trustee shall not be accountable for and makes no representation as to the validity or value of any securities or assets issued upon conversion of Securities. The Trustee shall not be responsible for the Company’s failure to comply with this Article Seventeen. Any determination that the Company or the Board of Directors must make pursuant to this Article Seventeen is conclusive, absent manifest error.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2" w:name="page233"/>
    <w:bookmarkEnd w:id="2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1713. </w:t>
      </w:r>
      <w:r>
        <w:rPr>
          <w:rFonts w:ascii="Times New Roman" w:cs="Times New Roman" w:eastAsia="Times New Roman" w:hAnsi="Times New Roman"/>
          <w:sz w:val="18"/>
          <w:szCs w:val="18"/>
          <w:u w:val="single" w:color="auto"/>
          <w:color w:val="auto"/>
        </w:rPr>
        <w:t>When No Adjustment Required</w:t>
      </w:r>
      <w:r>
        <w:rPr>
          <w:rFonts w:ascii="Times New Roman" w:cs="Times New Roman" w:eastAsia="Times New Roman" w:hAnsi="Times New Roman"/>
          <w:sz w:val="18"/>
          <w:szCs w:val="18"/>
          <w:color w:val="auto"/>
        </w:rPr>
        <w:t>. Except as expressly set forth in Section 1704, no adjustment in the Conversion Price shall be made because the Company issues, in exchange for cash, property or services, shares of its Common Stock, or any securities convertible into or exchangeable for shares of its Common Stock, or securities (including warrants, rights and options) carrying the right to subscribe for or purchase shares of its Common Stock or such convertible or exchangeable securities.</w:t>
      </w:r>
    </w:p>
    <w:p>
      <w:pPr>
        <w:spacing w:after="0" w:line="180" w:lineRule="exact"/>
        <w:rPr>
          <w:sz w:val="20"/>
          <w:szCs w:val="20"/>
          <w:color w:val="auto"/>
        </w:rPr>
      </w:pPr>
    </w:p>
    <w:p>
      <w:pPr>
        <w:jc w:val="both"/>
        <w:ind w:firstLine="656"/>
        <w:spacing w:after="0" w:line="261" w:lineRule="auto"/>
        <w:tabs>
          <w:tab w:leader="none" w:pos="91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 adjustment in the Conversion Price shall be made pursuant to Section 1704 in respect of any dividend or distribution if the Holders may participate therein (on a basis to be determined in good faith by the Board of Directors) and receive the same consideration they would have received if they had converted the Securities immediately prior to the record date with respect to such dividend or distribution.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1714. E</w:t>
      </w:r>
      <w:r>
        <w:rPr>
          <w:rFonts w:ascii="Times New Roman" w:cs="Times New Roman" w:eastAsia="Times New Roman" w:hAnsi="Times New Roman"/>
          <w:sz w:val="18"/>
          <w:szCs w:val="18"/>
          <w:u w:val="single" w:color="auto"/>
          <w:color w:val="auto"/>
        </w:rPr>
        <w:t>quivalent Ad</w:t>
      </w:r>
      <w:r>
        <w:rPr>
          <w:rFonts w:ascii="Times New Roman" w:cs="Times New Roman" w:eastAsia="Times New Roman" w:hAnsi="Times New Roman"/>
          <w:sz w:val="18"/>
          <w:szCs w:val="18"/>
          <w:color w:val="auto"/>
        </w:rPr>
        <w:t>j</w:t>
      </w:r>
      <w:r>
        <w:rPr>
          <w:rFonts w:ascii="Times New Roman" w:cs="Times New Roman" w:eastAsia="Times New Roman" w:hAnsi="Times New Roman"/>
          <w:sz w:val="18"/>
          <w:szCs w:val="18"/>
          <w:u w:val="single" w:color="auto"/>
          <w:color w:val="auto"/>
        </w:rPr>
        <w:t>ustments</w:t>
      </w:r>
      <w:r>
        <w:rPr>
          <w:rFonts w:ascii="Times New Roman" w:cs="Times New Roman" w:eastAsia="Times New Roman" w:hAnsi="Times New Roman"/>
          <w:sz w:val="18"/>
          <w:szCs w:val="18"/>
          <w:color w:val="auto"/>
        </w:rPr>
        <w:t>. In the event that, as a result of an adjustment made pursuant to Section 1704 above, the holder of any Security thereafter surrendered for conversion shall become entitled to receive any shares of Capital Stock of the Company other than shares of its Common Stock, thereafter the Conversion Price of such other shares so receivable upon conversion of any Securities shall be subject to adjustment from time to time in a manner and on terms as nearly equivalent as practicable to the provisions with respect to Common Stock contained in this Article Seventeen.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all as of the day and year first above written.</w:t>
      </w:r>
    </w:p>
    <w:p>
      <w:pPr>
        <w:spacing w:after="0" w:line="26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RYTHM, INC.</w:t>
      </w:r>
    </w:p>
    <w:p>
      <w:pPr>
        <w:spacing w:after="0" w:line="29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8890</wp:posOffset>
            </wp:positionV>
            <wp:extent cx="246888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8890</wp:posOffset>
            </wp:positionV>
            <wp:extent cx="246888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8890</wp:posOffset>
            </wp:positionV>
            <wp:extent cx="246888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7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as Trustee</w:t>
      </w:r>
    </w:p>
    <w:p>
      <w:pPr>
        <w:spacing w:after="0" w:line="29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8890</wp:posOffset>
            </wp:positionV>
            <wp:extent cx="246888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8890</wp:posOffset>
            </wp:positionV>
            <wp:extent cx="246888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4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8890</wp:posOffset>
            </wp:positionV>
            <wp:extent cx="246888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00"/>
          </w:cols>
          <w:pgMar w:left="980" w:top="904" w:right="101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REDEEMABLE OR NON-REDEEMABLE SUBORDINATED SECURITY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 of Security]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Holder of this Security (as indicated below) is The Depository Trust Company (“DTC”) or a nominee of DTC, this Security is a Global Security and the following two legends apply:</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Unless this Security is presented by an authorized representative of The Depository Trust Company a New York corporation (“DTC”) to the Company or its agent for registration of transfer, conversion, exchange or payment, and such Security issued is registered in the name of Cede &amp; Co., or in such other name as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Unless and until this Security is exchanged in whole or in part for Securities in certificated form, this Security may not be transferred except as a whole by DTC to a nominee thereof or by a nominee thereof to DTC or another nominee of DTC or by DTC or any such nominee to a successor of DTC or a nominee of such successor.]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this Security is an Original Issue Discount Security, insert</w:t>
      </w:r>
      <w:r>
        <w:rPr>
          <w:rFonts w:ascii="Times New Roman" w:cs="Times New Roman" w:eastAsia="Times New Roman" w:hAnsi="Times New Roman"/>
          <w:sz w:val="18"/>
          <w:szCs w:val="18"/>
          <w:color w:val="auto"/>
        </w:rPr>
        <w:t xml:space="preserve"> — FOR PURPOSES OF SECTION 1273 and 1275 OF THE UNITED STATES INTERNAL REVENUE CODE, THE AMOUNT OF ORIGINAL ISSUE DISCOUNT ON THIS SECURITY IS % OF ITS PRINCIPAL AMOUNT, THE ISSUE DATE IS , 20 , AND THE YIELD TO MATURITY IS %. THE METHOD USED TO DETERMINE THE AMOUNT OF ORIGINAL ISSUE DISCOUNT APPLICABLE TO THE SHORT ACCRUAL PERIOD OF , 20 TO , 20 , IS % OF THE PRINCIPAL AMOUNT OF THIS SECURITY.]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RYTHM,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[Designation of Series]</w:t>
      </w:r>
    </w:p>
    <w:p>
      <w:pPr>
        <w:spacing w:after="0" w:line="252" w:lineRule="exact"/>
        <w:rPr>
          <w:sz w:val="20"/>
          <w:szCs w:val="20"/>
          <w:color w:val="auto"/>
        </w:rPr>
      </w:pPr>
    </w:p>
    <w:p>
      <w:pPr>
        <w:ind w:left="40"/>
        <w:spacing w:after="0"/>
        <w:tabs>
          <w:tab w:leader="none" w:pos="944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RYTHM, INC., a Nevada corporation (herein referred to as the “Company,” which term includes any successor corporation under the Indenture referred to on the reverse hereof), for value received, hereby promises to pay to or registered assigns the principal sum of Dollars on (the “Stated Maturity Date”) [or </w:t>
      </w:r>
      <w:r>
        <w:rPr>
          <w:rFonts w:ascii="Times New Roman" w:cs="Times New Roman" w:eastAsia="Times New Roman" w:hAnsi="Times New Roman"/>
          <w:sz w:val="18"/>
          <w:szCs w:val="18"/>
          <w:u w:val="single" w:color="auto"/>
          <w:color w:val="auto"/>
        </w:rPr>
        <w:t>insert date fixed for earlier redemption</w:t>
      </w:r>
      <w:r>
        <w:rPr>
          <w:rFonts w:ascii="Times New Roman" w:cs="Times New Roman" w:eastAsia="Times New Roman" w:hAnsi="Times New Roman"/>
          <w:sz w:val="18"/>
          <w:szCs w:val="18"/>
          <w:color w:val="auto"/>
        </w:rPr>
        <w:t xml:space="preserve"> (the “Redemption Date,” and together with the Stated Maturity Date with respect to principal repayable on such date, the “Maturity Date.”)]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the Security is to bear interest prior to Maturit</w:t>
      </w: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insert</w:t>
      </w:r>
      <w:r>
        <w:rPr>
          <w:rFonts w:ascii="Times New Roman" w:cs="Times New Roman" w:eastAsia="Times New Roman" w:hAnsi="Times New Roman"/>
          <w:sz w:val="18"/>
          <w:szCs w:val="18"/>
          <w:color w:val="auto"/>
        </w:rPr>
        <w:t xml:space="preserve"> — and to pay interest thereon from or from the most recent Interest Payment Date to which interest has been paid or duly provided for, semi-annually on and in each year (each, an “Interest Payment Date”), commencing, at the rate of % per annum, until the principal hereof is paid or duly provided for. The interest so payable, and punctually paid or duly provided for, on any Interest Payment Date will, as provided in such Indenture, be paid to the Holder in whose name this Security (or one or more Predecessor Securities) is registered at the close of business on the Regular Record Date for such interest, which shall be the or (whether or not a Business Day), as the case may be, next preceding such Interest Payment Date [at the office or agency of the Company maintained for such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interest may be paid, at the Company’s option, by mailing a check to such Holder at its registered address or by transfer of funds to an account maintained by such Holder within the United States]. Any such interest not so punctually paid or duly provided for shall forthwith cease to be payable to the Holder on such Regular Record Date, and may be paid to the Holder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may be paid at any time in any other lawful manner not inconsistent with the requirements of any over-the-counter market or securities exchange on which the Securities of this series may be quoted or listed, and upon such notice as may be required by such market or exchange, all as more fully provided in the Indenture. Interest will be computed on the basis of a 360-day year of twelve 30-day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the Security is not to bear interest prior to Maturit</w:t>
      </w: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insert</w:t>
      </w:r>
      <w:r>
        <w:rPr>
          <w:rFonts w:ascii="Times New Roman" w:cs="Times New Roman" w:eastAsia="Times New Roman" w:hAnsi="Times New Roman"/>
          <w:sz w:val="18"/>
          <w:szCs w:val="18"/>
          <w:color w:val="auto"/>
        </w:rPr>
        <w:t xml:space="preserve"> — The principal of this Security shall not bear interest except in the case of a default in payment of principal upon acceleration, upon redemption or at the [Stated] Maturity Date and in such case the overdue principal of this Security shall bear interest at the rate of % per annum (to the extent that the payment of such interest shall be legally enforceable), which shall accrue from the date of such default in payment to the date payment of such principal has been made or duly provided for. Interest on any overdue principal shall be payable on demand. Any such interest on any overdue principal that is not so paid on demand shall bear interest at the rate of % per annum (to the extent that the payment of such interest shall be legally enforceable), which shall accrue from the date of such demand for payment to the date payment of such interest has been made or duly provided for, and such interest shall also be payable on demand.]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of this Security payable on the Stated Maturity Date [or the principal of, premium or Make-Whole Amount, if any, and, if the Redemption Date is not an Interest Payment Date, interest on this Security payable on the Redemption Date] will be paid against presentation of this Security at the office or agency of the Company maintained for that purpose in, in such coin or currency of the United States of America as at the time of payment is legal tender for the payment of public and private debts.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payable on this Security on any Interest Payment Date and on the [Stated] Maturity Date [or Redemption Date, as the case may be,] will include interest accrued from and including the next preceding Interest Payment Date in respect of which interest has been paid or duly provided for (or from and including, if no interest has been paid on this Security) to but excluding such Interest Payment Date or the [Stated] Maturity Date [or Redemption Date, as the case may be.] If any Interest Payment Date or the [Stated] Maturity Date or [Redemption Date] falls on a day that is not a Business Day, as defined below, principal, premium or Make-Whole Amount, if any, and/or interest payable with respect to such Interest Payment Date or [Stated] Maturity Date [or Redemption Date, as the case may be,] will be paid on the next succeeding Business Day with the same force and effect as if it were paid on the date such payment was due, and no interest shall accrue on the amount so payable for the period from and after such Interest Payment Date or [Stated] Maturity Date [or Redemption Date, as the case may be.] “Business Day” means any day, other than a Saturday or Sunday, that is neither a legal holiday nor a day on which banking institutions in The City of New York are required or authorized by law, regulation or executive order to close.</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this Security is a Global Securit</w:t>
      </w: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insert</w:t>
      </w:r>
      <w:r>
        <w:rPr>
          <w:rFonts w:ascii="Times New Roman" w:cs="Times New Roman" w:eastAsia="Times New Roman" w:hAnsi="Times New Roman"/>
          <w:sz w:val="18"/>
          <w:szCs w:val="18"/>
          <w:color w:val="auto"/>
        </w:rPr>
        <w:t xml:space="preserve"> — All payments of principal, premium or Make-Whole Amount, if any, and interest in respect of this Security will be made by the Company in immediately available funds.]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manual signature of one of its authorized signatories, this Security shall not be entitled to any benefit under the Indenture, or be valid or obligatory for any purpose.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color w:val="auto"/>
        </w:rPr>
        <w:t>IN WITNESS WHEREOF, the Company has caused this instrument to be duly executed under its facsimile corporate seal.</w:t>
      </w:r>
    </w:p>
    <w:p>
      <w:pPr>
        <w:spacing w:after="0" w:line="26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Dated:</w:t>
      </w:r>
    </w:p>
    <w:p>
      <w:pPr>
        <w:spacing w:after="0" w:line="27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RYTHM, INC.</w:t>
      </w:r>
    </w:p>
    <w:p>
      <w:pPr>
        <w:spacing w:after="0" w:line="29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8890</wp:posOffset>
            </wp:positionV>
            <wp:extent cx="246888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8890</wp:posOffset>
            </wp:positionV>
            <wp:extent cx="246888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8890</wp:posOffset>
            </wp:positionV>
            <wp:extent cx="246888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-7620</wp:posOffset>
            </wp:positionV>
            <wp:extent cx="24561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2456180" cy="825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18"/>
          <w:szCs w:val="18"/>
          <w:color w:val="auto"/>
        </w:rPr>
        <w:t>[Reverse of Security]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RYTHM, INC.</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securities of the Company (herein called the “Securities”), issued and to be issued in one or more series under an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Indenture, dated as of , 20 (herein called the “Indenture”) between the Company and, as Trustee (herein called the “Trustee,” which term includes any successor trustee under the Indenture with respect to the series of which this Security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duly authorized series of Securities designated on the face hereof (collectively, the “Securities”),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and the aggregate principal amount of the Securities to be issued under such series is limited to $ (except for Securities authenticated and delivered upon transfer of, or in exchange for, or in lieu of other Securities).] All terms used in this Security, which are defined in the Indenture, shall have the meanings assigned to them in the Indenture.</w:t>
      </w:r>
    </w:p>
    <w:p>
      <w:pPr>
        <w:spacing w:after="0" w:line="200" w:lineRule="exact"/>
        <w:rPr>
          <w:sz w:val="20"/>
          <w:szCs w:val="20"/>
          <w:color w:val="auto"/>
        </w:rPr>
      </w:pP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in the Indenture,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insert</w:t>
      </w:r>
      <w:r>
        <w:rPr>
          <w:rFonts w:ascii="Times New Roman" w:cs="Times New Roman" w:eastAsia="Times New Roman" w:hAnsi="Times New Roman"/>
          <w:sz w:val="18"/>
          <w:szCs w:val="18"/>
          <w:color w:val="auto"/>
        </w:rPr>
        <w:t xml:space="preserve"> — The Securities may not be redeemed prior to the Stated Maturity Date.]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The Securities are subject to redemption [ (1)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on in any year commencing with the year and ending with the year through operation of the sinking fund for this series at a Redemption Price equal to 100% of the principal amount, and (2) ]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at any time [on or after ], as a whole or in part, at the election of the Company, at the following Redemption Prices (expressed as percentages of the principal amount):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redeemed on or before , % and if redeemed during the 12-month period beginning of the years indicated at the Redemption Prices indicated below.</w:t>
      </w:r>
    </w:p>
    <w:p>
      <w:pPr>
        <w:spacing w:after="0" w:line="252" w:lineRule="exact"/>
        <w:rPr>
          <w:sz w:val="20"/>
          <w:szCs w:val="20"/>
          <w:color w:val="auto"/>
        </w:rPr>
      </w:pPr>
    </w:p>
    <w:p>
      <w:pPr>
        <w:ind w:left="1420"/>
        <w:spacing w:after="0"/>
        <w:tabs>
          <w:tab w:leader="none" w:pos="3960" w:val="left"/>
          <w:tab w:leader="none" w:pos="7140" w:val="left"/>
          <w:tab w:leader="none" w:pos="9340" w:val="left"/>
        </w:tabs>
        <w:rPr>
          <w:sz w:val="20"/>
          <w:szCs w:val="20"/>
          <w:color w:val="auto"/>
        </w:rPr>
      </w:pPr>
      <w:r>
        <w:rPr>
          <w:rFonts w:ascii="Times New Roman" w:cs="Times New Roman" w:eastAsia="Times New Roman" w:hAnsi="Times New Roman"/>
          <w:sz w:val="18"/>
          <w:szCs w:val="18"/>
          <w:color w:val="auto"/>
        </w:rPr>
        <w:t>Year</w:t>
      </w:r>
      <w:r>
        <w:rPr>
          <w:sz w:val="20"/>
          <w:szCs w:val="20"/>
          <w:color w:val="auto"/>
        </w:rPr>
        <w:tab/>
      </w:r>
      <w:r>
        <w:rPr>
          <w:rFonts w:ascii="Times New Roman" w:cs="Times New Roman" w:eastAsia="Times New Roman" w:hAnsi="Times New Roman"/>
          <w:sz w:val="18"/>
          <w:szCs w:val="18"/>
          <w:color w:val="auto"/>
        </w:rPr>
        <w:t>Redemption Price</w:t>
      </w:r>
      <w:r>
        <w:rPr>
          <w:sz w:val="20"/>
          <w:szCs w:val="20"/>
          <w:color w:val="auto"/>
        </w:rPr>
        <w:tab/>
      </w:r>
      <w:r>
        <w:rPr>
          <w:rFonts w:ascii="Times New Roman" w:cs="Times New Roman" w:eastAsia="Times New Roman" w:hAnsi="Times New Roman"/>
          <w:sz w:val="18"/>
          <w:szCs w:val="18"/>
          <w:color w:val="auto"/>
        </w:rPr>
        <w:t>Year</w:t>
      </w:r>
      <w:r>
        <w:rPr>
          <w:sz w:val="20"/>
          <w:szCs w:val="20"/>
          <w:color w:val="auto"/>
        </w:rPr>
        <w:tab/>
      </w:r>
      <w:r>
        <w:rPr>
          <w:rFonts w:ascii="Times New Roman" w:cs="Times New Roman" w:eastAsia="Times New Roman" w:hAnsi="Times New Roman"/>
          <w:sz w:val="18"/>
          <w:szCs w:val="18"/>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9803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thereafter at a Redemption Price equal to % of the principal amount, together in the case of any such redemption [</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(whether through operation of the sinking fund or otherwise)] with accrued interest to the Redemption Date;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insert</w:t>
      </w:r>
      <w:r>
        <w:rPr>
          <w:rFonts w:ascii="Times New Roman" w:cs="Times New Roman" w:eastAsia="Times New Roman" w:hAnsi="Times New Roman"/>
          <w:sz w:val="18"/>
          <w:szCs w:val="18"/>
          <w:color w:val="auto"/>
        </w:rPr>
        <w:t xml:space="preserve"> — The Securities are subject to redemption (1) on in any year commencing with the year and ending with the year through operation of the sinking fund for this series at the Redemption Prices for redemption through operation of the sinking fund (expressed as percentages of the principal amount) set forth in the table below, and (2) at any time [on or after ], as a whole or in part, at the election of the Company, at the Redemption Prices for redemption otherwise than through operation of the sinking fund (expressed as percentages of the principal amount) set forth in the table below: If redeemed during the 12-month period beginning of the years indicated,</w:t>
      </w:r>
    </w:p>
    <w:p>
      <w:pPr>
        <w:sectPr>
          <w:pgSz w:w="11900" w:h="16838" w:orient="portrait"/>
          <w:cols w:equalWidth="0" w:num="1">
            <w:col w:w="11240"/>
          </w:cols>
          <w:pgMar w:left="320" w:top="904" w:right="339" w:bottom="1440" w:gutter="0" w:footer="0" w:header="0"/>
        </w:sect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Redemption Price for Redemption Through</w:t>
            </w:r>
          </w:p>
        </w:tc>
      </w:tr>
      <w:tr>
        <w:trPr>
          <w:trHeight w:val="241"/>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w:t>
            </w:r>
          </w:p>
        </w:tc>
        <w:tc>
          <w:tcPr>
            <w:tcW w:w="280" w:type="dxa"/>
            <w:vAlign w:val="bottom"/>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Operation of the Sinking Fund</w:t>
            </w:r>
          </w:p>
        </w:tc>
      </w:tr>
    </w:tbl>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Redemption Price for Redemption Otherwise Than Through Operation of the sinking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224599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2245995" cy="1714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7400" w:space="280"/>
            <w:col w:w="3560"/>
          </w:cols>
          <w:pgMar w:left="320" w:top="904"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and thereafter at a Redemption Price equal to % of the principal amount, together in the case of any such redemption (whether through operation of the sinking fund or otherwise) with accrued interest to the Redemption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installments of interest on this Security whose Stated Maturity is on or prior to such Redemption Date will be payable to the Holder of this Security, or one or more Predecessor Securities, of record at the close of business on the relevant Record Dates referred to on the face hereof, all as provided in the Indenture.]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38" w:name="page239"/>
    <w:bookmarkEnd w:id="23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 insert</w:t>
      </w:r>
      <w:r>
        <w:rPr>
          <w:rFonts w:ascii="Times New Roman" w:cs="Times New Roman" w:eastAsia="Times New Roman" w:hAnsi="Times New Roman"/>
          <w:sz w:val="18"/>
          <w:szCs w:val="18"/>
          <w:color w:val="auto"/>
        </w:rPr>
        <w:t xml:space="preserve"> — Notwithstanding the foregoing, the Company may not, prior to , redeem any Securities as contemplated by [Clause (2) of] the preceding paragraph as a part of, or in anticipation of, any refunding operation by the application, directly or indirectly, of moneys borrowed having an interest cost to the Company (calculated in accordance with generally accepted financial practice) of less than % per annum.]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 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insert</w:t>
      </w:r>
      <w:r>
        <w:rPr>
          <w:rFonts w:ascii="Times New Roman" w:cs="Times New Roman" w:eastAsia="Times New Roman" w:hAnsi="Times New Roman"/>
          <w:sz w:val="18"/>
          <w:szCs w:val="18"/>
          <w:color w:val="auto"/>
        </w:rPr>
        <w:t xml:space="preserve"> — The sinking fund for the Securities provides for the redemption on in each year, beginning with the year and ending with the year, of [not less than] $ ] [(“mandatory sinking fund”) and not more than $ ] aggregate principal amount of the Securities. [The Securities acquired or redeemed by the Company otherwise than through [mandatory] sinking fund payments may be credited against subsequent [mandatory] sinking fund payments otherwise required to be made in the [</w:t>
      </w:r>
      <w:r>
        <w:rPr>
          <w:rFonts w:ascii="Times New Roman" w:cs="Times New Roman" w:eastAsia="Times New Roman" w:hAnsi="Times New Roman"/>
          <w:sz w:val="18"/>
          <w:szCs w:val="18"/>
          <w:u w:val="single" w:color="auto"/>
          <w:color w:val="auto"/>
        </w:rPr>
        <w:t>describe order]</w:t>
      </w:r>
      <w:r>
        <w:rPr>
          <w:rFonts w:ascii="Times New Roman" w:cs="Times New Roman" w:eastAsia="Times New Roman" w:hAnsi="Times New Roman"/>
          <w:sz w:val="18"/>
          <w:szCs w:val="18"/>
          <w:color w:val="auto"/>
        </w:rPr>
        <w:t xml:space="preserve"> order in which they become due.]]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Notice of redemption will be given by mail to Holders of Securities, not less than 30 nor more than 60 days prior to the Redemption Date, all as provided in the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of redemption of this Security in part only, a new Security or Securities for the unredeemed portion hereof shall be issued in the name of the Holder hereof upon the cancellation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applicable, insert conversion provisions set forth in any Board Resolution or indenture supplemental to the Indenture.]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Security shall be conclusive and binding upon such Holder and upon all future Holders of this Security and other Securities issued upon the registration of transfer hereof or conversion or in exchange herefor or in lieu hereof, whether or not notation of such consent or waiver is made upon this Security.</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premium or Make-Whole Amount, if any) and interest on this Security at the times, places and rate, and in the coin or currency, herein prescribed.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[and herein] set forth, the transfer of this Security is registrable in the Security Register of the Company upon surrender of this Security for registration of transfer at the office or agency of the Company in any place where the principal of (and premium or Make-Whole Amount, if any) and interest on this Security are payable, duly endorsed by, or accompanied by a written instrument of transfer in form satisfactory to the Company and the Security Registrar duly executed by, the Holder hereof or by his attorney duly authorized in writing, and thereupon one or more new Securities, of authorized denominations and for the same aggregate principal amount, will be issued to the designated transferee or transferees.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[and herein] set forth, this Security is exchangeable for a like aggregate principal amount of Securities of different authorized denominations but otherwise having the same terms and conditions, as requested by the Holder hereof surrendering the same.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is subordinated to the prior payment in full in cash of Senior Indebtedness to the extent set forth in Article Sixteen of the Indenture.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 and any integral multiple thereof.</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conversion or exchange, but the Company may require payment of a sum sufficient to cover any tax or other governmental charge payable in connection therewith,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shall be had for the payment of the principal of or premium or Make-Whole Amount, if any, or the interest on this Security, or for any claim based hereon, or otherwise in respect hereof, or based on or in respect of the Indenture or any indenture supplemental thereto, against any past, present or future stockholder, employee, officer or director, as such, of the Company or of any successor, either directly or through the Company or any successor,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Indenture and the Securities shall be governed by and construed in accordance with the laws of the State of New York applicable to agreements made and to be performed entirely in such State.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FORMS OF 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B-l</w:t>
      </w:r>
    </w:p>
    <w:p>
      <w:pPr>
        <w:spacing w:after="0" w:line="225" w:lineRule="exact"/>
        <w:rPr>
          <w:sz w:val="20"/>
          <w:szCs w:val="20"/>
          <w:color w:val="auto"/>
        </w:rPr>
      </w:pPr>
    </w:p>
    <w:p>
      <w:pPr>
        <w:jc w:val="center"/>
        <w:ind w:left="340" w:right="200"/>
        <w:spacing w:after="0" w:line="282" w:lineRule="auto"/>
        <w:rPr>
          <w:sz w:val="20"/>
          <w:szCs w:val="20"/>
          <w:color w:val="auto"/>
        </w:rPr>
      </w:pPr>
      <w:r>
        <w:rPr>
          <w:rFonts w:ascii="Times New Roman" w:cs="Times New Roman" w:eastAsia="Times New Roman" w:hAnsi="Times New Roman"/>
          <w:sz w:val="18"/>
          <w:szCs w:val="18"/>
          <w:color w:val="auto"/>
        </w:rPr>
        <w:t>FORM OF CERTIFICATE TO BE GIVEN BY PERSON ENTITLED TO RECEIVE BEARER SECURITY OR TO OBTAIN INTEREST PAYABLE PRIOR TO THE EXCHANGE DATE</w:t>
      </w:r>
    </w:p>
    <w:p>
      <w:pPr>
        <w:spacing w:after="0" w:line="16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[Insert title or sufficient description of Securities to be delivered]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is to certify that, as of the date hereof, and except as set forth below, the above-captioned Securities held by you for our account (i) are owned by person(s) that are not citizens or residents of the United States, domestic partnerships, domestic corporations or any estate or trust the income of which is subject to United States Federal income taxation regardless of its source (“United States person(s)”), (ii) are owned by United States person(s) that are (a) foreign branches of United States financial institutions (financial institutions, as defined in United States Treasury Regulations Section 2.165-12(c)(l)(v)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RYTHM, INC. or its agent that such financial institution will comply with the requirements of Section 165(j)(3) (A), (B) or (C) of the United States Internal Revenue Code of 1986, as amended, and the regulations thereunder), or (iii) are owned by United States or foreign financial institution(s) for purposes of resale during the restricted period (as defined in United States Treasury Regulations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undertake to advise you promptly by tested telex or by telecopy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certificate excepts and does not relate to [U.S.$] of such interest in the above-captioned Securities in respect of which we are not able to certify and as to which we understand an exchange for an interest in a permanent Global Security or an exchange for and delivery of definitive Securities (or, if relevant, collection of any interest) cannot be made until we do so certify.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1" w:name="page242"/>
    <w:bookmarkEnd w:id="241"/>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be dated no earlier than the 15th day prior to (i) the Exchange Date or (ii) the relevant Interest Payment Date occurring prior to the Exchange Date, as applicable]</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of Person Making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325755</wp:posOffset>
            </wp:positionV>
            <wp:extent cx="282892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2828925"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18"/>
          <w:szCs w:val="18"/>
          <w:color w:val="auto"/>
        </w:rPr>
        <w:t>EXHIBIT B-2</w:t>
      </w:r>
    </w:p>
    <w:p>
      <w:pPr>
        <w:spacing w:after="0" w:line="225"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color w:val="auto"/>
        </w:rPr>
        <w:t>FORM OF CERTIFICATE TO BE GIVEN BY EUROCLEAR AND CLEARSTREAM S.A. IN CONNECTION WITH THE EXCHANGE OF A PORTION OF A TEMPORARY GLOBAL SECURITY OR TO OBTAIN INTEREST PAYABLE PRIOR TO THE EXCHANGE DATE</w:t>
      </w:r>
    </w:p>
    <w:p>
      <w:pPr>
        <w:spacing w:after="0" w:line="17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[Insert title or sufficient description of Securities to be delivered]</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is to certify that, based solely on written certifications that we have received in writing, by tested telex or by electronic transmission from each of the persons appearing in our records as persons entitled to a portion of the principal amount set forth below (our “Member Organizations”) substantially in the form attached hereto, as of the date hereof, [U.S.$] principal amount of the above-captioned Securities (i) is owned by person(s) that are not citizens or residents of the United States, domestic partnerships, domestic corporations or any estate or trust the income of which is subject to United States Federal income taxation regardless of its source (“United States person(s)”), (ii) is owned by United States person(s) that are (a) foreign branches of United States financial institutions (financial institutions, as defined in U.S. Treasury Regulations Section 1.165-12(c)(l)(v)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RYTHM, INC. or its agent that such financial institution will comply with the requirements of Section 165(j)(3) (A), (B) or (C) of the Internal Revenue Code of 1986, as amended, and the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9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be dated no earlier than the Exchange Date or the relevant Interest Payment Date occurring prior to the Exchange Date,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as Operator of the Euroclear System] [Clearstream Banking Luxembourg]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9275 W. Russell Road, Suite 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-119380</wp:posOffset>
            </wp:positionV>
            <wp:extent cx="17145" cy="5486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17145"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1071245" cy="3175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1071245" cy="317500"/>
                    </a:xfrm>
                    <a:prstGeom prst="rect">
                      <a:avLst/>
                    </a:prstGeom>
                    <a:noFill/>
                  </pic:spPr>
                </pic:pic>
              </a:graphicData>
            </a:graphic>
          </wp:anchor>
        </w:drawing>
      </w:r>
    </w:p>
    <w:p>
      <w:pPr>
        <w:spacing w:after="0" w:line="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Las Vegas, Nevada 89148</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PH (702) 692-8026 | FX (702) 692-8075</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fennemorelaw.com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RYTHM,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2220 Hicks Road, Suite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Meadows, Illinois</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Re:</w:t>
      </w:r>
      <w:r>
        <w:rPr>
          <w:sz w:val="20"/>
          <w:szCs w:val="20"/>
          <w:color w:val="auto"/>
        </w:rPr>
        <w:tab/>
      </w:r>
      <w:r>
        <w:rPr>
          <w:rFonts w:ascii="Times New Roman" w:cs="Times New Roman" w:eastAsia="Times New Roman" w:hAnsi="Times New Roman"/>
          <w:sz w:val="18"/>
          <w:szCs w:val="18"/>
          <w:b w:val="1"/>
          <w:bCs w:val="1"/>
          <w:i w:val="1"/>
          <w:iCs w:val="1"/>
          <w:color w:val="auto"/>
        </w:rPr>
        <w:t>RYTHM, Inc./Registration Statement on Form S-3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acted as special Nevada counsel to RYTHM, Inc., a Nevada corporation (the “Company”), in connection with the registration by the Company under the Securities Act of 1933, as amended (the “Securities Act”), on a Form S-3 Registration Statement (the “Registration Statement”), as filed with the Securities and Exchange Commission (the “Commission”), of up to $100,000,000 of the Company’s Securities (as defined below) to be issued from time-to-time by the Company in one or more offerings and in in any combination of such Securities.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prospectus (the “Prospectus”) that forms part of the Registration Statement provides that it will be supplemented by one or more prospectus supplements in connection with the registration of any Securities. The Registration Statement, including the Prospectus as supplemented from time-to-time by one or more prospectus supplements, covers the offering and issuance by the Company of:</w:t>
      </w:r>
    </w:p>
    <w:p>
      <w:pPr>
        <w:spacing w:after="0" w:line="176" w:lineRule="exact"/>
        <w:rPr>
          <w:sz w:val="20"/>
          <w:szCs w:val="20"/>
          <w:color w:val="auto"/>
        </w:rPr>
      </w:pPr>
    </w:p>
    <w:p>
      <w:pPr>
        <w:ind w:left="900" w:hanging="244"/>
        <w:spacing w:after="0"/>
        <w:tabs>
          <w:tab w:leader="none" w:pos="9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common stock, par value $0.001 per share (the “Common Stock”);</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undesignated preferred stock, par value $0.001 per share (the “Preferred Stock”);</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or unsecured debt securities issued by the Company, which may be senior debt, senior subordinated debt, or subordinated debt (the “Debt Securities”);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any of the Company’s Securities or other rights, or any combination thereof (the “Warrants”); and</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any combination of the Securities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RYTHM,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Common Stock, the Preferred Stock, the Debt Securities, the Warrants, and the Units are collectively referred to herein as the “Securities.” The Securities may be issued and sold by the Company in an unspecified number and the Debt Securities may be issued in an unspecified principal amount pursuant to the applicable provisions of Rule 415 of the Securities Act. The Registration Statement provides that the Securities may be offered separately or together, in one or more series or classes, and in amounts, at prices, and on terms to be described in one or more prospectus supplements. The Securities are to be sold pursuant to a purchase, underwriting, subscription, placement agency, or similar agreement, which will be in substantially the forms previously filed or to be filed under a Current Report on Form 8-K.</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these opinions, we have examined originals or copies, certified or otherwise identified to our satisfaction, of:</w:t>
      </w:r>
    </w:p>
    <w:p>
      <w:pPr>
        <w:spacing w:after="0" w:line="225" w:lineRule="exact"/>
        <w:rPr>
          <w:sz w:val="20"/>
          <w:szCs w:val="20"/>
          <w:color w:val="auto"/>
        </w:rPr>
      </w:pPr>
    </w:p>
    <w:p>
      <w:pPr>
        <w:ind w:left="900" w:hanging="244"/>
        <w:spacing w:after="0"/>
        <w:tabs>
          <w:tab w:leader="none" w:pos="9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Incorporation of the Company, as amended, as filed with the Secretary of State of Nevada (the “Articles of Incorporation”);</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Amended and Restated Bylaws of the Company as adopted effective as of August 25, 2025 (the “Bylaws”);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of agreements, resolutions of the Board of Directors of the Company (the “Board”), and such other matters as relevant related to the registration of the Securities under the Securities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obtained from officers and agents of the Company, and have relied upon, such certificates, representations, and assurances as we have deemed necessary and appropriate for purposes of rendering this opinion letter. We have also examined such other corporate charter documents, records, certificates, and instruments (collectively with the documents identified in (a) through (d) above, the “Documents”) as we deem necessary or advisable to render the opinions set forth 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our examination, we have assumed:</w:t>
      </w:r>
    </w:p>
    <w:p>
      <w:pPr>
        <w:spacing w:after="0" w:line="225" w:lineRule="exact"/>
        <w:rPr>
          <w:sz w:val="20"/>
          <w:szCs w:val="20"/>
          <w:color w:val="auto"/>
        </w:rPr>
      </w:pPr>
    </w:p>
    <w:p>
      <w:pPr>
        <w:ind w:left="900" w:hanging="244"/>
        <w:spacing w:after="0"/>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capacity of all natural persons executing the Documents;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on the Documents;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of all Documents submitted to us as originals, and the conformity to original documents of all Documents submitted to us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w:t>
      </w:r>
    </w:p>
    <w:p>
      <w:pPr>
        <w:spacing w:after="0" w:line="207" w:lineRule="exact"/>
        <w:rPr>
          <w:sz w:val="20"/>
          <w:szCs w:val="20"/>
          <w:color w:val="auto"/>
        </w:rPr>
      </w:pPr>
    </w:p>
    <w:p>
      <w:pPr>
        <w:ind w:left="920" w:hanging="264"/>
        <w:spacing w:after="0"/>
        <w:tabs>
          <w:tab w:leader="none" w:pos="9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parties to such Documents, other than the Company, had the power, corporate or other, to enter into and perform all obligations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128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RYTHM,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ind w:left="900" w:hanging="244"/>
        <w:spacing w:after="0"/>
        <w:tabs>
          <w:tab w:leader="none" w:pos="9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Documents are or will be upon execution and delivery enforceable in accordance with their terms with respect to all parties;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the Company, the due authorization by all requisite action, corporate or other, of the execution, delivery and performance by all parties of the Documents, and the validity and binding effect thereof on such parties;</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 the Registration Statement and any amendments thereto shall have become effective under the Securities Act and will remain effective at the time of issuance of any Common Stock or Preferred Stock thereunder; (ii) a prospectus supplement describing each class of Common Stock or Preferred Stock offered pursuant to the Registration Statement will be timely filed with the Commission; (iii) the definitive terms of each class or series of Common Stock or Preferred Stock shall have been established in accordance with resolutions (each, a “Board Action”) duly adopted by the Company’s Board in compliance with the Company’s Articles of Incorporation, Bylaws, and applicable law; (iv) a Certificate of Designation related to the establishment of any series of Preferred Stock will have been duly adopted by the Company’s Board and duly filed with the Nevada Secretary of State; (v) the Company will issue and deliver the Common Stock or Preferred Stock identified in any applicable prospectus supplement in the manner contemplated by the Registration Statement, the Prospectus, the applicable prospectus supplement, and any applicable underwriting, subscription, placement agency, or similar agreement; (vi) the total number of shares of Common Stock issuable (including upon conversion, exchange, or exercise of any other security) will not exceed the total number of shares of Common Stock that the Company is authorized to issue and has available under its Articles of Incorporation at the time of issuance; (vii) the total number of shares of Preferred Stock issuable (including upon conversion, exchange, or exercise of any other security) will not exceed the total number of shares of Preferred Stock that the Company is authorized to issue and has available under its Articles of Incorporation and the applicable Certificate of Designation related to the Preferred Stock at the time of issuance; (viii) the Board Action authorizing the Company to offer, issue, and sell the Common Stock and Preferred Stock will have been adopted by the Board and will be in full force and effect at the time the Securities are offered and sold by the Company; and (ix) the Common Stock and Preferred Stock will have been issued in compliance with federal and state securities law.</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opinions expressed below are limited to the matters specifically set forth herein and no other opinion shall be inferred beyond the matters expressly stated. We disclaim any undertaking to advise you of any subsequent changes in the facts stated or assumed for purposes of delivering these opinions expressed herein or any changes in applicable law that may come to our attention after the date the Registration Statement is declared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128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RYTHM,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and subject to the assumptions, limitations, and qualifications set forth herein, we are of the opinion that:</w:t>
      </w:r>
    </w:p>
    <w:p>
      <w:pPr>
        <w:spacing w:after="0" w:line="162" w:lineRule="exact"/>
        <w:rPr>
          <w:sz w:val="20"/>
          <w:szCs w:val="20"/>
          <w:color w:val="auto"/>
        </w:rPr>
      </w:pPr>
    </w:p>
    <w:p>
      <w:pPr>
        <w:jc w:val="both"/>
        <w:ind w:firstLine="656"/>
        <w:spacing w:after="0" w:line="255" w:lineRule="auto"/>
        <w:tabs>
          <w:tab w:leader="none" w:pos="89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to be sold by the Company, including any Common Stock duly issued: (i) upon the exchange or conversion of any duly issued preferred stock or debt securities, including the Preferred Stock or Debt Securities offered and issued under the Registration Statement, (ii) under the terms of any purchase contract or subscription rights agreement, (iii) upon the exercise of any warrants, including any Warrants offered and issued under the Registration Statement, or (iv) as a unit in combination with other securities of the Company, including any Unit offered and issued under the Registration Statement, upon issuance and delivery of certificates (or book-entry notation) against payment therefor as set forth in the applicable underwriting, subscription, placement agency, or similar agreement related to the issuance of the Common Stock as described in the Registration Statement, Prospectus, or a prospectus supplement, has been duly authorized and upon issuance will be validly issued, fully paid, and non-assessable.</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to be sold by the Company, including any Preferred Stock duly issued (i) upon the exchange or conversion of any duly issued debt securities, including the Debt Securities offered and issued under the Registration Statement, (ii) under the terms of any purchase contract or subscription rights agreement, (iii) upon the exercise of any warrants, including any Warrants offered and issued under the Registration Statement, or (iv) as a unit in combination with other securities of the Company, including any Unit offered and issued under the Registration Statement, upon issuance and delivery of certificates (or book-entry notation) against payment therefor as set forth in the applicable underwriting, subscription, placement agency, or similar agreement related to the issuance of the Preferred Stock as described in the Registration Statement, Prospectus, or a prospectus supplement, has been duly authorized and upon issuance will be validly issued, fully paid, and non-assessable.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certain members of this firm are admitted to practice in certain jurisdictions other than Nevada, in rendering the foregoing opinions we have not examined the laws of any jurisdiction other than Nevada. The opinions we express herein are limited solely to the laws of the State of Nevada, other than the securities laws and regulations of the State of Nevada (as to which we express no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76910" cy="128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676910" cy="128905"/>
                    </a:xfrm>
                    <a:prstGeom prst="rect">
                      <a:avLst/>
                    </a:prstGeom>
                    <a:noFill/>
                  </pic:spPr>
                </pic:pic>
              </a:graphicData>
            </a:graphic>
          </wp:anchor>
        </w:drawing>
        <w:t>RYTHM,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we consent to the reference of our name under the caption “Legal Matters” in the Registration Statement and Prospectus. In giving the foregoing consent, we do not hereby admit that we are in the category of persons whose consent is required under Section 7 of the Securities Act or the rules and regulations of the Commission thereunder.</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Fennemore Craig, P.C.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FENNEMORE CRAIG, P.C.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tmor/cdol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22"/>
          <w:szCs w:val="22"/>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663065" cy="1797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166306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 High Street | Boston, MA 02110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blankrome.com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RYTHM,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2220 Hicks Road, Suite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Meadows, Illinois 60008</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  RYTHM, Inc.</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Statement on Form S-3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We have acted as counsel to RYTHM, Inc.,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by the Company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including a base prospectus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with respect to the contemplated issuance from time to time of up to $100,000,000 of any combination of the following securities (the “</w:t>
      </w:r>
      <w:r>
        <w:rPr>
          <w:rFonts w:ascii="Times New Roman" w:cs="Times New Roman" w:eastAsia="Times New Roman" w:hAnsi="Times New Roman"/>
          <w:sz w:val="18"/>
          <w:szCs w:val="18"/>
          <w:u w:val="single" w:color="auto"/>
          <w:color w:val="auto"/>
        </w:rPr>
        <w:t>Registered Securities</w:t>
      </w:r>
      <w:r>
        <w:rPr>
          <w:rFonts w:ascii="Times New Roman" w:cs="Times New Roman" w:eastAsia="Times New Roman" w:hAnsi="Times New Roman"/>
          <w:sz w:val="18"/>
          <w:szCs w:val="18"/>
          <w:color w:val="auto"/>
        </w:rPr>
        <w:t>”): (i) shares of common stock of the Company,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(ii) shares of preferred stock of the Company, par value $0.001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firstLine="8"/>
        <w:spacing w:after="0" w:line="252" w:lineRule="auto"/>
        <w:tabs>
          <w:tab w:leader="none" w:pos="32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in one or more series (the “</w:t>
      </w: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 which may be issued pursuant to indentures to be dated on or about the date of the first issuance of Debt Securities thereunder, as applicable, by and between a trustee to be selected by the Company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the Company, in the form filed as Exhibits 4.1 and 4.2 to the Registration Statement and one or more indentures supplemental thereto with respect to any particular series of Debt Securities (collectively, the “</w:t>
      </w:r>
      <w:r>
        <w:rPr>
          <w:rFonts w:ascii="Times New Roman" w:cs="Times New Roman" w:eastAsia="Times New Roman" w:hAnsi="Times New Roman"/>
          <w:sz w:val="18"/>
          <w:szCs w:val="18"/>
          <w:u w:val="single" w:color="auto"/>
          <w:color w:val="auto"/>
        </w:rPr>
        <w:t>Indentures</w:t>
      </w:r>
      <w:r>
        <w:rPr>
          <w:rFonts w:ascii="Times New Roman" w:cs="Times New Roman" w:eastAsia="Times New Roman" w:hAnsi="Times New Roman"/>
          <w:sz w:val="18"/>
          <w:szCs w:val="18"/>
          <w:color w:val="auto"/>
        </w:rPr>
        <w:t>”); (iv) warrants to purchase Common Stock, Preferred Stock or Debt Securities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which may be issued under one or more warrant agreements, to be dated on or about the date of the first issuance of the Warrants thereunder, by and between a warrant agent to be selected by the Company (the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and the Company (each, a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and (v) units consisting of one or more of the other securities described in (i) through (iv) above in any combination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601(b)(5) of Regulation S-K under the Securities Act.</w:t>
      </w:r>
    </w:p>
    <w:p>
      <w:pPr>
        <w:spacing w:after="0" w:line="225"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In rendering the opinions set forth herein, we have examined originals or copies, certified or otherwise identified to our satisfaction, of (i) the Registration Statement, (ii) the Indentures, (iii) resolutions adopted by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(iv) the Articles of Incorporation of the Company, as amended (the “</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 (v) the Third Amended and Restated Bylaws of the Company, and (vi) such other corporate records, agreements, certificates, including, but not limited to, certificates or comparable documents of public officials and of officers and representatives of the Company, statutes and other instruments and documents as we considered relevant and necessary as a basis for the opinions hereinafter expressed.</w:t>
      </w:r>
    </w:p>
    <w:p>
      <w:pPr>
        <w:spacing w:after="0" w:line="18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In rendering this opinion, we have assumed, without inquiry or investigation: (i) the authenticity of all documents submitted to us as originals; (ii) the conformity to the original documents of all documents submitted to us as facsimile, electronic, certified or photostatic copies, and the authenticity of the originals of such copies; (iii) the legal capacity of all natural persons and the genuineness of all signatures on the Registration Statement and all documents submitted to us; (iv) that the books and records of the Company are maintained in accordance with proper corporate procedures; and (v) that all statements in certificates of public officials and officers of the Company that we reviewed were and are 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63065" cy="1797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79705"/>
                    </a:xfrm>
                    <a:prstGeom prst="rect">
                      <a:avLst/>
                    </a:prstGeom>
                    <a:noFill/>
                  </pic:spPr>
                </pic:pic>
              </a:graphicData>
            </a:graphic>
          </wp:anchor>
        </w:drawing>
        <w:t>RYTHM,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07"/>
        <w:spacing w:after="0" w:line="251" w:lineRule="auto"/>
        <w:rPr>
          <w:sz w:val="20"/>
          <w:szCs w:val="20"/>
          <w:color w:val="auto"/>
        </w:rPr>
      </w:pPr>
      <w:r>
        <w:rPr>
          <w:rFonts w:ascii="Times New Roman" w:cs="Times New Roman" w:eastAsia="Times New Roman" w:hAnsi="Times New Roman"/>
          <w:sz w:val="18"/>
          <w:szCs w:val="18"/>
          <w:color w:val="auto"/>
        </w:rPr>
        <w:t>In making our examination of executed documents or documents to be executed, we have assumed that the parties thereto had or will have the power, corporate or other, to enter into and perform all obligations thereunder and we have also assumed the due authorization by all requisite action, corporate or other, and execution and delivery by such parties of such documents and (except to the extent we have opined on such matters below) the validity and binding effect on such parties. In addition, we have assumed that (i) a purchase, underwriting or similar agreement with respect to any Registered Securities will have been duly authorized and validly executed and delivered by the Company and the other parties thereto; (ii) the Registration Statement and any amendments thereto will have become effective and comply with all applicable laws at the time the Registered Securities are offered or issued as contemplated by the Registration Statement and no stop order suspending its effectiveness will have been issued and remain in effect; (iii) all Registered Securities will be issued and sold in compliance with applicable federal and state securities laws and in the manner stated in the Registration Statement and the applicable prospectus supplement; (iv) a prospectus supplement or term sheet will have been prepared and filed with the Commission describing the Registered Securities offered thereby and will comply at all relevant times with all applicable laws; (v) the applicable Indenture or Indentures and indenture Trustees will have been duly qualified under the Trust Indenture Act of 1939, as amended, and a Statement of Eligibility of the Trustee on Form T-1 has been or will be filed with the Commission with respect to each such Trustee; (vi) the choice of New York law to govern the Indentures is a valid and legal provision; (vii) the Company will have obtained any legally required consents, approvals, authorizations and other orders of the Commission and any other regulatory authorities necessary (x) to issue and sell the Registered Securities being offered, and (y) to execute and deliver the applicable Indenture, purchase, underwriting or similar agreement, or other applicable operative document; (viii) any securities issuable upon conversion, exchange, redemption or exercise of any Registered Securities being offered will be duly authorized, created and, if appropriate, reserved for issuance upon such conversion, exchange, redemption or exercise and, with respect to shares of Common Stock or Preferred Stock offered, there will be sufficient shares of Common Stock or Preferred Stock, as applicable, authorized under the Articles of Incorporation and not otherwise reserved for issuance; (ix) at the time of issuance of the Registered Securities, the Company validly exists and is duly qualified and in good standing under the laws of its jurisdiction of incorporation, and has the necessary corporate power for such issuance; (x) at the time of issuance of the Registered Securities, the Articles of Incorporation and then-operative bylaws of the Company are in full force and effect and have not been amended, restated, supplemented or otherwise altered, and there has been no authorization of any such amendment, restatement, supplement or other alteration, in either case since the date hereof; and (xi) the terms, execution and delivery of the Registered Securities (x) do not result in breaches of, or defaults under, agreements or instruments to which the Company is bound or violations of applicable statutes, rules, regulations or court or governmental orders, and (y) comply with any applicable requirement or restriction imposed by any court or governmental body having jurisdiction over the Company. As to any facts material to the opinions expressed herein that we have not independently established or verified, we have relied upon, and assumed the accuracy of, statements and representations of officers and other representatives of the Company and others.</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Based on the foregoing, and subject to the qualifications, exceptions and assumptions stated herein, we are of the opinion that:</w:t>
      </w:r>
    </w:p>
    <w:p>
      <w:pPr>
        <w:spacing w:after="0" w:line="225" w:lineRule="exact"/>
        <w:rPr>
          <w:sz w:val="20"/>
          <w:szCs w:val="20"/>
          <w:color w:val="auto"/>
        </w:rPr>
      </w:pPr>
    </w:p>
    <w:p>
      <w:pPr>
        <w:jc w:val="both"/>
        <w:ind w:firstLine="615"/>
        <w:spacing w:after="0" w:line="256" w:lineRule="auto"/>
        <w:tabs>
          <w:tab w:leader="none" w:pos="80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when (i) the applicable Indenture has been duly authorized, executed and delivered by the Company and the Trustee; (ii) the Board or a committee thereof has taken all necessary corporate action to establish and approve the issuance and terms of such Debt Securities, the terms of the offering thereof and related matters; and (iii) such Debt Securities have been duly executed, authenticated, issued and delivered in accordance with the provisions of the applicable Indenture and in accordance with the applicable purchase, underwriting, similar agreement or other security approved by the Board or a committee thereof, then upon payment of the consideration provided for therein, such Debt Securities will constitute valid and binding obligations of the Company.</w:t>
      </w:r>
    </w:p>
    <w:p>
      <w:pPr>
        <w:spacing w:after="0" w:line="187" w:lineRule="exact"/>
        <w:rPr>
          <w:rFonts w:ascii="Times New Roman" w:cs="Times New Roman" w:eastAsia="Times New Roman" w:hAnsi="Times New Roman"/>
          <w:sz w:val="18"/>
          <w:szCs w:val="18"/>
          <w:color w:val="auto"/>
        </w:rPr>
      </w:pPr>
    </w:p>
    <w:p>
      <w:pPr>
        <w:jc w:val="both"/>
        <w:ind w:firstLine="615"/>
        <w:spacing w:after="0" w:line="256" w:lineRule="auto"/>
        <w:tabs>
          <w:tab w:leader="none" w:pos="80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Warrants, when (i) the Board or a committee thereof has taken all necessary corporate action to establish and approve the issuance and terms of the Warrants, the terms of the offering thereof and related matters; (ii) the Warrant Agreement relating to the Warrants has been duly authorized and validly executed and delivered by the Company and the Warrant Agent appointed by the Company; and (iii) the Warrants or certificates representing the Warrants have been duly executed, countersigned, registered and delivered in accordance with the appropriate Warrant Agreement and the applicable purchase, underwriting or similar agreement approved by the Board or a committee thereof, then upon payment of the consideration approved by the Board or a committee thereof, the Warrants will constitute valid and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63065" cy="1797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79705"/>
                    </a:xfrm>
                    <a:prstGeom prst="rect">
                      <a:avLst/>
                    </a:prstGeom>
                    <a:noFill/>
                  </pic:spPr>
                </pic:pic>
              </a:graphicData>
            </a:graphic>
          </wp:anchor>
        </w:drawing>
        <w:t>RYTHM,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firstLine="615"/>
        <w:spacing w:after="0" w:line="258" w:lineRule="auto"/>
        <w:tabs>
          <w:tab w:leader="none" w:pos="78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Units, when (i) the Board or a committee thereof has taken all necessary corporate action to establish and approve the terms of the Units, the terms of the offering thereof and related matters; and (ii) the Units have been duly executed and delivered in accordance with the applicable purchase, underwriting or similar agreement approved by or on behalf of the Board or a committee thereof, then upon payment of the consideration approved by the Board or a committee thereof (not less than the par value of Common Stock), the Units will constitute valid and binding obligations of the Company.</w:t>
      </w:r>
    </w:p>
    <w:p>
      <w:pPr>
        <w:spacing w:after="0" w:line="183"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In addition to the assumptions, comments, qualifications, limitations and exceptions set forth above, the opinions set forth herein are further limited by, subject to and based upon the following:</w:t>
      </w:r>
    </w:p>
    <w:p>
      <w:pPr>
        <w:spacing w:after="0" w:line="189" w:lineRule="exact"/>
        <w:rPr>
          <w:sz w:val="20"/>
          <w:szCs w:val="20"/>
          <w:color w:val="auto"/>
        </w:rPr>
      </w:pPr>
    </w:p>
    <w:p>
      <w:pPr>
        <w:jc w:val="both"/>
        <w:ind w:left="380" w:right="20" w:hanging="345"/>
        <w:spacing w:after="0" w:line="253" w:lineRule="auto"/>
        <w:tabs>
          <w:tab w:leader="none" w:pos="3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opinions herein are expressed solely with respect to the applicable laws of the State of New York that, in our experience, are normally applicable to transactions of the type contemplated by the Registration Statement. The opinions set forth herein related to the Warrants and the Units assume that such Warrants and Units will be embodied in an instrument governed by New York law. In rendering our opinions, we have not considered, and hereby disclaim any opinion as to, the application or impact of any laws, cases, decisions, rules or regulations of any other jurisdiction, court or administrative agency. The opinions set forth herein are made as of the date hereof and are subject to, and may be limited by, future changes in the factual matters set forth herein, and we undertake no duty to advise you of the same that may occur after the Registration Statement becomes effective. The opinions expressed herein are based upon the law in effect (and published or otherwise generally available) on the date hereof, which laws are subject to change with possible retroactive effect, and we assume no obligation to revise or supplement these opinions should such law be changed by legislative action, judicial decision or otherwise after the Registration Statement becomes effective. The opinion set forth herein related to Debt Securities assumes that loans or forbearances which are to be made or advanced to the Company in one or more installments pursuant to a series of Debt Securities issued under any of the Indentures shall aggregate not less than $2,500,000.</w:t>
      </w:r>
    </w:p>
    <w:p>
      <w:pPr>
        <w:spacing w:after="0" w:line="245" w:lineRule="exact"/>
        <w:rPr>
          <w:rFonts w:ascii="Times New Roman" w:cs="Times New Roman" w:eastAsia="Times New Roman" w:hAnsi="Times New Roman"/>
          <w:sz w:val="18"/>
          <w:szCs w:val="18"/>
          <w:color w:val="auto"/>
        </w:rPr>
      </w:pPr>
    </w:p>
    <w:p>
      <w:pPr>
        <w:jc w:val="both"/>
        <w:ind w:left="380" w:right="40" w:hanging="345"/>
        <w:spacing w:after="0" w:line="261" w:lineRule="auto"/>
        <w:tabs>
          <w:tab w:leader="none" w:pos="3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opinions set forth above are subject to and may be limited by (i) applicable bankruptcy, reorganization, insolvency, conservatorship, moratorium, fraudulent conveyance, debtor and creditor, and similar laws which relate to or affect creditors’ rights generally, and (ii) general principles of equity (including, without limitation, concepts of materiality, reasonableness, impossibility of performance, good faith and fair dealing) regardless of whether considered in a proceeding in equity or at law.</w:t>
      </w:r>
    </w:p>
    <w:p>
      <w:pPr>
        <w:spacing w:after="0" w:line="233" w:lineRule="exact"/>
        <w:rPr>
          <w:rFonts w:ascii="Times New Roman" w:cs="Times New Roman" w:eastAsia="Times New Roman" w:hAnsi="Times New Roman"/>
          <w:sz w:val="18"/>
          <w:szCs w:val="18"/>
          <w:color w:val="auto"/>
        </w:rPr>
      </w:pPr>
    </w:p>
    <w:p>
      <w:pPr>
        <w:ind w:left="380" w:right="20" w:hanging="345"/>
        <w:spacing w:after="0" w:line="282" w:lineRule="auto"/>
        <w:tabs>
          <w:tab w:leader="none" w:pos="3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opinions are subject to the qualification that the availability of specific performance, an injunction or other equitable remedies is subject to the discretion of the court before which the request is brought.</w:t>
      </w:r>
    </w:p>
    <w:p>
      <w:pPr>
        <w:spacing w:after="0" w:line="215" w:lineRule="exact"/>
        <w:rPr>
          <w:rFonts w:ascii="Times New Roman" w:cs="Times New Roman" w:eastAsia="Times New Roman" w:hAnsi="Times New Roman"/>
          <w:sz w:val="18"/>
          <w:szCs w:val="18"/>
          <w:color w:val="auto"/>
        </w:rPr>
      </w:pPr>
    </w:p>
    <w:p>
      <w:pPr>
        <w:jc w:val="both"/>
        <w:ind w:left="380" w:right="40" w:hanging="345"/>
        <w:spacing w:after="0" w:line="258" w:lineRule="auto"/>
        <w:tabs>
          <w:tab w:leader="none" w:pos="3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informed us that you intend to issue the Registered Securities from time to time on a delayed or continuous basis, and this opinion is limited to the laws, including the rules and regulations, as in effect on the date hereof. We understand that prior to issuing any Registered Securities you will afford us an opportunity to review the operative documents pursuant to which such Registered Securities are to be issued (including the applicable prospectus supplement) and will file such supplement or amendment to this opinion (if any) as we may reasonably consider necessary or appropriate by reason of the terms of such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63065" cy="1797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clrChange>
                        <a:clrFrom>
                          <a:srgbClr val="FFFFFF"/>
                        </a:clrFrom>
                        <a:clrTo>
                          <a:srgbClr val="FFFFFF">
                            <a:alpha val="0"/>
                          </a:srgbClr>
                        </a:clrTo>
                      </a:clrChange>
                      <a:extLst>
                        <a:ext uri="{28A0092B-C50C-407E-A947-70E740481C1C}"/>
                      </a:extLst>
                    </a:blip>
                    <a:srcRect/>
                    <a:stretch>
                      <a:fillRect/>
                    </a:stretch>
                  </pic:blipFill>
                  <pic:spPr bwMode="auto">
                    <a:xfrm>
                      <a:off x="0" y="0"/>
                      <a:ext cx="1663065" cy="179705"/>
                    </a:xfrm>
                    <a:prstGeom prst="rect">
                      <a:avLst/>
                    </a:prstGeom>
                    <a:noFill/>
                  </pic:spPr>
                </pic:pic>
              </a:graphicData>
            </a:graphic>
          </wp:anchor>
        </w:drawing>
        <w:t>RYTHM,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We also consent to any and all references to us in the prospectus which is part of said Registration Statement. In giving this consent, we do not thereby admit that we are within the category of persons whose consent is required under Section 7 of the Securities Act or the rules and regulations of the Commission promulgated thereunder. This opinion is strictly limited to the matters stated herein and no other or more extensive opinion is intended, implied or to be inferred beyond the matters expressly stated herein. This opinion letter is not a guaranty nor may one be inferred or implied.</w:t>
      </w:r>
    </w:p>
    <w:p>
      <w:pPr>
        <w:spacing w:after="0" w:line="21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i w:val="1"/>
          <w:iCs w:val="1"/>
          <w:color w:val="auto"/>
        </w:rPr>
        <w:t>/s/ Blank Rome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18415</wp:posOffset>
            </wp:positionV>
            <wp:extent cx="289750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2897505" cy="17145"/>
                    </a:xfrm>
                    <a:prstGeom prst="rect">
                      <a:avLst/>
                    </a:prstGeom>
                    <a:noFill/>
                  </pic:spPr>
                </pic:pic>
              </a:graphicData>
            </a:graphic>
          </wp:anchor>
        </w:drawing>
      </w:r>
    </w:p>
    <w:p>
      <w:pPr>
        <w:spacing w:after="0" w:line="4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Blank Rome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Consent of Independent Registered Public Accounting Firm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RYTHM, Inc. (formerly known as Agrify Corporation) of our report, dated March 21, 2025, relating to the consolidated financial statements of Agrify Corporation as of December 31, 2024 and for the year then ended, and the retrospective adjustments to the 2023 consolidated financial statements described in Notes 1 and 6, except for the retroactive impact of the reverse stock split on October 8, 2024, as to which the date is March 27, 2025, and for the retrospective adjustments related to the discontinued operations of the Extraction Business described in Notes 1 and 6, as to which the date is October 8, 2025, which appears in RYTHM, Inc.’s Current Report on Form 8-K dated October 8, 2025. We also consent to the reference to us under the heading “Experts” in this Registration 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GuzmanGray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GuzmanGray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3" w:name="page254"/>
    <w:bookmarkEnd w:id="253"/>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RYTHM, Inc. (formerly known as Agrify Corporation) of our report, dated February 21, 2025, relating to the financial statements of Double or Nothing, LLC as of December 31, 2023 and 2022 and for the years then ended appearing in the Amended Current Report on Form 8-K/A of Agrify Corporation filed on February 25, 2025. We also consent to the reference to us under the heading “Experts” in this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GuzmanGray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GuzmanGray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Firm’s Consent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of RYTHM, Inc. (formerly known as Agrify Corporation) of our report dated April 15, 2024, which included an explanatory paragraph as to Agrify Corporation and Subsidiaries ability to continue as a going concern, with respect to our audit of the consolidated financial statements of Agrify Corporation and Subsidiaries as of December 31, 2023 and for the year ended December 31, 2023 appearing in this current report on Form 8-K dated October 8, 2025. We also consent to the reference to our firm under the heading “Experts” in the Prospectus, which is part of this Registration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 South Service Road Suite 300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 11747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8, 2025</w:t>
      </w:r>
    </w:p>
    <w:p>
      <w:pPr>
        <w:sectPr>
          <w:pgSz w:w="11900" w:h="16838" w:orient="portrait"/>
          <w:cols w:equalWidth="0" w:num="1">
            <w:col w:w="11240"/>
          </w:cols>
          <w:pgMar w:left="320" w:top="108" w:right="33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RYTHM,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80" w:type="dxa"/>
            <w:vAlign w:val="bottom"/>
            <w:vMerge w:val="restart"/>
          </w:tcPr>
          <w:p>
            <w:pPr>
              <w:spacing w:after="0"/>
              <w:rPr>
                <w:sz w:val="12"/>
                <w:szCs w:val="12"/>
                <w:color w:val="auto"/>
              </w:rPr>
            </w:pPr>
          </w:p>
        </w:tc>
        <w:tc>
          <w:tcPr>
            <w:tcW w:w="216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tcPr>
          <w:p>
            <w:pPr>
              <w:spacing w:after="0"/>
              <w:rPr>
                <w:sz w:val="12"/>
                <w:szCs w:val="12"/>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80" w:type="dxa"/>
            <w:vAlign w:val="bottom"/>
            <w:vMerge w:val="restart"/>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vMerge w:val="restart"/>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2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8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277"/>
        </w:trPr>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7"/>
          </w:tcPr>
          <w:p>
            <w:pPr>
              <w:ind w:left="106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Pr>
          <w:p>
            <w:pPr>
              <w:spacing w:after="0"/>
              <w:rPr>
                <w:sz w:val="19"/>
                <w:szCs w:val="19"/>
                <w:color w:val="auto"/>
              </w:rPr>
            </w:pPr>
          </w:p>
        </w:tc>
        <w:tc>
          <w:tcPr>
            <w:tcW w:w="74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9"/>
                <w:szCs w:val="19"/>
                <w:color w:val="auto"/>
              </w:rPr>
            </w:pP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 value $0.001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 share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Preferred Stock,</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 value $0.001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 share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Debt Securities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Units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w w:val="99"/>
              </w:rPr>
              <w:t>Unallocated (Universal) Shelf</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Pr>
          <w:p>
            <w:pPr>
              <w:spacing w:after="0"/>
              <w:rPr>
                <w:sz w:val="20"/>
                <w:szCs w:val="20"/>
                <w:color w:val="auto"/>
              </w:rPr>
            </w:pPr>
          </w:p>
        </w:tc>
        <w:tc>
          <w:tcPr>
            <w:tcW w:w="74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$ 100,000,000.00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$ 13,810.00</w:t>
            </w: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40" w:type="dxa"/>
            <w:vAlign w:val="bottom"/>
            <w:gridSpan w:val="7"/>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Offering Amounts:</w:t>
            </w:r>
          </w:p>
        </w:tc>
        <w:tc>
          <w:tcPr>
            <w:tcW w:w="12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gridSpan w:val="7"/>
            <w:vMerge w:val="continue"/>
          </w:tcPr>
          <w:p>
            <w:pPr>
              <w:spacing w:after="0"/>
              <w:rPr>
                <w:sz w:val="16"/>
                <w:szCs w:val="16"/>
                <w:color w:val="auto"/>
              </w:rPr>
            </w:pPr>
          </w:p>
        </w:tc>
        <w:tc>
          <w:tcPr>
            <w:tcW w:w="1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6"/>
              </w:rPr>
              <w:t>$ 100,000,000.00</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13,810.00</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$ 13,810.00</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ind w:left="360" w:hanging="292"/>
        <w:spacing w:after="0" w:line="282" w:lineRule="auto"/>
        <w:tabs>
          <w:tab w:leader="none" w:pos="3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457(o) under the Securities Act of 1933, as amended (the “Securities Act”), based on the proposed maximum aggregate offering price.</w:t>
      </w:r>
    </w:p>
    <w:p>
      <w:pPr>
        <w:spacing w:after="0" w:line="161" w:lineRule="exact"/>
        <w:rPr>
          <w:rFonts w:ascii="Times New Roman" w:cs="Times New Roman" w:eastAsia="Times New Roman" w:hAnsi="Times New Roman"/>
          <w:sz w:val="18"/>
          <w:szCs w:val="18"/>
          <w:color w:val="auto"/>
        </w:rPr>
      </w:pPr>
    </w:p>
    <w:p>
      <w:pPr>
        <w:jc w:val="both"/>
        <w:ind w:left="3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as shall have an aggregate initial offering price not to exceed $100,000,000. If any debt securities are issued at an original issue discount, then the offering price of such debt securities shall be in such greater principal amount as shall result in an aggregate initial offering price not to exceed $100,000,000, less the aggregate dollar amount of all securities previously issued hereunder. Units may be issued under a unit agreement and will represent an interest in one or more securities registered under this registration statement including shares of common stock or preferred stock, debt securities or warrants, in any combination, which may or may not be separable from one another. Pursuant to Rule 416 under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94"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w:t>
      </w:r>
    </w:p>
    <w:p>
      <w:pPr>
        <w:spacing w:after="0" w:line="53" w:lineRule="exact"/>
        <w:rPr>
          <w:rFonts w:ascii="Times New Roman" w:cs="Times New Roman" w:eastAsia="Times New Roman" w:hAnsi="Times New Roman"/>
          <w:sz w:val="18"/>
          <w:szCs w:val="18"/>
          <w:color w:val="auto"/>
        </w:rPr>
      </w:pPr>
    </w:p>
    <w:p>
      <w:pPr>
        <w:ind w:left="360" w:hanging="292"/>
        <w:spacing w:after="0" w:line="282" w:lineRule="auto"/>
        <w:tabs>
          <w:tab w:leader="none" w:pos="3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457(o) under the Securities Act of 1933, as amended (the “Securities Act”), based on the proposed maximum aggregate offering price.</w:t>
      </w:r>
    </w:p>
    <w:p>
      <w:pPr>
        <w:spacing w:after="0" w:line="161" w:lineRule="exact"/>
        <w:rPr>
          <w:rFonts w:ascii="Times New Roman" w:cs="Times New Roman" w:eastAsia="Times New Roman" w:hAnsi="Times New Roman"/>
          <w:sz w:val="18"/>
          <w:szCs w:val="18"/>
          <w:color w:val="auto"/>
        </w:rPr>
      </w:pPr>
    </w:p>
    <w:p>
      <w:pPr>
        <w:jc w:val="both"/>
        <w:ind w:left="3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as shall have an aggregate initial offering price not to exceed $100,000,000. If any debt securities are issued at an original issue discount, then the offering price of such debt securities shall be in such greater principal amount as shall result in an aggregate initial offering price not to exceed $100,000,000, less the aggregate dollar amount of all securities previously issued hereunder. Units may be issued under a unit agreement and will represent an interest in one or more securities registered under this registration statement including shares of common stock or preferred stock, debt securities or warrants, in any combination, which may or may not be separable from one another. Pursuant to Rule 416 under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94"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w:t>
      </w:r>
    </w:p>
    <w:p>
      <w:pPr>
        <w:spacing w:after="0" w:line="53" w:lineRule="exact"/>
        <w:rPr>
          <w:rFonts w:ascii="Times New Roman" w:cs="Times New Roman" w:eastAsia="Times New Roman" w:hAnsi="Times New Roman"/>
          <w:sz w:val="18"/>
          <w:szCs w:val="18"/>
          <w:color w:val="auto"/>
        </w:rPr>
      </w:pPr>
    </w:p>
    <w:p>
      <w:pPr>
        <w:ind w:left="360" w:hanging="292"/>
        <w:spacing w:after="0" w:line="282" w:lineRule="auto"/>
        <w:tabs>
          <w:tab w:leader="none" w:pos="3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457(o) under the Securities Act of 1933, as amended (the “Securities Act”), based on the proposed maximum aggregate offering price.</w:t>
      </w:r>
    </w:p>
    <w:p>
      <w:pPr>
        <w:spacing w:after="0" w:line="161" w:lineRule="exact"/>
        <w:rPr>
          <w:rFonts w:ascii="Times New Roman" w:cs="Times New Roman" w:eastAsia="Times New Roman" w:hAnsi="Times New Roman"/>
          <w:sz w:val="18"/>
          <w:szCs w:val="18"/>
          <w:color w:val="auto"/>
        </w:rPr>
      </w:pPr>
    </w:p>
    <w:p>
      <w:pPr>
        <w:jc w:val="both"/>
        <w:ind w:left="3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as shall have an aggregate initial offering price not to exceed $100,000,000. If any debt securities are issued at an original issue discount, then the offering price of such debt securities shall be in such greater principal amount as shall result in an aggregate initial offering price not to exceed $100,000,000, less the aggregate dollar amount of all securities previously issued hereunder. Units may be issued under a unit agreement and will represent an interest in one or more securities registered under this registration statement including shares of common stock or preferred stock, debt securities or warrants, in any combination, which may or may not be separable from one another. Pursuant to Rule 416 under the Securities Act, this registration statement also covers any additional securities that may be offered or</w:t>
      </w:r>
    </w:p>
    <w:p>
      <w:pPr>
        <w:sectPr>
          <w:pgSz w:w="11900" w:h="16838" w:orient="portrait"/>
          <w:cols w:equalWidth="0" w:num="1">
            <w:col w:w="11240"/>
          </w:cols>
          <w:pgMar w:left="320" w:top="108" w:right="339" w:bottom="0" w:gutter="0" w:footer="0" w:header="0"/>
        </w:sectPr>
      </w:pPr>
    </w:p>
    <w:bookmarkStart w:id="256" w:name="page257"/>
    <w:bookmarkEnd w:id="256"/>
    <w:p>
      <w:pPr>
        <w:ind w:left="292"/>
        <w:spacing w:after="0" w:line="282" w:lineRule="auto"/>
        <w:rPr>
          <w:sz w:val="20"/>
          <w:szCs w:val="20"/>
          <w:color w:val="auto"/>
        </w:rPr>
      </w:pPr>
      <w:r>
        <w:rPr>
          <w:rFonts w:ascii="Times New Roman" w:cs="Times New Roman" w:eastAsia="Times New Roman" w:hAnsi="Times New Roman"/>
          <w:sz w:val="18"/>
          <w:szCs w:val="18"/>
          <w:color w:val="auto"/>
        </w:rPr>
        <w:t>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62" w:lineRule="exact"/>
        <w:rPr>
          <w:sz w:val="20"/>
          <w:szCs w:val="20"/>
          <w:color w:val="auto"/>
        </w:rPr>
      </w:pPr>
    </w:p>
    <w:p>
      <w:pPr>
        <w:ind w:left="292"/>
        <w:spacing w:after="0" w:line="282" w:lineRule="auto"/>
        <w:rPr>
          <w:sz w:val="20"/>
          <w:szCs w:val="20"/>
          <w:color w:val="auto"/>
        </w:rPr>
      </w:pPr>
      <w:r>
        <w:rPr>
          <w:rFonts w:ascii="Times New Roman" w:cs="Times New Roman" w:eastAsia="Times New Roman" w:hAnsi="Times New Roman"/>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w:t>
      </w:r>
    </w:p>
    <w:p>
      <w:pPr>
        <w:spacing w:after="0" w:line="54" w:lineRule="exact"/>
        <w:rPr>
          <w:sz w:val="20"/>
          <w:szCs w:val="20"/>
          <w:color w:val="auto"/>
        </w:rPr>
      </w:pPr>
    </w:p>
    <w:p>
      <w:pPr>
        <w:ind w:left="292" w:hanging="292"/>
        <w:spacing w:after="0" w:line="282" w:lineRule="auto"/>
        <w:tabs>
          <w:tab w:leader="none" w:pos="29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457(o) under the Securities Act of 1933, as amended (the “Securities Act”), based on the proposed maximum aggregate offering price.</w:t>
      </w:r>
    </w:p>
    <w:p>
      <w:pPr>
        <w:spacing w:after="0" w:line="161" w:lineRule="exact"/>
        <w:rPr>
          <w:rFonts w:ascii="Times New Roman" w:cs="Times New Roman" w:eastAsia="Times New Roman" w:hAnsi="Times New Roman"/>
          <w:sz w:val="18"/>
          <w:szCs w:val="18"/>
          <w:color w:val="auto"/>
        </w:rPr>
      </w:pPr>
    </w:p>
    <w:p>
      <w:pPr>
        <w:jc w:val="both"/>
        <w:ind w:left="292"/>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as shall have an aggregate initial offering price not to exceed $100,000,000. If any debt securities are issued at an original issue discount, then the offering price of such debt securities shall be in such greater principal amount as shall result in an aggregate initial offering price not to exceed $100,000,000, less the aggregate dollar amount of all securities previously issued hereunder. Units may be issued under a unit agreement and will represent an interest in one or more securities registered under this registration statement including shares of common stock or preferred stock, debt securities or warrants, in any combination, which may or may not be separable from one another. Pursuant to Rule 416 under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94" w:lineRule="exact"/>
        <w:rPr>
          <w:rFonts w:ascii="Times New Roman" w:cs="Times New Roman" w:eastAsia="Times New Roman" w:hAnsi="Times New Roman"/>
          <w:sz w:val="18"/>
          <w:szCs w:val="18"/>
          <w:color w:val="auto"/>
        </w:rPr>
      </w:pPr>
    </w:p>
    <w:p>
      <w:pPr>
        <w:ind w:left="29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w:t>
      </w:r>
    </w:p>
    <w:p>
      <w:pPr>
        <w:spacing w:after="0" w:line="53" w:lineRule="exact"/>
        <w:rPr>
          <w:rFonts w:ascii="Times New Roman" w:cs="Times New Roman" w:eastAsia="Times New Roman" w:hAnsi="Times New Roman"/>
          <w:sz w:val="18"/>
          <w:szCs w:val="18"/>
          <w:color w:val="auto"/>
        </w:rPr>
      </w:pPr>
    </w:p>
    <w:p>
      <w:pPr>
        <w:ind w:left="292" w:hanging="292"/>
        <w:spacing w:after="0" w:line="282" w:lineRule="auto"/>
        <w:tabs>
          <w:tab w:leader="none" w:pos="29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457(o) under the Securities Act of 1933, as amended (the “Securities Act”), based on the proposed maximum aggregate offering price.</w:t>
      </w:r>
    </w:p>
    <w:p>
      <w:pPr>
        <w:spacing w:after="0" w:line="161" w:lineRule="exact"/>
        <w:rPr>
          <w:rFonts w:ascii="Times New Roman" w:cs="Times New Roman" w:eastAsia="Times New Roman" w:hAnsi="Times New Roman"/>
          <w:sz w:val="18"/>
          <w:szCs w:val="18"/>
          <w:color w:val="auto"/>
        </w:rPr>
      </w:pPr>
    </w:p>
    <w:p>
      <w:pPr>
        <w:jc w:val="both"/>
        <w:ind w:left="292"/>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as shall have an aggregate initial offering price not to exceed $100,000,000. If any debt securities are issued at an original issue discount, then the offering price of such debt securities shall be in such greater principal amount as shall result in an aggregate initial offering price not to exceed $100,000,000, less the aggregate dollar amount of all securities previously issued hereunder. Units may be issued under a unit agreement and will represent an interest in one or more securities registered under this registration statement including shares of common stock or preferred stock, debt securities or warrants, in any combination, which may or may not be separable from one another. Pursuant to Rule 416 under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94" w:lineRule="exact"/>
        <w:rPr>
          <w:rFonts w:ascii="Times New Roman" w:cs="Times New Roman" w:eastAsia="Times New Roman" w:hAnsi="Times New Roman"/>
          <w:sz w:val="18"/>
          <w:szCs w:val="18"/>
          <w:color w:val="auto"/>
        </w:rPr>
      </w:pPr>
    </w:p>
    <w:p>
      <w:pPr>
        <w:ind w:left="29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w:t>
      </w:r>
    </w:p>
    <w:p>
      <w:pPr>
        <w:spacing w:after="0" w:line="53" w:lineRule="exact"/>
        <w:rPr>
          <w:rFonts w:ascii="Times New Roman" w:cs="Times New Roman" w:eastAsia="Times New Roman" w:hAnsi="Times New Roman"/>
          <w:sz w:val="18"/>
          <w:szCs w:val="18"/>
          <w:color w:val="auto"/>
        </w:rPr>
      </w:pPr>
    </w:p>
    <w:p>
      <w:pPr>
        <w:ind w:left="292" w:hanging="292"/>
        <w:spacing w:after="0" w:line="282" w:lineRule="auto"/>
        <w:tabs>
          <w:tab w:leader="none" w:pos="292"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pursuant to Rule 457(o) under the Securities Act of 1933, as amended (the “Securities Act”), based on the proposed maximum aggregate offering price.</w:t>
      </w:r>
    </w:p>
    <w:p>
      <w:pPr>
        <w:spacing w:after="0" w:line="161" w:lineRule="exact"/>
        <w:rPr>
          <w:rFonts w:ascii="Times New Roman" w:cs="Times New Roman" w:eastAsia="Times New Roman" w:hAnsi="Times New Roman"/>
          <w:sz w:val="18"/>
          <w:szCs w:val="18"/>
          <w:color w:val="auto"/>
        </w:rPr>
      </w:pPr>
    </w:p>
    <w:p>
      <w:pPr>
        <w:jc w:val="both"/>
        <w:ind w:left="292"/>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as shall have an aggregate initial offering price not to exceed $100,000,000. If any debt securities are issued at an original issue discount, then the offering price of such debt securities shall be in such greater principal amount as shall result in an aggregate initial offering price not to exceed $100,000,000, less the aggregate dollar amount of all securities previously issued hereunder. Units may be issued under a unit agreement and will represent an interest in one or more securities registered under this registration statement including shares of common stock or preferred stock, debt securities or warrants, in any combination, which may or may not be separable from one another. Pursuant to Rule 416 under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194" w:lineRule="exact"/>
        <w:rPr>
          <w:rFonts w:ascii="Times New Roman" w:cs="Times New Roman" w:eastAsia="Times New Roman" w:hAnsi="Times New Roman"/>
          <w:sz w:val="18"/>
          <w:szCs w:val="18"/>
          <w:color w:val="auto"/>
        </w:rPr>
      </w:pPr>
    </w:p>
    <w:p>
      <w:pPr>
        <w:ind w:left="29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w:t>
      </w:r>
    </w:p>
    <w:sectPr>
      <w:pgSz w:w="11900" w:h="16838" w:orient="portrait"/>
      <w:cols w:equalWidth="0" w:num="1">
        <w:col w:w="11172"/>
      </w:cols>
      <w:pgMar w:left="388"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
      <w:numFmt w:val="bullet"/>
      <w:start w:val="1"/>
    </w:lvl>
  </w:abstractNum>
  <w:abstractNum w:abstractNumId="5">
    <w:nsid w:val="488AC1A"/>
    <w:multiLevelType w:val="hybridMultilevel"/>
    <w:lvl w:ilvl="0">
      <w:lvlJc w:val="left"/>
      <w:lvlText w:val="●"/>
      <w:numFmt w:val="bullet"/>
      <w:start w:val="1"/>
    </w:lvl>
  </w:abstractNum>
  <w:abstractNum w:abstractNumId="6">
    <w:nsid w:val="5FB8011C"/>
    <w:multiLevelType w:val="hybridMultilevel"/>
    <w:lvl w:ilvl="0">
      <w:lvlJc w:val="left"/>
      <w:lvlText w:val="●"/>
      <w:numFmt w:val="bullet"/>
      <w:start w:val="1"/>
    </w:lvl>
  </w:abstractNum>
  <w:abstractNum w:abstractNumId="7">
    <w:nsid w:val="6AA78F7F"/>
    <w:multiLevelType w:val="hybridMultilevel"/>
    <w:lvl w:ilvl="0">
      <w:lvlJc w:val="left"/>
      <w:lvlText w:val="●"/>
      <w:numFmt w:val="bullet"/>
      <w:start w:val="1"/>
    </w:lvl>
  </w:abstractNum>
  <w:abstractNum w:abstractNumId="8">
    <w:nsid w:val="7672BD23"/>
    <w:multiLevelType w:val="hybridMultilevel"/>
    <w:lvl w:ilvl="0">
      <w:lvlJc w:val="left"/>
      <w:lvlText w:val="●"/>
      <w:numFmt w:val="bullet"/>
      <w:start w:val="1"/>
    </w:lvl>
  </w:abstractNum>
  <w:abstractNum w:abstractNumId="9">
    <w:nsid w:val="6FC75AF8"/>
    <w:multiLevelType w:val="hybridMultilevel"/>
    <w:lvl w:ilvl="0">
      <w:lvlJc w:val="left"/>
      <w:lvlText w:val="●"/>
      <w:numFmt w:val="bullet"/>
      <w:start w:val="1"/>
    </w:lvl>
  </w:abstractNum>
  <w:abstractNum w:abstractNumId="10">
    <w:nsid w:val="6A5F7029"/>
    <w:multiLevelType w:val="hybridMultilevel"/>
    <w:lvl w:ilvl="0">
      <w:lvlJc w:val="left"/>
      <w:lvlText w:val="●"/>
      <w:numFmt w:val="bullet"/>
      <w:start w:val="1"/>
    </w:lvl>
  </w:abstractNum>
  <w:abstractNum w:abstractNumId="11">
    <w:nsid w:val="7D5E18F8"/>
    <w:multiLevelType w:val="hybridMultilevel"/>
    <w:lvl w:ilvl="0">
      <w:lvlJc w:val="left"/>
      <w:lvlText w:val="●"/>
      <w:numFmt w:val="bullet"/>
      <w:start w:val="1"/>
    </w:lvl>
  </w:abstractNum>
  <w:abstractNum w:abstractNumId="12">
    <w:nsid w:val="5F3534A4"/>
    <w:multiLevelType w:val="hybridMultilevel"/>
    <w:lvl w:ilvl="0">
      <w:lvlJc w:val="left"/>
      <w:lvlText w:val="●"/>
      <w:numFmt w:val="bullet"/>
      <w:start w:val="1"/>
    </w:lvl>
  </w:abstractNum>
  <w:abstractNum w:abstractNumId="13">
    <w:nsid w:val="73A1821B"/>
    <w:multiLevelType w:val="hybridMultilevel"/>
    <w:lvl w:ilvl="0">
      <w:lvlJc w:val="left"/>
      <w:lvlText w:val="●"/>
      <w:numFmt w:val="bullet"/>
      <w:start w:val="1"/>
    </w:lvl>
  </w:abstractNum>
  <w:abstractNum w:abstractNumId="14">
    <w:nsid w:val="7DE67713"/>
    <w:multiLevelType w:val="hybridMultilevel"/>
    <w:lvl w:ilvl="0">
      <w:lvlJc w:val="left"/>
      <w:lvlText w:val="●"/>
      <w:numFmt w:val="bullet"/>
      <w:start w:val="1"/>
    </w:lvl>
  </w:abstractNum>
  <w:abstractNum w:abstractNumId="15">
    <w:nsid w:val="555C55B5"/>
    <w:multiLevelType w:val="hybridMultilevel"/>
    <w:lvl w:ilvl="0">
      <w:lvlJc w:val="left"/>
      <w:lvlText w:val="●"/>
      <w:numFmt w:val="bullet"/>
      <w:start w:val="1"/>
    </w:lvl>
  </w:abstractNum>
  <w:abstractNum w:abstractNumId="16">
    <w:nsid w:val="3FA62ACA"/>
    <w:multiLevelType w:val="hybridMultilevel"/>
    <w:lvl w:ilvl="0">
      <w:lvlJc w:val="left"/>
      <w:lvlText w:val="●"/>
      <w:numFmt w:val="bullet"/>
      <w:start w:val="1"/>
    </w:lvl>
  </w:abstractNum>
  <w:abstractNum w:abstractNumId="17">
    <w:nsid w:val="14FCE74E"/>
    <w:multiLevelType w:val="hybridMultilevel"/>
    <w:lvl w:ilvl="0">
      <w:lvlJc w:val="left"/>
      <w:lvlText w:val="●"/>
      <w:numFmt w:val="bullet"/>
      <w:start w:val="1"/>
    </w:lvl>
  </w:abstractNum>
  <w:abstractNum w:abstractNumId="18">
    <w:nsid w:val="6A3DD3E8"/>
    <w:multiLevelType w:val="hybridMultilevel"/>
    <w:lvl w:ilvl="0">
      <w:lvlJc w:val="left"/>
      <w:lvlText w:val="●"/>
      <w:numFmt w:val="bullet"/>
      <w:start w:val="1"/>
    </w:lvl>
  </w:abstractNum>
  <w:abstractNum w:abstractNumId="19">
    <w:nsid w:val="71C91298"/>
    <w:multiLevelType w:val="hybridMultilevel"/>
    <w:lvl w:ilvl="0">
      <w:lvlJc w:val="left"/>
      <w:lvlText w:val="●"/>
      <w:numFmt w:val="bullet"/>
      <w:start w:val="1"/>
    </w:lvl>
  </w:abstractNum>
  <w:abstractNum w:abstractNumId="20">
    <w:nsid w:val="9DAF632"/>
    <w:multiLevelType w:val="hybridMultilevel"/>
    <w:lvl w:ilvl="0">
      <w:lvlJc w:val="left"/>
      <w:lvlText w:val="●"/>
      <w:numFmt w:val="bullet"/>
      <w:start w:val="1"/>
    </w:lvl>
  </w:abstractNum>
  <w:abstractNum w:abstractNumId="21">
    <w:nsid w:val="53299938"/>
    <w:multiLevelType w:val="hybridMultilevel"/>
    <w:lvl w:ilvl="0">
      <w:lvlJc w:val="left"/>
      <w:lvlText w:val="●"/>
      <w:numFmt w:val="bullet"/>
      <w:start w:val="1"/>
    </w:lvl>
  </w:abstractNum>
  <w:abstractNum w:abstractNumId="22">
    <w:nsid w:val="1FBFE8E0"/>
    <w:multiLevelType w:val="hybridMultilevel"/>
    <w:lvl w:ilvl="0">
      <w:lvlJc w:val="left"/>
      <w:lvlText w:val="●"/>
      <w:numFmt w:val="bullet"/>
      <w:start w:val="1"/>
    </w:lvl>
  </w:abstractNum>
  <w:abstractNum w:abstractNumId="23">
    <w:nsid w:val="5092CA79"/>
    <w:multiLevelType w:val="hybridMultilevel"/>
    <w:lvl w:ilvl="0">
      <w:lvlJc w:val="left"/>
      <w:lvlText w:val="●"/>
      <w:numFmt w:val="bullet"/>
      <w:start w:val="1"/>
    </w:lvl>
  </w:abstractNum>
  <w:abstractNum w:abstractNumId="24">
    <w:nsid w:val="1D545C4D"/>
    <w:multiLevelType w:val="hybridMultilevel"/>
    <w:lvl w:ilvl="0">
      <w:lvlJc w:val="left"/>
      <w:lvlText w:val="●"/>
      <w:numFmt w:val="bullet"/>
      <w:start w:val="1"/>
    </w:lvl>
  </w:abstractNum>
  <w:abstractNum w:abstractNumId="25">
    <w:nsid w:val="59ADEA3D"/>
    <w:multiLevelType w:val="hybridMultilevel"/>
    <w:lvl w:ilvl="0">
      <w:lvlJc w:val="left"/>
      <w:lvlText w:val="(%1)"/>
      <w:numFmt w:val="decimal"/>
      <w:start w:val="855"/>
    </w:lvl>
  </w:abstractNum>
  <w:abstractNum w:abstractNumId="26">
    <w:nsid w:val="288F1A34"/>
    <w:multiLevelType w:val="hybridMultilevel"/>
    <w:lvl w:ilvl="0">
      <w:lvlJc w:val="left"/>
      <w:lvlText w:val="(%1)"/>
      <w:numFmt w:val="decimal"/>
      <w:start w:val="1"/>
    </w:lvl>
    <w:lvl w:ilvl="1">
      <w:lvlJc w:val="left"/>
      <w:lvlText w:val="(%2)"/>
      <w:numFmt w:val="lowerRoman"/>
      <w:start w:val="1"/>
    </w:lvl>
  </w:abstractNum>
  <w:abstractNum w:abstractNumId="27">
    <w:nsid w:val="2A155DBC"/>
    <w:multiLevelType w:val="hybridMultilevel"/>
    <w:lvl w:ilvl="0">
      <w:lvlJc w:val="left"/>
      <w:lvlText w:val="(%1)"/>
      <w:numFmt w:val="decimal"/>
      <w:start w:val="5"/>
    </w:lvl>
    <w:lvl w:ilvl="1">
      <w:lvlJc w:val="left"/>
      <w:lvlText w:val="(%2)"/>
      <w:numFmt w:val="lowerRoman"/>
      <w:start w:val="1"/>
    </w:lvl>
  </w:abstractNum>
  <w:abstractNum w:abstractNumId="28">
    <w:nsid w:val="1D9F6E5F"/>
    <w:multiLevelType w:val="hybridMultilevel"/>
    <w:lvl w:ilvl="0">
      <w:lvlJc w:val="left"/>
      <w:lvlText w:val="%1"/>
      <w:numFmt w:val="decimal"/>
      <w:start w:val="107"/>
    </w:lvl>
  </w:abstractNum>
  <w:abstractNum w:abstractNumId="29">
    <w:nsid w:val="97E1B4E"/>
    <w:multiLevelType w:val="hybridMultilevel"/>
    <w:lvl w:ilvl="0">
      <w:lvlJc w:val="left"/>
      <w:lvlText w:val="*"/>
      <w:numFmt w:val="bullet"/>
      <w:start w:val="1"/>
    </w:lvl>
  </w:abstractNum>
  <w:abstractNum w:abstractNumId="30">
    <w:nsid w:val="51088277"/>
    <w:multiLevelType w:val="hybridMultilevel"/>
    <w:lvl w:ilvl="0">
      <w:lvlJc w:val="left"/>
      <w:lvlText w:val="†"/>
      <w:numFmt w:val="bullet"/>
      <w:start w:val="1"/>
    </w:lvl>
  </w:abstractNum>
  <w:abstractNum w:abstractNumId="31">
    <w:nsid w:val="1CA0C5FA"/>
    <w:multiLevelType w:val="hybridMultilevel"/>
    <w:lvl w:ilvl="0">
      <w:lvlJc w:val="left"/>
      <w:lvlText w:val="#"/>
      <w:numFmt w:val="bullet"/>
      <w:start w:val="1"/>
    </w:lvl>
  </w:abstractNum>
  <w:abstractNum w:abstractNumId="32">
    <w:nsid w:val="53584BCB"/>
    <w:multiLevelType w:val="hybridMultilevel"/>
    <w:lvl w:ilvl="0">
      <w:lvlJc w:val="left"/>
      <w:lvlText w:val="(%1)"/>
      <w:numFmt w:val="decimal"/>
      <w:start w:val="1"/>
    </w:lvl>
  </w:abstractNum>
  <w:abstractNum w:abstractNumId="33">
    <w:nsid w:val="415E286C"/>
    <w:multiLevelType w:val="hybridMultilevel"/>
    <w:lvl w:ilvl="0">
      <w:lvlJc w:val="left"/>
      <w:lvlText w:val="(%1)"/>
      <w:numFmt w:val="lowerRoman"/>
      <w:start w:val="1"/>
    </w:lvl>
  </w:abstractNum>
  <w:abstractNum w:abstractNumId="34">
    <w:nsid w:val="7C58FD05"/>
    <w:multiLevelType w:val="hybridMultilevel"/>
    <w:lvl w:ilvl="0">
      <w:lvlJc w:val="left"/>
      <w:lvlText w:val="(%1)"/>
      <w:numFmt w:val="lowerRoman"/>
      <w:start w:val="3"/>
    </w:lvl>
  </w:abstractNum>
  <w:abstractNum w:abstractNumId="35">
    <w:nsid w:val="23D86AAC"/>
    <w:multiLevelType w:val="hybridMultilevel"/>
    <w:lvl w:ilvl="0">
      <w:lvlJc w:val="left"/>
      <w:lvlText w:val="(%1)"/>
      <w:numFmt w:val="decimal"/>
      <w:start w:val="1"/>
    </w:lvl>
  </w:abstractNum>
  <w:abstractNum w:abstractNumId="36">
    <w:nsid w:val="45E6D486"/>
    <w:multiLevelType w:val="hybridMultilevel"/>
    <w:lvl w:ilvl="0">
      <w:lvlJc w:val="left"/>
      <w:lvlText w:val="(%1)"/>
      <w:numFmt w:val="lowerLetter"/>
      <w:start w:val="1"/>
    </w:lvl>
  </w:abstractNum>
  <w:abstractNum w:abstractNumId="37">
    <w:nsid w:val="5C10FE21"/>
    <w:multiLevelType w:val="hybridMultilevel"/>
    <w:lvl w:ilvl="0">
      <w:lvlJc w:val="left"/>
      <w:lvlText w:val="(%1)"/>
      <w:numFmt w:val="lowerLetter"/>
      <w:start w:val="2"/>
    </w:lvl>
  </w:abstractNum>
  <w:abstractNum w:abstractNumId="38">
    <w:nsid w:val="E7FFA2B"/>
    <w:multiLevelType w:val="hybridMultilevel"/>
    <w:lvl w:ilvl="0">
      <w:lvlJc w:val="left"/>
      <w:lvlText w:val="(%1)"/>
      <w:numFmt w:val="lowerLetter"/>
      <w:start w:val="6"/>
    </w:lvl>
  </w:abstractNum>
  <w:abstractNum w:abstractNumId="39">
    <w:nsid w:val="3C5991AA"/>
    <w:multiLevelType w:val="hybridMultilevel"/>
    <w:lvl w:ilvl="0">
      <w:lvlJc w:val="left"/>
      <w:lvlText w:val="(%1)"/>
      <w:numFmt w:val="decimal"/>
      <w:start w:val="1"/>
    </w:lvl>
  </w:abstractNum>
  <w:abstractNum w:abstractNumId="40">
    <w:nsid w:val="4BD8591A"/>
    <w:multiLevelType w:val="hybridMultilevel"/>
    <w:lvl w:ilvl="0">
      <w:lvlJc w:val="left"/>
      <w:lvlText w:val="(%1)"/>
      <w:numFmt w:val="decimal"/>
      <w:start w:val="1"/>
    </w:lvl>
  </w:abstractNum>
  <w:abstractNum w:abstractNumId="41">
    <w:nsid w:val="78DF6A55"/>
    <w:multiLevelType w:val="hybridMultilevel"/>
    <w:lvl w:ilvl="0">
      <w:lvlJc w:val="left"/>
      <w:lvlText w:val="(%1)"/>
      <w:numFmt w:val="decimal"/>
      <w:start w:val="2"/>
    </w:lvl>
  </w:abstractNum>
  <w:abstractNum w:abstractNumId="42">
    <w:nsid w:val="39B7AAA2"/>
    <w:multiLevelType w:val="hybridMultilevel"/>
    <w:lvl w:ilvl="0">
      <w:lvlJc w:val="left"/>
      <w:lvlText w:val="(%1)"/>
      <w:numFmt w:val="decimal"/>
      <w:start w:val="10"/>
    </w:lvl>
  </w:abstractNum>
  <w:abstractNum w:abstractNumId="43">
    <w:nsid w:val="2B0D8DBE"/>
    <w:multiLevelType w:val="hybridMultilevel"/>
    <w:lvl w:ilvl="0">
      <w:lvlJc w:val="left"/>
      <w:lvlText w:val="(%1)"/>
      <w:numFmt w:val="decimal"/>
      <w:start w:val="18"/>
    </w:lvl>
  </w:abstractNum>
  <w:abstractNum w:abstractNumId="44">
    <w:nsid w:val="6C80EC70"/>
    <w:multiLevelType w:val="hybridMultilevel"/>
    <w:lvl w:ilvl="0">
      <w:lvlJc w:val="left"/>
      <w:lvlText w:val="(%1)"/>
      <w:numFmt w:val="decimal"/>
      <w:start w:val="24"/>
    </w:lvl>
  </w:abstractNum>
  <w:abstractNum w:abstractNumId="45">
    <w:nsid w:val="379E21B5"/>
    <w:multiLevelType w:val="hybridMultilevel"/>
    <w:lvl w:ilvl="0">
      <w:lvlJc w:val="left"/>
      <w:lvlText w:val="(%1)"/>
      <w:numFmt w:val="lowerLetter"/>
      <w:start w:val="9"/>
    </w:lvl>
    <w:lvl w:ilvl="1">
      <w:lvlJc w:val="left"/>
      <w:lvlText w:val="(%2)"/>
      <w:numFmt w:val="lowerLetter"/>
      <w:start w:val="1"/>
    </w:lvl>
  </w:abstractNum>
  <w:abstractNum w:abstractNumId="46">
    <w:nsid w:val="69E373"/>
    <w:multiLevelType w:val="hybridMultilevel"/>
    <w:lvl w:ilvl="0">
      <w:lvlJc w:val="left"/>
      <w:lvlText w:val="(%1)"/>
      <w:numFmt w:val="lowerRoman"/>
      <w:start w:val="2"/>
    </w:lvl>
  </w:abstractNum>
  <w:abstractNum w:abstractNumId="47">
    <w:nsid w:val="2C27173B"/>
    <w:multiLevelType w:val="hybridMultilevel"/>
    <w:lvl w:ilvl="0">
      <w:lvlJc w:val="left"/>
      <w:lvlText w:val="(%1)"/>
      <w:numFmt w:val="lowerLetter"/>
      <w:start w:val="1"/>
    </w:lvl>
  </w:abstractNum>
  <w:abstractNum w:abstractNumId="48">
    <w:nsid w:val="4C9B0904"/>
    <w:multiLevelType w:val="hybridMultilevel"/>
    <w:lvl w:ilvl="0">
      <w:lvlJc w:val="left"/>
      <w:lvlText w:val="(%1)"/>
      <w:numFmt w:val="lowerLetter"/>
      <w:start w:val="2"/>
    </w:lvl>
  </w:abstractNum>
  <w:abstractNum w:abstractNumId="49">
    <w:nsid w:val="6AA7B75C"/>
    <w:multiLevelType w:val="hybridMultilevel"/>
    <w:lvl w:ilvl="0">
      <w:lvlJc w:val="left"/>
      <w:lvlText w:val="(%1)"/>
      <w:numFmt w:val="lowerRoman"/>
      <w:start w:val="2"/>
    </w:lvl>
  </w:abstractNum>
  <w:abstractNum w:abstractNumId="50">
    <w:nsid w:val="1DF029D3"/>
    <w:multiLevelType w:val="hybridMultilevel"/>
    <w:lvl w:ilvl="0">
      <w:lvlJc w:val="left"/>
      <w:lvlText w:val="(%1)"/>
      <w:numFmt w:val="lowerRoman"/>
      <w:start w:val="2"/>
    </w:lvl>
  </w:abstractNum>
  <w:abstractNum w:abstractNumId="51">
    <w:nsid w:val="5675FF36"/>
    <w:multiLevelType w:val="hybridMultilevel"/>
    <w:lvl w:ilvl="0">
      <w:lvlJc w:val="left"/>
      <w:lvlText w:val="(%1)"/>
      <w:numFmt w:val="decimal"/>
      <w:start w:val="1"/>
    </w:lvl>
  </w:abstractNum>
  <w:abstractNum w:abstractNumId="52">
    <w:nsid w:val="3DD15094"/>
    <w:multiLevelType w:val="hybridMultilevel"/>
    <w:lvl w:ilvl="0">
      <w:lvlJc w:val="left"/>
      <w:lvlText w:val="(%1)"/>
      <w:numFmt w:val="decimal"/>
      <w:start w:val="2"/>
    </w:lvl>
  </w:abstractNum>
  <w:abstractNum w:abstractNumId="53">
    <w:nsid w:val="3DB012B3"/>
    <w:multiLevelType w:val="hybridMultilevel"/>
    <w:lvl w:ilvl="0">
      <w:lvlJc w:val="left"/>
      <w:lvlText w:val="(%1)"/>
      <w:numFmt w:val="decimal"/>
      <w:start w:val="1"/>
    </w:lvl>
    <w:lvl w:ilvl="1">
      <w:lvlJc w:val="left"/>
      <w:lvlText w:val="(%2)"/>
      <w:numFmt w:val="upperLetter"/>
      <w:start w:val="1"/>
    </w:lvl>
  </w:abstractNum>
  <w:abstractNum w:abstractNumId="54">
    <w:nsid w:val="2708C9AF"/>
    <w:multiLevelType w:val="hybridMultilevel"/>
    <w:lvl w:ilvl="0">
      <w:lvlJc w:val="left"/>
      <w:lvlText w:val="(%1)"/>
      <w:numFmt w:val="lowerRoman"/>
      <w:start w:val="2"/>
    </w:lvl>
  </w:abstractNum>
  <w:abstractNum w:abstractNumId="55">
    <w:nsid w:val="5B25ACE2"/>
    <w:multiLevelType w:val="hybridMultilevel"/>
    <w:lvl w:ilvl="0">
      <w:lvlJc w:val="left"/>
      <w:lvlText w:val="(%1)"/>
      <w:numFmt w:val="decimal"/>
      <w:start w:val="2"/>
    </w:lvl>
  </w:abstractNum>
  <w:abstractNum w:abstractNumId="56">
    <w:nsid w:val="175DFCF0"/>
    <w:multiLevelType w:val="hybridMultilevel"/>
    <w:lvl w:ilvl="0">
      <w:lvlJc w:val="left"/>
      <w:lvlText w:val="(%1)"/>
      <w:numFmt w:val="decimal"/>
      <w:start w:val="1"/>
    </w:lvl>
  </w:abstractNum>
  <w:abstractNum w:abstractNumId="57">
    <w:nsid w:val="4F97E3E4"/>
    <w:multiLevelType w:val="hybridMultilevel"/>
    <w:lvl w:ilvl="0">
      <w:lvlJc w:val="left"/>
      <w:lvlText w:val="(%1)"/>
      <w:numFmt w:val="decimal"/>
      <w:start w:val="2"/>
    </w:lvl>
    <w:lvl w:ilvl="1">
      <w:lvlJc w:val="left"/>
      <w:lvlText w:val="(%2)"/>
      <w:numFmt w:val="upperLetter"/>
      <w:start w:val="1"/>
    </w:lvl>
  </w:abstractNum>
  <w:abstractNum w:abstractNumId="58">
    <w:nsid w:val="53B0A9E"/>
    <w:multiLevelType w:val="hybridMultilevel"/>
    <w:lvl w:ilvl="0">
      <w:lvlJc w:val="left"/>
      <w:lvlText w:val="%1"/>
      <w:numFmt w:val="decimal"/>
      <w:start w:val="1"/>
    </w:lvl>
    <w:lvl w:ilvl="1">
      <w:lvlJc w:val="left"/>
      <w:lvlText w:val="(%2)"/>
      <w:numFmt w:val="upperLetter"/>
      <w:start w:val="2"/>
    </w:lvl>
  </w:abstractNum>
  <w:abstractNum w:abstractNumId="59">
    <w:nsid w:val="34FD6B4F"/>
    <w:multiLevelType w:val="hybridMultilevel"/>
    <w:lvl w:ilvl="0">
      <w:lvlJc w:val="left"/>
      <w:lvlText w:val="(%1)"/>
      <w:numFmt w:val="decimal"/>
      <w:start w:val="7"/>
    </w:lvl>
    <w:lvl w:ilvl="1">
      <w:lvlJc w:val="left"/>
      <w:lvlText w:val="(%2)"/>
      <w:numFmt w:val="upperLetter"/>
      <w:start w:val="1"/>
    </w:lvl>
  </w:abstractNum>
  <w:abstractNum w:abstractNumId="60">
    <w:nsid w:val="5915FF32"/>
    <w:multiLevelType w:val="hybridMultilevel"/>
    <w:lvl w:ilvl="0">
      <w:lvlJc w:val="left"/>
      <w:lvlText w:val="(%1)"/>
      <w:numFmt w:val="decimal"/>
      <w:start w:val="1"/>
    </w:lvl>
    <w:lvl w:ilvl="1">
      <w:lvlJc w:val="left"/>
      <w:lvlText w:val="(%2)"/>
      <w:numFmt w:val="upperLetter"/>
      <w:start w:val="1"/>
    </w:lvl>
  </w:abstractNum>
  <w:abstractNum w:abstractNumId="61">
    <w:nsid w:val="56438D15"/>
    <w:multiLevelType w:val="hybridMultilevel"/>
    <w:lvl w:ilvl="0">
      <w:lvlJc w:val="left"/>
      <w:lvlText w:val="%1"/>
      <w:numFmt w:val="decimal"/>
      <w:start w:val="1"/>
    </w:lvl>
    <w:lvl w:ilvl="1">
      <w:lvlJc w:val="left"/>
      <w:lvlText w:val="(%2)"/>
      <w:numFmt w:val="upperLetter"/>
      <w:start w:val="2"/>
    </w:lvl>
  </w:abstractNum>
  <w:abstractNum w:abstractNumId="62">
    <w:nsid w:val="519E3149"/>
    <w:multiLevelType w:val="hybridMultilevel"/>
    <w:lvl w:ilvl="0">
      <w:lvlJc w:val="left"/>
      <w:lvlText w:val="(%1)"/>
      <w:numFmt w:val="decimal"/>
      <w:start w:val="2"/>
    </w:lvl>
    <w:lvl w:ilvl="1">
      <w:lvlJc w:val="left"/>
      <w:lvlText w:val="%2"/>
      <w:numFmt w:val="upperLetter"/>
      <w:start w:val="1"/>
    </w:lvl>
  </w:abstractNum>
  <w:abstractNum w:abstractNumId="63">
    <w:nsid w:val="2C6E4AFD"/>
    <w:multiLevelType w:val="hybridMultilevel"/>
    <w:lvl w:ilvl="0">
      <w:lvlJc w:val="left"/>
      <w:lvlText w:val="(%1)"/>
      <w:numFmt w:val="decimal"/>
      <w:start w:val="1"/>
    </w:lvl>
  </w:abstractNum>
  <w:abstractNum w:abstractNumId="64">
    <w:nsid w:val="17A1B582"/>
    <w:multiLevelType w:val="hybridMultilevel"/>
    <w:lvl w:ilvl="0">
      <w:lvlJc w:val="left"/>
      <w:lvlText w:val="(%1)"/>
      <w:numFmt w:val="lowerRoman"/>
      <w:start w:val="1"/>
    </w:lvl>
  </w:abstractNum>
  <w:abstractNum w:abstractNumId="65">
    <w:nsid w:val="4DF72E4E"/>
    <w:multiLevelType w:val="hybridMultilevel"/>
    <w:lvl w:ilvl="0">
      <w:lvlJc w:val="left"/>
      <w:lvlText w:val="(%1)"/>
      <w:numFmt w:val="decimal"/>
      <w:start w:val="2"/>
    </w:lvl>
  </w:abstractNum>
  <w:abstractNum w:abstractNumId="66">
    <w:nsid w:val="5046B5A9"/>
    <w:multiLevelType w:val="hybridMultilevel"/>
    <w:lvl w:ilvl="0">
      <w:lvlJc w:val="left"/>
      <w:lvlText w:val="(%1)"/>
      <w:numFmt w:val="decimal"/>
      <w:start w:val="4"/>
    </w:lvl>
  </w:abstractNum>
  <w:abstractNum w:abstractNumId="67">
    <w:nsid w:val="5D888A08"/>
    <w:multiLevelType w:val="hybridMultilevel"/>
    <w:lvl w:ilvl="0">
      <w:lvlJc w:val="left"/>
      <w:lvlText w:val="(%1)"/>
      <w:numFmt w:val="decimal"/>
      <w:start w:val="1"/>
    </w:lvl>
  </w:abstractNum>
  <w:abstractNum w:abstractNumId="68">
    <w:nsid w:val="2A082C70"/>
    <w:multiLevelType w:val="hybridMultilevel"/>
    <w:lvl w:ilvl="0">
      <w:lvlJc w:val="left"/>
      <w:lvlText w:val="(%1)"/>
      <w:numFmt w:val="decimal"/>
      <w:start w:val="1"/>
    </w:lvl>
  </w:abstractNum>
  <w:abstractNum w:abstractNumId="69">
    <w:nsid w:val="5EC6AFD4"/>
    <w:multiLevelType w:val="hybridMultilevel"/>
    <w:lvl w:ilvl="0">
      <w:lvlJc w:val="left"/>
      <w:lvlText w:val="(%1)"/>
      <w:numFmt w:val="decimal"/>
      <w:start w:val="1"/>
    </w:lvl>
  </w:abstractNum>
  <w:abstractNum w:abstractNumId="70">
    <w:nsid w:val="19E21BB2"/>
    <w:multiLevelType w:val="hybridMultilevel"/>
    <w:lvl w:ilvl="0">
      <w:lvlJc w:val="left"/>
      <w:lvlText w:val="(%1)"/>
      <w:numFmt w:val="decimal"/>
      <w:start w:val="2"/>
    </w:lvl>
  </w:abstractNum>
  <w:abstractNum w:abstractNumId="71">
    <w:nsid w:val="75E0858A"/>
    <w:multiLevelType w:val="hybridMultilevel"/>
    <w:lvl w:ilvl="0">
      <w:lvlJc w:val="left"/>
      <w:lvlText w:val="(%1)"/>
      <w:numFmt w:val="decimal"/>
      <w:start w:val="8"/>
    </w:lvl>
  </w:abstractNum>
  <w:abstractNum w:abstractNumId="72">
    <w:nsid w:val="57A61A29"/>
    <w:multiLevelType w:val="hybridMultilevel"/>
    <w:lvl w:ilvl="0">
      <w:lvlJc w:val="left"/>
      <w:lvlText w:val="(%1)"/>
      <w:numFmt w:val="decimal"/>
      <w:start w:val="1"/>
    </w:lvl>
  </w:abstractNum>
  <w:abstractNum w:abstractNumId="73">
    <w:nsid w:val="5399C654"/>
    <w:multiLevelType w:val="hybridMultilevel"/>
    <w:lvl w:ilvl="0">
      <w:lvlJc w:val="left"/>
      <w:lvlText w:val="(%1)"/>
      <w:numFmt w:val="lowerLetter"/>
      <w:start w:val="1"/>
    </w:lvl>
    <w:lvl w:ilvl="1">
      <w:lvlJc w:val="left"/>
      <w:lvlText w:val="(%2)"/>
      <w:numFmt w:val="decimal"/>
      <w:start w:val="1"/>
    </w:lvl>
  </w:abstractNum>
  <w:abstractNum w:abstractNumId="74">
    <w:nsid w:val="20EE1348"/>
    <w:multiLevelType w:val="hybridMultilevel"/>
    <w:lvl w:ilvl="0">
      <w:lvlJc w:val="left"/>
      <w:lvlText w:val="%1"/>
      <w:numFmt w:val="decimal"/>
      <w:start w:val="1"/>
    </w:lvl>
    <w:lvl w:ilvl="1">
      <w:lvlJc w:val="left"/>
      <w:lvlText w:val="(%2)"/>
      <w:numFmt w:val="lowerLetter"/>
      <w:start w:val="5"/>
    </w:lvl>
  </w:abstractNum>
  <w:abstractNum w:abstractNumId="75">
    <w:nsid w:val="4427069A"/>
    <w:multiLevelType w:val="hybridMultilevel"/>
    <w:lvl w:ilvl="0">
      <w:lvlJc w:val="left"/>
      <w:lvlText w:val="%1."/>
      <w:numFmt w:val="decimal"/>
      <w:start w:val="106"/>
    </w:lvl>
    <w:lvl w:ilvl="1">
      <w:lvlJc w:val="left"/>
      <w:lvlText w:val="%2"/>
      <w:numFmt w:val="lowerLetter"/>
      <w:start w:val="1"/>
    </w:lvl>
  </w:abstractNum>
  <w:abstractNum w:abstractNumId="76">
    <w:nsid w:val="B37E80A"/>
    <w:multiLevelType w:val="hybridMultilevel"/>
    <w:lvl w:ilvl="0">
      <w:lvlJc w:val="left"/>
      <w:lvlText w:val="(%1)"/>
      <w:numFmt w:val="lowerLetter"/>
      <w:start w:val="1"/>
    </w:lvl>
  </w:abstractNum>
  <w:abstractNum w:abstractNumId="77">
    <w:nsid w:val="2157F6BC"/>
    <w:multiLevelType w:val="hybridMultilevel"/>
    <w:lvl w:ilvl="0">
      <w:lvlJc w:val="left"/>
      <w:lvlText w:val="(%1)"/>
      <w:numFmt w:val="lowerLetter"/>
      <w:start w:val="2"/>
    </w:lvl>
  </w:abstractNum>
  <w:abstractNum w:abstractNumId="78">
    <w:nsid w:val="704E1DD5"/>
    <w:multiLevelType w:val="hybridMultilevel"/>
    <w:lvl w:ilvl="0">
      <w:lvlJc w:val="left"/>
      <w:lvlText w:val="(%1)"/>
      <w:numFmt w:val="lowerLetter"/>
      <w:start w:val="1"/>
    </w:lvl>
    <w:lvl w:ilvl="1">
      <w:lvlJc w:val="left"/>
      <w:lvlText w:val="(%2)"/>
      <w:numFmt w:val="decimal"/>
      <w:start w:val="1"/>
    </w:lvl>
  </w:abstractNum>
  <w:abstractNum w:abstractNumId="79">
    <w:nsid w:val="57D2F10E"/>
    <w:multiLevelType w:val="hybridMultilevel"/>
    <w:lvl w:ilvl="0">
      <w:lvlJc w:val="left"/>
      <w:lvlText w:val="(%1)"/>
      <w:numFmt w:val="lowerLetter"/>
      <w:start w:val="3"/>
    </w:lvl>
    <w:lvl w:ilvl="1">
      <w:lvlJc w:val="left"/>
      <w:lvlText w:val="(%2)"/>
      <w:numFmt w:val="decimal"/>
      <w:start w:val="1"/>
    </w:lvl>
  </w:abstractNum>
  <w:abstractNum w:abstractNumId="80">
    <w:nsid w:val="BFFAE18"/>
    <w:multiLevelType w:val="hybridMultilevel"/>
    <w:lvl w:ilvl="0">
      <w:lvlJc w:val="left"/>
      <w:lvlText w:val="(%1)"/>
      <w:numFmt w:val="decimal"/>
      <w:start w:val="1"/>
    </w:lvl>
  </w:abstractNum>
  <w:abstractNum w:abstractNumId="81">
    <w:nsid w:val="E3E47A8"/>
    <w:multiLevelType w:val="hybridMultilevel"/>
    <w:lvl w:ilvl="0">
      <w:lvlJc w:val="left"/>
      <w:lvlText w:val="(%1)"/>
      <w:numFmt w:val="lowerLetter"/>
      <w:start w:val="1"/>
    </w:lvl>
  </w:abstractNum>
  <w:abstractNum w:abstractNumId="82">
    <w:nsid w:val="2E48F044"/>
    <w:multiLevelType w:val="hybridMultilevel"/>
    <w:lvl w:ilvl="0">
      <w:lvlJc w:val="left"/>
      <w:lvlText w:val="(%1)"/>
      <w:numFmt w:val="decimal"/>
      <w:start w:val="1"/>
    </w:lvl>
  </w:abstractNum>
  <w:abstractNum w:abstractNumId="83">
    <w:nsid w:val="49D0FEAC"/>
    <w:multiLevelType w:val="hybridMultilevel"/>
    <w:lvl w:ilvl="0">
      <w:lvlJc w:val="left"/>
      <w:lvlText w:val="(%1)"/>
      <w:numFmt w:val="decimal"/>
      <w:start w:val="5"/>
    </w:lvl>
  </w:abstractNum>
  <w:abstractNum w:abstractNumId="84">
    <w:nsid w:val="4BEE5A5B"/>
    <w:multiLevelType w:val="hybridMultilevel"/>
    <w:lvl w:ilvl="0">
      <w:lvlJc w:val="left"/>
      <w:lvlText w:val="(%1)"/>
      <w:numFmt w:val="decimal"/>
      <w:start w:val="1"/>
    </w:lvl>
  </w:abstractNum>
  <w:abstractNum w:abstractNumId="85">
    <w:nsid w:val="5551B9F3"/>
    <w:multiLevelType w:val="hybridMultilevel"/>
    <w:lvl w:ilvl="0">
      <w:lvlJc w:val="left"/>
      <w:lvlText w:val="(%1)"/>
      <w:numFmt w:val="decimal"/>
      <w:start w:val="2"/>
    </w:lvl>
  </w:abstractNum>
  <w:abstractNum w:abstractNumId="86">
    <w:nsid w:val="24F6AB8E"/>
    <w:multiLevelType w:val="hybridMultilevel"/>
    <w:lvl w:ilvl="0">
      <w:lvlJc w:val="left"/>
      <w:lvlText w:val="%1)"/>
      <w:numFmt w:val="decimal"/>
      <w:start w:val="612"/>
    </w:lvl>
  </w:abstractNum>
  <w:abstractNum w:abstractNumId="87">
    <w:nsid w:val="634C574C"/>
    <w:multiLevelType w:val="hybridMultilevel"/>
    <w:lvl w:ilvl="0">
      <w:lvlJc w:val="left"/>
      <w:lvlText w:val="(%1)"/>
      <w:numFmt w:val="decimal"/>
      <w:start w:val="1"/>
    </w:lvl>
  </w:abstractNum>
  <w:abstractNum w:abstractNumId="88">
    <w:nsid w:val="24E99DD7"/>
    <w:multiLevelType w:val="hybridMultilevel"/>
    <w:lvl w:ilvl="0">
      <w:lvlJc w:val="left"/>
      <w:lvlText w:val="(%1)"/>
      <w:numFmt w:val="decimal"/>
      <w:start w:val="1"/>
    </w:lvl>
  </w:abstractNum>
  <w:abstractNum w:abstractNumId="89">
    <w:nsid w:val="2A31B62D"/>
    <w:multiLevelType w:val="hybridMultilevel"/>
    <w:lvl w:ilvl="0">
      <w:lvlJc w:val="left"/>
      <w:lvlText w:val="(%1)"/>
      <w:numFmt w:val="decimal"/>
      <w:start w:val="5"/>
    </w:lvl>
  </w:abstractNum>
  <w:abstractNum w:abstractNumId="90">
    <w:nsid w:val="1849C29B"/>
    <w:multiLevelType w:val="hybridMultilevel"/>
    <w:lvl w:ilvl="0">
      <w:lvlJc w:val="left"/>
      <w:lvlText w:val="(%1)"/>
      <w:numFmt w:val="lowerLetter"/>
      <w:start w:val="1"/>
    </w:lvl>
  </w:abstractNum>
  <w:abstractNum w:abstractNumId="91">
    <w:nsid w:val="7DFF9D09"/>
    <w:multiLevelType w:val="hybridMultilevel"/>
    <w:lvl w:ilvl="0">
      <w:lvlJc w:val="left"/>
      <w:lvlText w:val="(%1)"/>
      <w:numFmt w:val="lowerLetter"/>
      <w:start w:val="2"/>
    </w:lvl>
  </w:abstractNum>
  <w:abstractNum w:abstractNumId="92">
    <w:nsid w:val="754342"/>
    <w:multiLevelType w:val="hybridMultilevel"/>
    <w:lvl w:ilvl="0">
      <w:lvlJc w:val="left"/>
      <w:lvlText w:val="(%1)"/>
      <w:numFmt w:val="lowerLetter"/>
      <w:start w:val="7"/>
    </w:lvl>
  </w:abstractNum>
  <w:abstractNum w:abstractNumId="93">
    <w:nsid w:val="69E7F3E5"/>
    <w:multiLevelType w:val="hybridMultilevel"/>
    <w:lvl w:ilvl="0">
      <w:lvlJc w:val="left"/>
      <w:lvlText w:val="(%1)"/>
      <w:numFmt w:val="lowerLetter"/>
      <w:start w:val="1"/>
    </w:lvl>
  </w:abstractNum>
  <w:abstractNum w:abstractNumId="94">
    <w:nsid w:val="2A6DE806"/>
    <w:multiLevelType w:val="hybridMultilevel"/>
    <w:lvl w:ilvl="0">
      <w:lvlJc w:val="left"/>
      <w:lvlText w:val="(%1)"/>
      <w:numFmt w:val="lowerLetter"/>
      <w:start w:val="1"/>
    </w:lvl>
  </w:abstractNum>
  <w:abstractNum w:abstractNumId="95">
    <w:nsid w:val="1816F8C4"/>
    <w:multiLevelType w:val="hybridMultilevel"/>
    <w:lvl w:ilvl="0">
      <w:lvlJc w:val="left"/>
      <w:lvlText w:val="(%1)"/>
      <w:numFmt w:val="lowerRoman"/>
      <w:start w:val="1"/>
    </w:lvl>
  </w:abstractNum>
  <w:abstractNum w:abstractNumId="96">
    <w:nsid w:val="37DF2233"/>
    <w:multiLevelType w:val="hybridMultilevel"/>
    <w:lvl w:ilvl="0">
      <w:lvlJc w:val="left"/>
      <w:lvlText w:val="(%1)"/>
      <w:numFmt w:val="lowerLetter"/>
      <w:start w:val="1"/>
    </w:lvl>
  </w:abstractNum>
  <w:abstractNum w:abstractNumId="97">
    <w:nsid w:val="7AB49DAF"/>
    <w:multiLevelType w:val="hybridMultilevel"/>
    <w:lvl w:ilvl="0">
      <w:lvlJc w:val="left"/>
      <w:lvlText w:val="(%1)"/>
      <w:numFmt w:val="decimal"/>
      <w:start w:val="1"/>
    </w:lvl>
  </w:abstractNum>
  <w:abstractNum w:abstractNumId="98">
    <w:nsid w:val="759F82CD"/>
    <w:multiLevelType w:val="hybridMultilevel"/>
    <w:lvl w:ilvl="0">
      <w:lvlJc w:val="left"/>
      <w:lvlText w:val="(%1)"/>
      <w:numFmt w:val="decimal"/>
      <w:start w:val="3"/>
    </w:lvl>
  </w:abstractNum>
  <w:abstractNum w:abstractNumId="99">
    <w:nsid w:val="61E74EA3"/>
    <w:multiLevelType w:val="hybridMultilevel"/>
    <w:lvl w:ilvl="0">
      <w:lvlJc w:val="left"/>
      <w:lvlText w:val="(%1)"/>
      <w:numFmt w:val="decimal"/>
      <w:start w:val="6"/>
    </w:lvl>
  </w:abstractNum>
  <w:abstractNum w:abstractNumId="100">
    <w:nsid w:val="597B4D84"/>
    <w:multiLevelType w:val="hybridMultilevel"/>
    <w:lvl w:ilvl="0">
      <w:lvlJc w:val="left"/>
      <w:lvlText w:val="(%1)"/>
      <w:numFmt w:val="decimal"/>
      <w:start w:val="10"/>
    </w:lvl>
  </w:abstractNum>
  <w:abstractNum w:abstractNumId="101">
    <w:nsid w:val="F819E7F"/>
    <w:multiLevelType w:val="hybridMultilevel"/>
    <w:lvl w:ilvl="0">
      <w:lvlJc w:val="left"/>
      <w:lvlText w:val="(%1)"/>
      <w:numFmt w:val="decimal"/>
      <w:start w:val="1"/>
    </w:lvl>
  </w:abstractNum>
  <w:abstractNum w:abstractNumId="102">
    <w:nsid w:val="57C7D42D"/>
    <w:multiLevelType w:val="hybridMultilevel"/>
    <w:lvl w:ilvl="0">
      <w:lvlJc w:val="left"/>
      <w:lvlText w:val="(%1)"/>
      <w:numFmt w:val="decimal"/>
      <w:start w:val="1"/>
    </w:lvl>
  </w:abstractNum>
  <w:abstractNum w:abstractNumId="103">
    <w:nsid w:val="312167AD"/>
    <w:multiLevelType w:val="hybridMultilevel"/>
    <w:lvl w:ilvl="0">
      <w:lvlJc w:val="left"/>
      <w:lvlText w:val="(%1)"/>
      <w:numFmt w:val="lowerRoman"/>
      <w:start w:val="1"/>
    </w:lvl>
    <w:lvl w:ilvl="1">
      <w:lvlJc w:val="left"/>
      <w:lvlText w:val="(%2)"/>
      <w:numFmt w:val="decimal"/>
      <w:start w:val="1"/>
    </w:lvl>
  </w:abstractNum>
  <w:abstractNum w:abstractNumId="104">
    <w:nsid w:val="631B64D4"/>
    <w:multiLevelType w:val="hybridMultilevel"/>
    <w:lvl w:ilvl="0">
      <w:lvlJc w:val="left"/>
      <w:lvlText w:val="(%1)"/>
      <w:numFmt w:val="decimal"/>
      <w:start w:val="1"/>
    </w:lvl>
  </w:abstractNum>
  <w:abstractNum w:abstractNumId="105">
    <w:nsid w:val="78B5E776"/>
    <w:multiLevelType w:val="hybridMultilevel"/>
    <w:lvl w:ilvl="0">
      <w:lvlJc w:val="left"/>
      <w:lvlText w:val="(%1)"/>
      <w:numFmt w:val="decimal"/>
      <w:start w:val="1"/>
    </w:lvl>
  </w:abstractNum>
  <w:abstractNum w:abstractNumId="106">
    <w:nsid w:val="75486E47"/>
    <w:multiLevelType w:val="hybridMultilevel"/>
    <w:lvl w:ilvl="0">
      <w:lvlJc w:val="left"/>
      <w:lvlText w:val="(%1)"/>
      <w:numFmt w:val="lowerRoman"/>
      <w:start w:val="1"/>
    </w:lvl>
  </w:abstractNum>
  <w:abstractNum w:abstractNumId="107">
    <w:nsid w:val="6E534CDE"/>
    <w:multiLevelType w:val="hybridMultilevel"/>
    <w:lvl w:ilvl="0">
      <w:lvlJc w:val="left"/>
      <w:lvlText w:val="(%1)"/>
      <w:numFmt w:val="decimal"/>
      <w:start w:val="2"/>
    </w:lvl>
  </w:abstractNum>
  <w:abstractNum w:abstractNumId="108">
    <w:nsid w:val="1A0DDE32"/>
    <w:multiLevelType w:val="hybridMultilevel"/>
    <w:lvl w:ilvl="0">
      <w:lvlJc w:val="left"/>
      <w:lvlText w:val="(%1)"/>
      <w:numFmt w:val="lowerLetter"/>
      <w:start w:val="1"/>
    </w:lvl>
  </w:abstractNum>
  <w:abstractNum w:abstractNumId="109">
    <w:nsid w:val="65968C1C"/>
    <w:multiLevelType w:val="hybridMultilevel"/>
    <w:lvl w:ilvl="0">
      <w:lvlJc w:val="left"/>
      <w:lvlText w:val="(%1)"/>
      <w:numFmt w:val="lowerLetter"/>
      <w:start w:val="2"/>
    </w:lvl>
  </w:abstractNum>
  <w:abstractNum w:abstractNumId="110">
    <w:nsid w:val="46263DEC"/>
    <w:multiLevelType w:val="hybridMultilevel"/>
    <w:lvl w:ilvl="0">
      <w:lvlJc w:val="left"/>
      <w:lvlText w:val="(%1)"/>
      <w:numFmt w:val="lowerLetter"/>
      <w:start w:val="6"/>
    </w:lvl>
  </w:abstractNum>
  <w:abstractNum w:abstractNumId="111">
    <w:nsid w:val="260D8C4A"/>
    <w:multiLevelType w:val="hybridMultilevel"/>
    <w:lvl w:ilvl="0">
      <w:lvlJc w:val="left"/>
      <w:lvlText w:val="(%1)"/>
      <w:numFmt w:val="decimal"/>
      <w:start w:val="2"/>
    </w:lvl>
  </w:abstractNum>
  <w:abstractNum w:abstractNumId="112">
    <w:nsid w:val="73D4D3C4"/>
    <w:multiLevelType w:val="hybridMultilevel"/>
    <w:lvl w:ilvl="0">
      <w:lvlJc w:val="left"/>
      <w:lvlText w:val="(%1)"/>
      <w:numFmt w:val="decimal"/>
      <w:start w:val="3"/>
    </w:lvl>
  </w:abstractNum>
  <w:abstractNum w:abstractNumId="113">
    <w:nsid w:val="746F2E30"/>
    <w:multiLevelType w:val="hybridMultilevel"/>
    <w:lvl w:ilvl="0">
      <w:lvlJc w:val="left"/>
      <w:lvlText w:val="(%1)"/>
      <w:numFmt w:val="decimal"/>
      <w:start w:val="1"/>
    </w:lvl>
  </w:abstractNum>
  <w:abstractNum w:abstractNumId="114">
    <w:nsid w:val="6FDE8AF6"/>
    <w:multiLevelType w:val="hybridMultilevel"/>
    <w:lvl w:ilvl="0">
      <w:lvlJc w:val="left"/>
      <w:lvlText w:val="(%1)"/>
      <w:numFmt w:val="decimal"/>
      <w:start w:val="8"/>
    </w:lvl>
  </w:abstractNum>
  <w:abstractNum w:abstractNumId="115">
    <w:nsid w:val="3FC32E20"/>
    <w:multiLevelType w:val="hybridMultilevel"/>
    <w:lvl w:ilvl="0">
      <w:lvlJc w:val="left"/>
      <w:lvlText w:val="(%1)"/>
      <w:numFmt w:val="decimal"/>
      <w:start w:val="17"/>
    </w:lvl>
  </w:abstractNum>
  <w:abstractNum w:abstractNumId="116">
    <w:nsid w:val="49C0E823"/>
    <w:multiLevelType w:val="hybridMultilevel"/>
    <w:lvl w:ilvl="0">
      <w:lvlJc w:val="left"/>
      <w:lvlText w:val="(%1)"/>
      <w:numFmt w:val="decimal"/>
      <w:start w:val="24"/>
    </w:lvl>
  </w:abstractNum>
  <w:abstractNum w:abstractNumId="117">
    <w:nsid w:val="14D53685"/>
    <w:multiLevelType w:val="hybridMultilevel"/>
    <w:lvl w:ilvl="0">
      <w:lvlJc w:val="left"/>
      <w:lvlText w:val="(%1)"/>
      <w:numFmt w:val="lowerLetter"/>
      <w:start w:val="9"/>
    </w:lvl>
    <w:lvl w:ilvl="1">
      <w:lvlJc w:val="left"/>
      <w:lvlText w:val="(%2)"/>
      <w:numFmt w:val="lowerLetter"/>
      <w:start w:val="1"/>
    </w:lvl>
  </w:abstractNum>
  <w:abstractNum w:abstractNumId="118">
    <w:nsid w:val="230F856C"/>
    <w:multiLevelType w:val="hybridMultilevel"/>
    <w:lvl w:ilvl="0">
      <w:lvlJc w:val="left"/>
      <w:lvlText w:val="(%1)"/>
      <w:numFmt w:val="lowerRoman"/>
      <w:start w:val="2"/>
    </w:lvl>
  </w:abstractNum>
  <w:abstractNum w:abstractNumId="119">
    <w:nsid w:val="6EAA85FB"/>
    <w:multiLevelType w:val="hybridMultilevel"/>
    <w:lvl w:ilvl="0">
      <w:lvlJc w:val="left"/>
      <w:lvlText w:val="(%1)"/>
      <w:numFmt w:val="lowerLetter"/>
      <w:start w:val="1"/>
    </w:lvl>
  </w:abstractNum>
  <w:abstractNum w:abstractNumId="120">
    <w:nsid w:val="3F06ECB2"/>
    <w:multiLevelType w:val="hybridMultilevel"/>
    <w:lvl w:ilvl="0">
      <w:lvlJc w:val="left"/>
      <w:lvlText w:val="(%1)"/>
      <w:numFmt w:val="lowerRoman"/>
      <w:start w:val="2"/>
    </w:lvl>
  </w:abstractNum>
  <w:abstractNum w:abstractNumId="121">
    <w:nsid w:val="3B594807"/>
    <w:multiLevelType w:val="hybridMultilevel"/>
    <w:lvl w:ilvl="0">
      <w:lvlJc w:val="left"/>
      <w:lvlText w:val="(%1)"/>
      <w:numFmt w:val="decimal"/>
      <w:start w:val="1"/>
    </w:lvl>
  </w:abstractNum>
  <w:abstractNum w:abstractNumId="122">
    <w:nsid w:val="6CAA230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lvl w:ilvl="3">
      <w:lvlJc w:val="left"/>
      <w:lvlText w:val="(%4)"/>
      <w:numFmt w:val="lowerRoman"/>
      <w:start w:val="2"/>
    </w:lvl>
  </w:abstractNum>
  <w:abstractNum w:abstractNumId="123">
    <w:nsid w:val="3F7C2FF4"/>
    <w:multiLevelType w:val="hybridMultilevel"/>
    <w:lvl w:ilvl="0">
      <w:lvlJc w:val="left"/>
      <w:lvlText w:val="(%1)"/>
      <w:numFmt w:val="decimal"/>
      <w:start w:val="2"/>
    </w:lvl>
  </w:abstractNum>
  <w:abstractNum w:abstractNumId="124">
    <w:nsid w:val="25413BEC"/>
    <w:multiLevelType w:val="hybridMultilevel"/>
    <w:lvl w:ilvl="0">
      <w:lvlJc w:val="left"/>
      <w:lvlText w:val="(%1)"/>
      <w:numFmt w:val="decimal"/>
      <w:start w:val="1"/>
    </w:lvl>
  </w:abstractNum>
  <w:abstractNum w:abstractNumId="125">
    <w:nsid w:val="17180B0B"/>
    <w:multiLevelType w:val="hybridMultilevel"/>
    <w:lvl w:ilvl="0">
      <w:lvlJc w:val="left"/>
      <w:lvlText w:val="(%1)"/>
      <w:numFmt w:val="decimal"/>
      <w:start w:val="5"/>
    </w:lvl>
    <w:lvl w:ilvl="1">
      <w:lvlJc w:val="left"/>
      <w:lvlText w:val="(%2)"/>
      <w:numFmt w:val="upperLetter"/>
      <w:start w:val="1"/>
    </w:lvl>
  </w:abstractNum>
  <w:abstractNum w:abstractNumId="126">
    <w:nsid w:val="579328B9"/>
    <w:multiLevelType w:val="hybridMultilevel"/>
    <w:lvl w:ilvl="0">
      <w:lvlJc w:val="left"/>
      <w:lvlText w:val="(%1)"/>
      <w:numFmt w:val="decimal"/>
      <w:start w:val="1"/>
    </w:lvl>
    <w:lvl w:ilvl="1">
      <w:lvlJc w:val="left"/>
      <w:lvlText w:val="(%2)"/>
      <w:numFmt w:val="upperLetter"/>
      <w:start w:val="1"/>
    </w:lvl>
  </w:abstractNum>
  <w:abstractNum w:abstractNumId="127">
    <w:nsid w:val="5D205E20"/>
    <w:multiLevelType w:val="hybridMultilevel"/>
    <w:lvl w:ilvl="0">
      <w:lvlJc w:val="left"/>
      <w:lvlText w:val="(%1)"/>
      <w:numFmt w:val="decimal"/>
      <w:start w:val="1"/>
    </w:lvl>
  </w:abstractNum>
  <w:abstractNum w:abstractNumId="128">
    <w:nsid w:val="11CCA8BA"/>
    <w:multiLevelType w:val="hybridMultilevel"/>
    <w:lvl w:ilvl="0">
      <w:lvlJc w:val="left"/>
      <w:lvlText w:val="(%1)"/>
      <w:numFmt w:val="lowerRoman"/>
      <w:start w:val="1"/>
    </w:lvl>
  </w:abstractNum>
  <w:abstractNum w:abstractNumId="129">
    <w:nsid w:val="4D32AB86"/>
    <w:multiLevelType w:val="hybridMultilevel"/>
    <w:lvl w:ilvl="0">
      <w:lvlJc w:val="left"/>
      <w:lvlText w:val="(%1)"/>
      <w:numFmt w:val="decimal"/>
      <w:start w:val="1"/>
    </w:lvl>
  </w:abstractNum>
  <w:abstractNum w:abstractNumId="130">
    <w:nsid w:val="3F07ACC3"/>
    <w:multiLevelType w:val="hybridMultilevel"/>
    <w:lvl w:ilvl="0">
      <w:lvlJc w:val="left"/>
      <w:lvlText w:val="(%1)"/>
      <w:numFmt w:val="decimal"/>
      <w:start w:val="2"/>
    </w:lvl>
  </w:abstractNum>
  <w:abstractNum w:abstractNumId="131">
    <w:nsid w:val="6B47F63E"/>
    <w:multiLevelType w:val="hybridMultilevel"/>
    <w:lvl w:ilvl="0">
      <w:lvlJc w:val="left"/>
      <w:lvlText w:val="(%1)"/>
      <w:numFmt w:val="decimal"/>
      <w:start w:val="1"/>
    </w:lvl>
  </w:abstractNum>
  <w:abstractNum w:abstractNumId="132">
    <w:nsid w:val="5CB44A05"/>
    <w:multiLevelType w:val="hybridMultilevel"/>
    <w:lvl w:ilvl="0">
      <w:lvlJc w:val="left"/>
      <w:lvlText w:val="(%1)"/>
      <w:numFmt w:val="decimal"/>
      <w:start w:val="1"/>
    </w:lvl>
  </w:abstractNum>
  <w:abstractNum w:abstractNumId="133">
    <w:nsid w:val="16CF80F1"/>
    <w:multiLevelType w:val="hybridMultilevel"/>
    <w:lvl w:ilvl="0">
      <w:lvlJc w:val="left"/>
      <w:lvlText w:val="(%1)"/>
      <w:numFmt w:val="decimal"/>
      <w:start w:val="1"/>
    </w:lvl>
  </w:abstractNum>
  <w:abstractNum w:abstractNumId="134">
    <w:nsid w:val="1C695DEC"/>
    <w:multiLevelType w:val="hybridMultilevel"/>
    <w:lvl w:ilvl="0">
      <w:lvlJc w:val="left"/>
      <w:lvlText w:val="(%1)"/>
      <w:numFmt w:val="decimal"/>
      <w:start w:val="2"/>
    </w:lvl>
  </w:abstractNum>
  <w:abstractNum w:abstractNumId="135">
    <w:nsid w:val="3FCFAED9"/>
    <w:multiLevelType w:val="hybridMultilevel"/>
    <w:lvl w:ilvl="0">
      <w:lvlJc w:val="left"/>
      <w:lvlText w:val="(%1)"/>
      <w:numFmt w:val="decimal"/>
      <w:start w:val="8"/>
    </w:lvl>
  </w:abstractNum>
  <w:abstractNum w:abstractNumId="136">
    <w:nsid w:val="F856867"/>
    <w:multiLevelType w:val="hybridMultilevel"/>
    <w:lvl w:ilvl="0">
      <w:lvlJc w:val="left"/>
      <w:lvlText w:val="(%1)"/>
      <w:numFmt w:val="decimal"/>
      <w:start w:val="1"/>
    </w:lvl>
  </w:abstractNum>
  <w:abstractNum w:abstractNumId="137">
    <w:nsid w:val="11B1CC33"/>
    <w:multiLevelType w:val="hybridMultilevel"/>
    <w:lvl w:ilvl="0">
      <w:lvlJc w:val="left"/>
      <w:lvlText w:val="(%1)"/>
      <w:numFmt w:val="lowerLetter"/>
      <w:start w:val="1"/>
    </w:lvl>
  </w:abstractNum>
  <w:abstractNum w:abstractNumId="138">
    <w:nsid w:val="2E22FBB7"/>
    <w:multiLevelType w:val="hybridMultilevel"/>
    <w:lvl w:ilvl="0">
      <w:lvlJc w:val="left"/>
      <w:lvlText w:val="(%1)"/>
      <w:numFmt w:val="decimal"/>
      <w:start w:val="1"/>
    </w:lvl>
  </w:abstractNum>
  <w:abstractNum w:abstractNumId="139">
    <w:nsid w:val="29934699"/>
    <w:multiLevelType w:val="hybridMultilevel"/>
    <w:lvl w:ilvl="0">
      <w:lvlJc w:val="left"/>
      <w:lvlText w:val="(%1)"/>
      <w:numFmt w:val="lowerLetter"/>
      <w:start w:val="5"/>
    </w:lvl>
  </w:abstractNum>
  <w:abstractNum w:abstractNumId="140">
    <w:nsid w:val="77485850"/>
    <w:multiLevelType w:val="hybridMultilevel"/>
    <w:lvl w:ilvl="0">
      <w:lvlJc w:val="left"/>
      <w:lvlText w:val="(%1)"/>
      <w:numFmt w:val="lowerLetter"/>
      <w:start w:val="1"/>
    </w:lvl>
  </w:abstractNum>
  <w:abstractNum w:abstractNumId="141">
    <w:nsid w:val="744939A3"/>
    <w:multiLevelType w:val="hybridMultilevel"/>
    <w:lvl w:ilvl="0">
      <w:lvlJc w:val="left"/>
      <w:lvlText w:val="(%1)"/>
      <w:numFmt w:val="lowerLetter"/>
      <w:start w:val="3"/>
    </w:lvl>
  </w:abstractNum>
  <w:abstractNum w:abstractNumId="142">
    <w:nsid w:val="4FA0D2E3"/>
    <w:multiLevelType w:val="hybridMultilevel"/>
    <w:lvl w:ilvl="0">
      <w:lvlJc w:val="left"/>
      <w:lvlText w:val="(%1)"/>
      <w:numFmt w:val="decimal"/>
      <w:start w:val="1"/>
    </w:lvl>
  </w:abstractNum>
  <w:abstractNum w:abstractNumId="143">
    <w:nsid w:val="6B1D2C14"/>
    <w:multiLevelType w:val="hybridMultilevel"/>
    <w:lvl w:ilvl="0">
      <w:lvlJc w:val="left"/>
      <w:lvlText w:val="(%1)"/>
      <w:numFmt w:val="lowerLetter"/>
      <w:start w:val="2"/>
    </w:lvl>
  </w:abstractNum>
  <w:abstractNum w:abstractNumId="144">
    <w:nsid w:val="68B867D3"/>
    <w:multiLevelType w:val="hybridMultilevel"/>
    <w:lvl w:ilvl="0">
      <w:lvlJc w:val="left"/>
      <w:lvlText w:val="(%1)"/>
      <w:numFmt w:val="decimal"/>
      <w:start w:val="1"/>
    </w:lvl>
  </w:abstractNum>
  <w:abstractNum w:abstractNumId="145">
    <w:nsid w:val="3F7F5DD9"/>
    <w:multiLevelType w:val="hybridMultilevel"/>
    <w:lvl w:ilvl="0">
      <w:lvlJc w:val="left"/>
      <w:lvlText w:val="(%1)"/>
      <w:numFmt w:val="decimal"/>
      <w:start w:val="4"/>
    </w:lvl>
  </w:abstractNum>
  <w:abstractNum w:abstractNumId="146">
    <w:nsid w:val="2AE05A34"/>
    <w:multiLevelType w:val="hybridMultilevel"/>
    <w:lvl w:ilvl="0">
      <w:lvlJc w:val="left"/>
      <w:lvlText w:val="(%1)"/>
      <w:numFmt w:val="lowerLetter"/>
      <w:start w:val="4"/>
    </w:lvl>
  </w:abstractNum>
  <w:abstractNum w:abstractNumId="147">
    <w:nsid w:val="32794FF7"/>
    <w:multiLevelType w:val="hybridMultilevel"/>
    <w:lvl w:ilvl="0">
      <w:lvlJc w:val="left"/>
      <w:lvlText w:val="(%1)"/>
      <w:numFmt w:val="decimal"/>
      <w:start w:val="1"/>
    </w:lvl>
  </w:abstractNum>
  <w:abstractNum w:abstractNumId="148">
    <w:nsid w:val="5454945E"/>
    <w:multiLevelType w:val="hybridMultilevel"/>
    <w:lvl w:ilvl="0">
      <w:lvlJc w:val="left"/>
      <w:lvlText w:val="(%1)"/>
      <w:numFmt w:val="decimal"/>
      <w:start w:val="2"/>
    </w:lvl>
  </w:abstractNum>
  <w:abstractNum w:abstractNumId="149">
    <w:nsid w:val="4DEFDFA0"/>
    <w:multiLevelType w:val="hybridMultilevel"/>
    <w:lvl w:ilvl="0">
      <w:lvlJc w:val="left"/>
      <w:lvlText w:val="(%1)"/>
      <w:numFmt w:val="lowerLetter"/>
      <w:start w:val="1"/>
    </w:lvl>
  </w:abstractNum>
  <w:abstractNum w:abstractNumId="150">
    <w:nsid w:val="2123D5F2"/>
    <w:multiLevelType w:val="hybridMultilevel"/>
    <w:lvl w:ilvl="0">
      <w:lvlJc w:val="left"/>
      <w:lvlText w:val="(%1)"/>
      <w:numFmt w:val="decimal"/>
      <w:start w:val="1"/>
    </w:lvl>
  </w:abstractNum>
  <w:abstractNum w:abstractNumId="151">
    <w:nsid w:val="135B8110"/>
    <w:multiLevelType w:val="hybridMultilevel"/>
    <w:lvl w:ilvl="0">
      <w:lvlJc w:val="left"/>
      <w:lvlText w:val="(%1)"/>
      <w:numFmt w:val="decimal"/>
      <w:start w:val="2"/>
    </w:lvl>
  </w:abstractNum>
  <w:abstractNum w:abstractNumId="152">
    <w:nsid w:val="94927A8"/>
    <w:multiLevelType w:val="hybridMultilevel"/>
    <w:lvl w:ilvl="0">
      <w:lvlJc w:val="left"/>
      <w:lvlText w:val="(%1)"/>
      <w:numFmt w:val="decimal"/>
      <w:start w:val="1"/>
    </w:lvl>
  </w:abstractNum>
  <w:abstractNum w:abstractNumId="153">
    <w:nsid w:val="DCDF8F6"/>
    <w:multiLevelType w:val="hybridMultilevel"/>
    <w:lvl w:ilvl="0">
      <w:lvlJc w:val="left"/>
      <w:lvlText w:val="%1)"/>
      <w:numFmt w:val="decimal"/>
      <w:start w:val="612"/>
    </w:lvl>
  </w:abstractNum>
  <w:abstractNum w:abstractNumId="154">
    <w:nsid w:val="52D7B105"/>
    <w:multiLevelType w:val="hybridMultilevel"/>
    <w:lvl w:ilvl="0">
      <w:lvlJc w:val="left"/>
      <w:lvlText w:val="(%1)"/>
      <w:numFmt w:val="decimal"/>
      <w:start w:val="1"/>
    </w:lvl>
  </w:abstractNum>
  <w:abstractNum w:abstractNumId="155">
    <w:nsid w:val="2E8A6394"/>
    <w:multiLevelType w:val="hybridMultilevel"/>
    <w:lvl w:ilvl="0">
      <w:lvlJc w:val="left"/>
      <w:lvlText w:val="(%1)"/>
      <w:numFmt w:val="decimal"/>
      <w:start w:val="3"/>
    </w:lvl>
  </w:abstractNum>
  <w:abstractNum w:abstractNumId="156">
    <w:nsid w:val="24E60401"/>
    <w:multiLevelType w:val="hybridMultilevel"/>
    <w:lvl w:ilvl="0">
      <w:lvlJc w:val="left"/>
      <w:lvlText w:val="(%1)"/>
      <w:numFmt w:val="decimal"/>
      <w:start w:val="1"/>
    </w:lvl>
  </w:abstractNum>
  <w:abstractNum w:abstractNumId="157">
    <w:nsid w:val="2A6AD9BE"/>
    <w:multiLevelType w:val="hybridMultilevel"/>
    <w:lvl w:ilvl="0">
      <w:lvlJc w:val="left"/>
      <w:lvlText w:val="(%1)"/>
      <w:numFmt w:val="decimal"/>
      <w:start w:val="9"/>
    </w:lvl>
  </w:abstractNum>
  <w:abstractNum w:abstractNumId="158">
    <w:nsid w:val="BAAC1B4"/>
    <w:multiLevelType w:val="hybridMultilevel"/>
    <w:lvl w:ilvl="0">
      <w:lvlJc w:val="left"/>
      <w:lvlText w:val="(%1)"/>
      <w:numFmt w:val="lowerLetter"/>
      <w:start w:val="1"/>
    </w:lvl>
  </w:abstractNum>
  <w:abstractNum w:abstractNumId="159">
    <w:nsid w:val="36B2ACBC"/>
    <w:multiLevelType w:val="hybridMultilevel"/>
    <w:lvl w:ilvl="0">
      <w:lvlJc w:val="left"/>
      <w:lvlText w:val="(%1)"/>
      <w:numFmt w:val="lowerLetter"/>
      <w:start w:val="4"/>
    </w:lvl>
  </w:abstractNum>
  <w:abstractNum w:abstractNumId="160">
    <w:nsid w:val="779D8544"/>
    <w:multiLevelType w:val="hybridMultilevel"/>
    <w:lvl w:ilvl="0">
      <w:lvlJc w:val="left"/>
      <w:lvlText w:val="(%1)"/>
      <w:numFmt w:val="lowerLetter"/>
      <w:start w:val="1"/>
    </w:lvl>
  </w:abstractNum>
  <w:abstractNum w:abstractNumId="161">
    <w:nsid w:val="4AB26E78"/>
    <w:multiLevelType w:val="hybridMultilevel"/>
    <w:lvl w:ilvl="0">
      <w:lvlJc w:val="left"/>
      <w:lvlText w:val="(%1)"/>
      <w:numFmt w:val="lowerLetter"/>
      <w:start w:val="1"/>
    </w:lvl>
  </w:abstractNum>
  <w:abstractNum w:abstractNumId="162">
    <w:nsid w:val="21FAA2FA"/>
    <w:multiLevelType w:val="hybridMultilevel"/>
    <w:lvl w:ilvl="0">
      <w:lvlJc w:val="left"/>
      <w:lvlText w:val="(%1)"/>
      <w:numFmt w:val="decimal"/>
      <w:start w:val="1"/>
    </w:lvl>
  </w:abstractNum>
  <w:abstractNum w:abstractNumId="163">
    <w:nsid w:val="5451CF49"/>
    <w:multiLevelType w:val="hybridMultilevel"/>
    <w:lvl w:ilvl="0">
      <w:lvlJc w:val="left"/>
      <w:lvlText w:val="(%1)"/>
      <w:numFmt w:val="lowerRoman"/>
      <w:start w:val="1"/>
    </w:lvl>
  </w:abstractNum>
  <w:abstractNum w:abstractNumId="164">
    <w:nsid w:val="6181EF69"/>
    <w:multiLevelType w:val="hybridMultilevel"/>
    <w:lvl w:ilvl="0">
      <w:lvlJc w:val="left"/>
      <w:lvlText w:val="(%1)"/>
      <w:numFmt w:val="lowerLetter"/>
      <w:start w:val="1"/>
    </w:lvl>
  </w:abstractNum>
  <w:abstractNum w:abstractNumId="165">
    <w:nsid w:val="3E6400E6"/>
    <w:multiLevelType w:val="hybridMultilevel"/>
    <w:lvl w:ilvl="0">
      <w:lvlJc w:val="left"/>
      <w:lvlText w:val="(%1)"/>
      <w:numFmt w:val="lowerLetter"/>
      <w:start w:val="4"/>
    </w:lvl>
  </w:abstractNum>
  <w:abstractNum w:abstractNumId="166">
    <w:nsid w:val="14217E23"/>
    <w:multiLevelType w:val="hybridMultilevel"/>
    <w:lvl w:ilvl="0">
      <w:lvlJc w:val="left"/>
      <w:lvlText w:val="(%1)"/>
      <w:numFmt w:val="decimal"/>
      <w:start w:val="1"/>
    </w:lvl>
  </w:abstractNum>
  <w:abstractNum w:abstractNumId="167">
    <w:nsid w:val="710757D0"/>
    <w:multiLevelType w:val="hybridMultilevel"/>
    <w:lvl w:ilvl="0">
      <w:lvlJc w:val="left"/>
      <w:lvlText w:val="(%1)"/>
      <w:numFmt w:val="decimal"/>
      <w:start w:val="1"/>
    </w:lvl>
  </w:abstractNum>
  <w:abstractNum w:abstractNumId="168">
    <w:nsid w:val="5015CD1A"/>
    <w:multiLevelType w:val="hybridMultilevel"/>
    <w:lvl w:ilvl="0">
      <w:lvlJc w:val="left"/>
      <w:lvlText w:val="(%1)"/>
      <w:numFmt w:val="decimal"/>
      <w:start w:val="4"/>
    </w:lvl>
  </w:abstractNum>
  <w:abstractNum w:abstractNumId="169">
    <w:nsid w:val="424479DA"/>
    <w:multiLevelType w:val="hybridMultilevel"/>
    <w:lvl w:ilvl="0">
      <w:lvlJc w:val="left"/>
      <w:lvlText w:val="%1"/>
      <w:numFmt w:val="decimal"/>
      <w:start w:val="1"/>
    </w:lvl>
    <w:lvl w:ilvl="1">
      <w:lvlJc w:val="left"/>
      <w:lvlText w:val="(%2)"/>
      <w:numFmt w:val="decimal"/>
      <w:start w:val="7"/>
    </w:lvl>
  </w:abstractNum>
  <w:abstractNum w:abstractNumId="170">
    <w:nsid w:val="1A9A9E69"/>
    <w:multiLevelType w:val="hybridMultilevel"/>
    <w:lvl w:ilvl="0">
      <w:lvlJc w:val="left"/>
      <w:lvlText w:val="(%1)"/>
      <w:numFmt w:val="decimal"/>
      <w:start w:val="1"/>
    </w:lvl>
    <w:lvl w:ilvl="1">
      <w:lvlJc w:val="left"/>
      <w:lvlText w:val="%2"/>
      <w:numFmt w:val="decimal"/>
      <w:start w:val="1"/>
    </w:lvl>
  </w:abstractNum>
  <w:abstractNum w:abstractNumId="171">
    <w:nsid w:val="475E256A"/>
    <w:multiLevelType w:val="hybridMultilevel"/>
    <w:lvl w:ilvl="0">
      <w:lvlJc w:val="left"/>
      <w:lvlText w:val="(%1)"/>
      <w:numFmt w:val="decimal"/>
      <w:start w:val="1"/>
    </w:lvl>
  </w:abstractNum>
  <w:abstractNum w:abstractNumId="172">
    <w:nsid w:val="368DB37E"/>
    <w:multiLevelType w:val="hybridMultilevel"/>
    <w:lvl w:ilvl="0">
      <w:lvlJc w:val="left"/>
      <w:lvlText w:val="(%1)"/>
      <w:numFmt w:val="decimal"/>
      <w:start w:val="1"/>
    </w:lvl>
  </w:abstractNum>
  <w:abstractNum w:abstractNumId="173">
    <w:nsid w:val="6A3B714C"/>
    <w:multiLevelType w:val="hybridMultilevel"/>
    <w:lvl w:ilvl="0">
      <w:lvlJc w:val="left"/>
      <w:lvlText w:val="%1"/>
      <w:numFmt w:val="lowerLetter"/>
      <w:start w:val="1"/>
    </w:lvl>
    <w:lvl w:ilvl="1">
      <w:lvlJc w:val="left"/>
      <w:lvlText w:val="(%2)"/>
      <w:numFmt w:val="decimal"/>
      <w:start w:val="1"/>
    </w:lvl>
  </w:abstractNum>
  <w:abstractNum w:abstractNumId="174">
    <w:nsid w:val="327B517E"/>
    <w:multiLevelType w:val="hybridMultilevel"/>
    <w:lvl w:ilvl="0">
      <w:lvlJc w:val="left"/>
      <w:lvlText w:val="(%1)"/>
      <w:numFmt w:val="lowerLetter"/>
      <w:start w:val="3"/>
    </w:lvl>
    <w:lvl w:ilvl="1">
      <w:lvlJc w:val="left"/>
      <w:lvlText w:val="%2"/>
      <w:numFmt w:val="decimal"/>
      <w:start w:val="1"/>
    </w:lvl>
  </w:abstractNum>
  <w:abstractNum w:abstractNumId="175">
    <w:nsid w:val="1F461B51"/>
    <w:multiLevelType w:val="hybridMultilevel"/>
    <w:lvl w:ilvl="0">
      <w:lvlJc w:val="left"/>
      <w:lvlText w:val="(%1)"/>
      <w:numFmt w:val="decimal"/>
      <w:start w:val="2"/>
    </w:lvl>
  </w:abstractNum>
  <w:abstractNum w:abstractNumId="176">
    <w:nsid w:val="29BACF25"/>
    <w:multiLevelType w:val="hybridMultilevel"/>
    <w:lvl w:ilvl="0">
      <w:lvlJc w:val="left"/>
      <w:lvlText w:val="(%1)"/>
      <w:numFmt w:val="decimal"/>
      <w:start w:val="1"/>
    </w:lvl>
  </w:abstractNum>
  <w:abstractNum w:abstractNumId="177">
    <w:nsid w:val="5D5BABB3"/>
    <w:multiLevelType w:val="hybridMultilevel"/>
    <w:lvl w:ilvl="0">
      <w:lvlJc w:val="left"/>
      <w:lvlText w:val="(%1)"/>
      <w:numFmt w:val="lowerLetter"/>
      <w:start w:val="1"/>
    </w:lvl>
  </w:abstractNum>
  <w:abstractNum w:abstractNumId="178">
    <w:nsid w:val="51BF6B48"/>
    <w:multiLevelType w:val="hybridMultilevel"/>
    <w:lvl w:ilvl="0">
      <w:lvlJc w:val="left"/>
      <w:lvlText w:val="(%1)"/>
      <w:numFmt w:val="lowerLetter"/>
      <w:start w:val="1"/>
    </w:lvl>
  </w:abstractNum>
  <w:abstractNum w:abstractNumId="179">
    <w:nsid w:val="7E0F6384"/>
    <w:multiLevelType w:val="hybridMultilevel"/>
    <w:lvl w:ilvl="0">
      <w:lvlJc w:val="left"/>
      <w:lvlText w:val="(%1)"/>
      <w:numFmt w:val="lowerLetter"/>
      <w:start w:val="1"/>
    </w:lvl>
  </w:abstractNum>
  <w:abstractNum w:abstractNumId="180">
    <w:nsid w:val="2B4B8B53"/>
    <w:multiLevelType w:val="hybridMultilevel"/>
    <w:lvl w:ilvl="0">
      <w:lvlJc w:val="left"/>
      <w:lvlText w:val="(%1)"/>
      <w:numFmt w:val="lowerLetter"/>
      <w:start w:val="4"/>
    </w:lvl>
  </w:abstractNum>
  <w:abstractNum w:abstractNumId="181">
    <w:nsid w:val="72E3413A"/>
    <w:multiLevelType w:val="hybridMultilevel"/>
    <w:lvl w:ilvl="0">
      <w:lvlJc w:val="left"/>
      <w:lvlText w:val="(%1)"/>
      <w:numFmt w:val="lowerLetter"/>
      <w:start w:val="5"/>
    </w:lvl>
  </w:abstractNum>
  <w:abstractNum w:abstractNumId="182">
    <w:nsid w:val="116AE494"/>
    <w:multiLevelType w:val="hybridMultilevel"/>
    <w:lvl w:ilvl="0">
      <w:lvlJc w:val="left"/>
      <w:lvlText w:val="(%1)"/>
      <w:numFmt w:val="lowerLetter"/>
      <w:start w:val="1"/>
    </w:lvl>
  </w:abstractNum>
  <w:abstractNum w:abstractNumId="183">
    <w:nsid w:val="3494B2FB"/>
    <w:multiLevelType w:val="hybridMultilevel"/>
    <w:lvl w:ilvl="0">
      <w:lvlJc w:val="left"/>
      <w:lvlText w:val="(%1)"/>
      <w:numFmt w:val="lowerRoman"/>
      <w:start w:val="3"/>
    </w:lvl>
  </w:abstractNum>
  <w:abstractNum w:abstractNumId="184">
    <w:nsid w:val="B13A31"/>
    <w:multiLevelType w:val="hybridMultilevel"/>
    <w:lvl w:ilvl="0">
      <w:lvlJc w:val="left"/>
      <w:lvlText w:val="%1."/>
      <w:numFmt w:val="decimal"/>
      <w:start w:val="1"/>
    </w:lvl>
  </w:abstractNum>
  <w:abstractNum w:abstractNumId="185">
    <w:nsid w:val="64429599"/>
    <w:multiLevelType w:val="hybridMultilevel"/>
    <w:lvl w:ilvl="0">
      <w:lvlJc w:val="left"/>
      <w:lvlText w:val="%1."/>
      <w:numFmt w:val="decimal"/>
      <w:start w:val="3"/>
    </w:lvl>
  </w:abstractNum>
  <w:abstractNum w:abstractNumId="186">
    <w:nsid w:val="631F1690"/>
    <w:multiLevelType w:val="hybridMultilevel"/>
    <w:lvl w:ilvl="0">
      <w:lvlJc w:val="left"/>
      <w:lvlText w:val="%1."/>
      <w:numFmt w:val="lowerLetter"/>
      <w:start w:val="1"/>
    </w:lvl>
  </w:abstractNum>
  <w:abstractNum w:abstractNumId="187">
    <w:nsid w:val="25973E32"/>
    <w:multiLevelType w:val="hybridMultilevel"/>
    <w:lvl w:ilvl="0">
      <w:lvlJc w:val="left"/>
      <w:lvlText w:val="(%1)"/>
      <w:numFmt w:val="decimal"/>
      <w:start w:val="1"/>
    </w:lvl>
  </w:abstractNum>
  <w:abstractNum w:abstractNumId="188">
    <w:nsid w:val="EAD6F5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3" Type="http://schemas.openxmlformats.org/officeDocument/2006/relationships/image" Target="media/image80.png"/><Relationship Id="rId114" Type="http://schemas.openxmlformats.org/officeDocument/2006/relationships/image" Target="media/image81.png"/><Relationship Id="rId115" Type="http://schemas.openxmlformats.org/officeDocument/2006/relationships/image" Target="media/image82.png"/><Relationship Id="rId116" Type="http://schemas.openxmlformats.org/officeDocument/2006/relationships/image" Target="media/image83.png"/><Relationship Id="rId117" Type="http://schemas.openxmlformats.org/officeDocument/2006/relationships/image" Target="media/image84.png"/><Relationship Id="rId118" Type="http://schemas.openxmlformats.org/officeDocument/2006/relationships/image" Target="media/image85.png"/><Relationship Id="rId119" Type="http://schemas.openxmlformats.org/officeDocument/2006/relationships/image" Target="media/image86.png"/><Relationship Id="rId120" Type="http://schemas.openxmlformats.org/officeDocument/2006/relationships/image" Target="media/image87.png"/><Relationship Id="rId121"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89" Type="http://schemas.openxmlformats.org/officeDocument/2006/relationships/image" Target="media/image156.png"/><Relationship Id="rId190"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jpeg"/><Relationship Id="rId335" Type="http://schemas.openxmlformats.org/officeDocument/2006/relationships/image" Target="media/image302.png"/><Relationship Id="rId336" Type="http://schemas.openxmlformats.org/officeDocument/2006/relationships/image" Target="media/image303.jpeg"/><Relationship Id="rId337" Type="http://schemas.openxmlformats.org/officeDocument/2006/relationships/image" Target="media/image304.png"/><Relationship Id="rId338" Type="http://schemas.openxmlformats.org/officeDocument/2006/relationships/image" Target="media/image305.jpeg"/><Relationship Id="rId339" Type="http://schemas.openxmlformats.org/officeDocument/2006/relationships/image" Target="media/image306.png"/><Relationship Id="rId340" Type="http://schemas.openxmlformats.org/officeDocument/2006/relationships/image" Target="media/image307.jpeg"/><Relationship Id="rId341" Type="http://schemas.openxmlformats.org/officeDocument/2006/relationships/image" Target="media/image308.png"/><Relationship Id="rId342" Type="http://schemas.openxmlformats.org/officeDocument/2006/relationships/image" Target="media/image309.jpeg"/><Relationship Id="rId343" Type="http://schemas.openxmlformats.org/officeDocument/2006/relationships/image" Target="media/image310.png"/><Relationship Id="rId344" Type="http://schemas.openxmlformats.org/officeDocument/2006/relationships/image" Target="media/image311.jpeg"/><Relationship Id="rId345" Type="http://schemas.openxmlformats.org/officeDocument/2006/relationships/image" Target="media/image312.png"/><Relationship Id="rId346" Type="http://schemas.openxmlformats.org/officeDocument/2006/relationships/image" Target="media/image313.jpeg"/><Relationship Id="rId347" Type="http://schemas.openxmlformats.org/officeDocument/2006/relationships/image" Target="media/image314.png"/><Relationship Id="rId348" Type="http://schemas.openxmlformats.org/officeDocument/2006/relationships/image" Target="media/image315.jpeg"/><Relationship Id="rId349" Type="http://schemas.openxmlformats.org/officeDocument/2006/relationships/image" Target="media/image316.png"/><Relationship Id="rId350" Type="http://schemas.openxmlformats.org/officeDocument/2006/relationships/image" Target="media/image317.jpe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52" Type="http://schemas.openxmlformats.org/officeDocument/2006/relationships/hyperlink" Target="http://www.sec.gov/Archives/edgar/data/1800637/000101376225000918/ea0234402-10k_agrify.htm" TargetMode="External"/><Relationship Id="rId53" Type="http://schemas.openxmlformats.org/officeDocument/2006/relationships/hyperlink" Target="https://www.sec.gov/Archives/edgar/data/1800637/000101376225003503/ea0235289-10ka1_agrify.htm" TargetMode="External"/><Relationship Id="rId54" Type="http://schemas.openxmlformats.org/officeDocument/2006/relationships/hyperlink" Target="https://www.sec.gov/Archives/edgar/data/1800637/000121390025097503/ea0260588-8k_rythm.htm" TargetMode="External"/><Relationship Id="rId55" Type="http://schemas.openxmlformats.org/officeDocument/2006/relationships/hyperlink" Target="http://www.sec.gov/Archives/edgar/data/1800637/000121390025037070/ea0239594-01.htm" TargetMode="External"/><Relationship Id="rId56" Type="http://schemas.openxmlformats.org/officeDocument/2006/relationships/hyperlink" Target="http://www.sec.gov/Archives/edgar/data/1800637/000121390025041201/ea0239435-10q_agrify.htm" TargetMode="External"/><Relationship Id="rId57" Type="http://schemas.openxmlformats.org/officeDocument/2006/relationships/hyperlink" Target="https://www.sec.gov/Archives/edgar/data/1800637/000121390025073302/ea0249858-10q_agrify.htm" TargetMode="External"/><Relationship Id="rId58" Type="http://schemas.openxmlformats.org/officeDocument/2006/relationships/hyperlink" Target="http://www.sec.gov/Archives/edgar/data/1800637/000121390025001659/ea022695801-8k_agrify.htm" TargetMode="External"/><Relationship Id="rId59" Type="http://schemas.openxmlformats.org/officeDocument/2006/relationships/hyperlink" Target="http://www.sec.gov/Archives/edgar/data/1800637/000121390025010247/ea0229986-8k_agrify.htm" TargetMode="External"/><Relationship Id="rId60" Type="http://schemas.openxmlformats.org/officeDocument/2006/relationships/hyperlink" Target="http://www.sec.gov/Archives/edgar/data/1800637/000121390025025727/ea0235055-8k_agrify.htm" TargetMode="External"/><Relationship Id="rId61" Type="http://schemas.openxmlformats.org/officeDocument/2006/relationships/hyperlink" Target="http://www.sec.gov/Archives/edgar/data/1800637/000121390025026300/ea0236388-8k_agrify.htm" TargetMode="External"/><Relationship Id="rId62" Type="http://schemas.openxmlformats.org/officeDocument/2006/relationships/hyperlink" Target="http://www.sec.gov/Archives/edgar/data/1800637/000121390025046875/ea0243186-8k_agrify.htm" TargetMode="External"/><Relationship Id="rId63" Type="http://schemas.openxmlformats.org/officeDocument/2006/relationships/hyperlink" Target="http://www.sec.gov/Archives/edgar/data/1800637/000121390025054017/ea0245634-8k_agrify.htm" TargetMode="External"/><Relationship Id="rId64" Type="http://schemas.openxmlformats.org/officeDocument/2006/relationships/hyperlink" Target="http://www.sec.gov/Archives/edgar/data/1800637/000121390025081148/ea0254695-8k_agrify.htm" TargetMode="External"/><Relationship Id="rId65" Type="http://schemas.openxmlformats.org/officeDocument/2006/relationships/hyperlink" Target="http://www.sec.gov/Archives/edgar/data/1800637/000121390021019992/f10k2020ex4-5_agrifycorp.htm" TargetMode="External"/><Relationship Id="rId66" Type="http://schemas.openxmlformats.org/officeDocument/2006/relationships/hyperlink" Target="http://www.sec.gov/Archives/edgar/data/1800637/000121390021019992/f10k2020_agrifycorporation.htm" TargetMode="External"/><Relationship Id="rId81" Type="http://schemas.openxmlformats.org/officeDocument/2006/relationships/hyperlink" Target="http://www.sec.gov/Archives/edgar/data/1800637/000121390024109028/ea022484701ex2-1_agrify.htm" TargetMode="External"/><Relationship Id="rId82" Type="http://schemas.openxmlformats.org/officeDocument/2006/relationships/hyperlink" Target="http://www.sec.gov/Archives/edgar/data/1800637/000121390021001799/fs12020a1ex3-1_agrify.htm" TargetMode="External"/><Relationship Id="rId83" Type="http://schemas.openxmlformats.org/officeDocument/2006/relationships/hyperlink" Target="http://www.sec.gov/Archives/edgar/data/1800637/000121390022039420/ea162872ex3-1_agrify.htm" TargetMode="External"/><Relationship Id="rId84" Type="http://schemas.openxmlformats.org/officeDocument/2006/relationships/hyperlink" Target="http://www.sec.gov/Archives/edgar/data/1800637/000121390022064269/ea167213ex3-1agrifycorp.htm" TargetMode="External"/><Relationship Id="rId85" Type="http://schemas.openxmlformats.org/officeDocument/2006/relationships/hyperlink" Target="http://www.sec.gov/Archives/edgar/data/1800637/000121390023017011/ea174612ex3-1_agrifycorp.htm" TargetMode="External"/><Relationship Id="rId86" Type="http://schemas.openxmlformats.org/officeDocument/2006/relationships/hyperlink" Target="http://www.sec.gov/Archives/edgar/data/1800637/000121390023053790/ea181262ex3-1_agrify.htm" TargetMode="External"/><Relationship Id="rId87" Type="http://schemas.openxmlformats.org/officeDocument/2006/relationships/hyperlink" Target="http://www.sec.gov/Archives/edgar/data/1800637/000121390024006275/ea192155ex3-1_agrify.htm" TargetMode="External"/><Relationship Id="rId88" Type="http://schemas.openxmlformats.org/officeDocument/2006/relationships/hyperlink" Target="http://www.sec.gov/Archives/edgar/data/1800637/000121390024085199/ea021670501ex3-1_agrify.htm" TargetMode="External"/><Relationship Id="rId89" Type="http://schemas.openxmlformats.org/officeDocument/2006/relationships/hyperlink" Target="http://www.sec.gov/Archives/edgar/data/1800637/000121390025081148/ea025469501ex3-1_agrify.htm" TargetMode="External"/><Relationship Id="rId90" Type="http://schemas.openxmlformats.org/officeDocument/2006/relationships/hyperlink" Target="http://www.sec.gov/Archives/edgar/data/1800637/000121390025081148/ea025469501ex3-2_agrify.htm" TargetMode="External"/><Relationship Id="rId91" Type="http://schemas.openxmlformats.org/officeDocument/2006/relationships/hyperlink" Target="http://www.sec.gov/Archives/edgar/data/1800637/000121390021001799/fs12020a1ex3-2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2025-10-09T05:40:06Z</dcterms:created>
  <dcterms:modified xsi:type="dcterms:W3CDTF">2025-10-09T05:40:06Z</dcterms:modified>
</cp:coreProperties>
</file>