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5)</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21,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6720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720840"/>
                    </a:xfrm>
                    <a:prstGeom prst="rect">
                      <a:avLst/>
                    </a:prstGeom>
                    <a:noFill/>
                  </pic:spPr>
                </pic:pic>
              </a:graphicData>
            </a:graphic>
          </wp:anchor>
        </w:drawing>
      </w:r>
    </w:p>
    <w:p>
      <w:pPr>
        <w:spacing w:after="0" w:line="165" w:lineRule="exact"/>
        <w:rPr>
          <w:sz w:val="20"/>
          <w:szCs w:val="20"/>
          <w:color w:val="auto"/>
        </w:rPr>
      </w:pPr>
    </w:p>
    <w:p>
      <w:pPr>
        <w:ind w:left="920" w:right="814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Raymond Nobu Chang</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4"/>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394"/>
        </w:trPr>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6,909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27"/>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11"/>
                <w:szCs w:val="11"/>
                <w:color w:val="auto"/>
              </w:rPr>
            </w:pPr>
          </w:p>
        </w:tc>
        <w:tc>
          <w:tcPr>
            <w:tcW w:w="8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13,802,042</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Times New Roman" w:cs="Times New Roman" w:eastAsia="Times New Roman" w:hAnsi="Times New Roman"/>
                <w:sz w:val="18"/>
                <w:szCs w:val="18"/>
                <w:color w:val="auto"/>
              </w:rPr>
              <w:t>6,909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0" w:right="6680" w:hanging="774"/>
        <w:spacing w:after="0" w:line="295"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13,802,042</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13,808,951</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(3)</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380"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575 shares of common stock, par value $0.001, of Agrify Corporation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held individually and (ii) up to 6,334 shares of Common Stock issuable upon exercise of stock options held by Mr. Chang that are exercisable within 60 days of the date hereof. Does not include 337,743 shares of Common Stock underlying time-based restricted stock units that will not vest within 60 days of the day hereof granted to Mr. Chang under the Agrify Corporation 2022 Omnibus Equity Incentive Plan, as amended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1,717,051 shares of Common Stock held by RTC3 2020 Irrevocable Trust (“RTC3”), of which Mr. Chang retains the ability to remove the independent trustee, (ii) warrants to purchase 231,223 shares of Common Stock held by RTC3 that are exercisable within 60 days of the date hereof, subject to a 9.99% beneficial ownership limitation, (iii) 648 shares of Common Stock held by NXT3J Capital, LLC (“NXT3J”), an entity controlled by Mr. Chang, (iv) that number of shares of Common Stock issuable to CP Acquisitions, LLC (“CP Acquisitions”), an entity controlled by Mr. Chang, issuable to Mr. Chang upon the conversion of that certain Senior Secured Amended, Restated and Consolidated Convertible Note, as amended (the “</w:t>
      </w: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 xml:space="preserv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each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which case the 49.99% beneficial ownership limitation will apply to each of them individually, (v) pre-funded warrants to purchase 7,876,712 shares of Common Stock held by CP Acquisitions that are exercisable within 60 days of the date hereof, subject to a 49.99% beneficial ownership limitation, (vi) pre-funded warrants to purchase 7,383,053 shares of Common Stock held by GIC Acquisition LLC (“</w:t>
      </w:r>
      <w:r>
        <w:rPr>
          <w:rFonts w:ascii="Times New Roman" w:cs="Times New Roman" w:eastAsia="Times New Roman" w:hAnsi="Times New Roman"/>
          <w:sz w:val="18"/>
          <w:szCs w:val="18"/>
          <w:i w:val="1"/>
          <w:iCs w:val="1"/>
          <w:color w:val="auto"/>
        </w:rPr>
        <w:t>GIC Acquisition</w:t>
      </w:r>
      <w:r>
        <w:rPr>
          <w:rFonts w:ascii="Times New Roman" w:cs="Times New Roman" w:eastAsia="Times New Roman" w:hAnsi="Times New Roman"/>
          <w:sz w:val="18"/>
          <w:szCs w:val="18"/>
          <w:color w:val="auto"/>
        </w:rPr>
        <w:t>”) that are exercisable within 60 days of the date hereof, subject to a 49.99% beneficial ownership limitation, (vii) options to purchase 200 shares of common stock that are held by Raymond Chang Jr., Mr. Chang’s son, that are exercisable within 60 days of the date hereof, and (viii) 1,578,947 shares of Common Stock held individually by Chinwei Wang, Mr. Chang’s spouse. Does not include (i) up to 3 shares of Common Stock issuable upon exercise of stock options held by Raymond Chang, Jr., that are not exercisable within 60 days of the date hereof and (ii) 105,139 shares of Common Stock underlying time-based restricted stock units that will not vest within 60 days of the day hereof granted to Raymond Chang, Jr., under the Plan.</w:t>
      </w:r>
    </w:p>
    <w:p>
      <w:pPr>
        <w:sectPr>
          <w:pgSz w:w="11900" w:h="16838" w:orient="portrait"/>
          <w:cols w:equalWidth="0" w:num="1">
            <w:col w:w="11240"/>
          </w:cols>
          <w:pgMar w:left="320" w:top="806" w:right="339" w:bottom="0" w:gutter="0" w:footer="0" w:header="0"/>
        </w:sectPr>
      </w:pPr>
    </w:p>
    <w:bookmarkStart w:id="2" w:name="page3"/>
    <w:bookmarkEnd w:id="2"/>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Mr. Chang disclaims beneficial ownership with respect to the shares and warrants held by RTC3, the shares held by NXT3J, the shares entitled to CP Acquisitions upon conversion of its convertible note, the options and shares held by Raymond Chang Jr., and the shares held by Chinwei Wang, in each case except to the extent of his pecuniary interest therein.</w:t>
      </w:r>
    </w:p>
    <w:p>
      <w:pPr>
        <w:spacing w:after="0" w:line="81" w:lineRule="exact"/>
        <w:rPr>
          <w:sz w:val="20"/>
          <w:szCs w:val="20"/>
          <w:color w:val="auto"/>
        </w:rPr>
      </w:pPr>
    </w:p>
    <w:p>
      <w:pPr>
        <w:jc w:val="both"/>
        <w:ind w:left="332" w:hanging="332"/>
        <w:spacing w:after="0" w:line="261"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14,229,386 shares of Common Stock outstanding as of May 13, 2024, as set forth in the Issuer’s Quarterly Report on Form 10-Q for the quarterly period ended March 31, 2024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May 21, 2024, plus the shares of Common Stock issuable upon exercise of the warrants and options and conversion of the convertible note in footnotes (1) and (2) above, subject to applicable beneficial ownership limitations.</w:t>
      </w:r>
    </w:p>
    <w:p>
      <w:pPr>
        <w:spacing w:after="0" w:line="3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RTC3 2020 Irrevocable Trust</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1,948,274</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1,948,274</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1,948,274</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13.47%</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1,717,051 shares of Common Stock held by RTC3, and (ii) warrants to purchase 231,223 shares of Common Stock held by RTC3 that are exercisable within 60 days of the date hereof, subject to a 9.99% beneficial ownership limitation. Does not include the 1,578,947 shares of Common Stock held individually by Chinwei Wang which may in the future be transferred to RTC3 for estate planning purposes.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14,229,386 shares of Common Stock outstanding as of May 13, 2024, as set forth in the Issuer’s Quarterly Report on Form 10-Q for the quarterly period ended March 31, 2024 filed with the SEC on May 21, 2024, plus the shares of Common Stock issuable upon exercise of the warrants described in footnote (1) above, subject to the beneficial ownership limitation described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NXT3J Capital, LLC</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27"/>
                <w:szCs w:val="27"/>
                <w:color w:val="auto"/>
                <w:vertAlign w:val="subscript"/>
              </w:rPr>
              <w:t>648</w:t>
            </w: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648</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648</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648 shares of Common Stock held by NXT3J.</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14,229,386 shares of Common Stock outstanding as of May 13, 2024, as set forth in the Issuer’s Quarterly Report on Form 10-Q for the quarterly period ended March 31, 2024 filed with the SEC on May 21,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65"/>
        <w:spacing w:after="0" w:line="207" w:lineRule="exact"/>
        <w:tabs>
          <w:tab w:leader="none" w:pos="170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65"/>
        <w:spacing w:after="0" w:line="207" w:lineRule="exact"/>
        <w:tabs>
          <w:tab w:leader="none" w:pos="170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60" w:hanging="774"/>
        <w:spacing w:after="0" w:line="289" w:lineRule="auto"/>
        <w:tabs>
          <w:tab w:leader="none" w:pos="2600"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40" w:right="5240" w:hanging="802"/>
        <w:spacing w:after="0" w:line="295" w:lineRule="auto"/>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(i) that number of shares of Common Stock issuable to CP Acquisitions, an entity controlled by Mr. Chang, issuable to Mr. Chang upon the conversion of the Convertible Note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each a member of the Board, in which case the 49.99% beneficial ownership limitation will apply to each of them individually, and (ii) pre-funded warrants to purchase 7,876,712 shares of Common Stock held by CP Acquisitions that are exercisable within 60 days of the date hereof, subject to a 49.99% beneficial ownership limitation.</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14,229,386 shares of Common Stock outstanding as of May 13, 2024, as set forth in the Issuer’s Quarterly Report on Form 10-Q for the quarterly period ended March 31, 2024 filed with the SEC on May 21, 2024, plus the shares of Common Stock issuable upon conversion of the convertible note and the shares of Common Stock purchasable upon exercise of the pre-funded warrants described in footnote (1) above, subject to applicable beneficial ownership limitations.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987"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GIC Acquisition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65"/>
        <w:spacing w:after="0" w:line="207" w:lineRule="exact"/>
        <w:tabs>
          <w:tab w:leader="none" w:pos="170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65"/>
        <w:spacing w:after="0" w:line="207" w:lineRule="exact"/>
        <w:tabs>
          <w:tab w:leader="none" w:pos="170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 xml:space="preserve">7,383,053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60" w:hanging="774"/>
        <w:spacing w:after="0" w:line="289" w:lineRule="auto"/>
        <w:tabs>
          <w:tab w:leader="none" w:pos="2600"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 xml:space="preserve">7,383,053 </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40" w:right="5240" w:hanging="802"/>
        <w:spacing w:after="0" w:line="295" w:lineRule="auto"/>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 xml:space="preserve">7,383,053 </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34.16%</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pre-funded warrants to purchase 7,383,053 shares of Common Stock held by GIC Acquisition that are exercisable within 60 days of the date hereof, subject to a 49.99% beneficial ownership limitation.</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14,229,386 shares of Common Stock outstanding as of May 13, 2024, as set forth in the Issuer’s Quarterly Report on Form 10-Q for the quarterly period ended March 31, 2024 filed with the SEC on May 21, 2024, plus the shares of Common Stock purchasable upon exercise of the pre-funded warrants described in footnote (1) above, subject to applicable beneficial ownership limitations.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Raymond Chang Jr.</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2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2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17"/>
                <w:szCs w:val="17"/>
                <w:color w:val="auto"/>
              </w:rPr>
              <w:t>200</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191" w:lineRule="auto"/>
        <w:tabs>
          <w:tab w:leader="none" w:pos="2600"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35"/>
          <w:szCs w:val="35"/>
          <w:color w:val="auto"/>
          <w:vertAlign w:val="subscript"/>
        </w:rPr>
        <w:t>200</w:t>
      </w:r>
      <w:r>
        <w:rPr>
          <w:rFonts w:ascii="Times New Roman" w:cs="Times New Roman" w:eastAsia="Times New Roman" w:hAnsi="Times New Roman"/>
          <w:sz w:val="14"/>
          <w:szCs w:val="14"/>
          <w:color w:val="auto"/>
        </w:rPr>
        <w:t>(1)</w:t>
      </w:r>
    </w:p>
    <w:p>
      <w:pPr>
        <w:spacing w:after="0" w:line="27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200</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200 shares of Common Stock issuable upon exercise of stock options held by Mr. Chang, Jr., that are exercisable within 60 days of the date hereof. Does not consist of (i) up to 3 shares of Common Stock issuable upon exercise of stock options held by Mr. Chang, Jr. that are not exercisable within 60 days of the date hereof and (ii) 105,139 shares of Common Stock underlying time-based restricted stock units that will not vest within 60 days of the day hereof granted to Mr. Chang, Jr. under the Plan.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14,229,386 shares of Common Stock outstanding as of May 13, 2024, as set forth in the Issuer’s Quarterly Report on Form 10-Q for the quarterly period ended March 31, 2024 filed with the SEC on May 21, 2024, plus 200 shares of Common Stock issuable upon exercise of the options described in footnote (1)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Chinwei Wang</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2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2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4"/>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394"/>
        </w:trPr>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1,578,947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27"/>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11"/>
                <w:szCs w:val="11"/>
                <w:color w:val="auto"/>
              </w:rPr>
            </w:pPr>
          </w:p>
        </w:tc>
        <w:tc>
          <w:tcPr>
            <w:tcW w:w="8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40" w:type="dxa"/>
            <w:vAlign w:val="bottom"/>
            <w:vMerge w:val="continue"/>
          </w:tcPr>
          <w:p>
            <w:pPr>
              <w:spacing w:after="0"/>
              <w:rPr>
                <w:sz w:val="13"/>
                <w:szCs w:val="13"/>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72"/>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vMerge w:val="continue"/>
          </w:tcPr>
          <w:p>
            <w:pPr>
              <w:spacing w:after="0"/>
              <w:rPr>
                <w:sz w:val="6"/>
                <w:szCs w:val="6"/>
                <w:color w:val="auto"/>
              </w:rPr>
            </w:pPr>
          </w:p>
        </w:tc>
        <w:tc>
          <w:tcPr>
            <w:tcW w:w="8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3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Times New Roman" w:cs="Times New Roman" w:eastAsia="Times New Roman" w:hAnsi="Times New Roman"/>
                <w:sz w:val="18"/>
                <w:szCs w:val="18"/>
                <w:color w:val="auto"/>
              </w:rPr>
              <w:t>1,578,947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0" w:right="6680" w:hanging="774"/>
        <w:spacing w:after="0" w:line="286" w:lineRule="auto"/>
        <w:tabs>
          <w:tab w:leader="none" w:pos="2600"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spacing w:after="0" w:line="23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1,578,947</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1,578,947 shares of Common Stock held individually, which may be transferred to RTC3 for estate planning purposes.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14,229,386 shares of Common Stock outstanding as of May 13, 2024, as set forth in the Issuer’s Quarterly Report on Form 10-Q for the quarterly period ended March 31, 2024 filed with the SEC on May 21,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No. 5 to the statement on Schedule 13D (“</w:t>
      </w:r>
      <w:r>
        <w:rPr>
          <w:rFonts w:ascii="Times New Roman" w:cs="Times New Roman" w:eastAsia="Times New Roman" w:hAnsi="Times New Roman"/>
          <w:sz w:val="18"/>
          <w:szCs w:val="18"/>
          <w:i w:val="1"/>
          <w:iCs w:val="1"/>
          <w:color w:val="auto"/>
        </w:rPr>
        <w:t>Amendment No. 5</w:t>
      </w:r>
      <w:r>
        <w:rPr>
          <w:rFonts w:ascii="Times New Roman" w:cs="Times New Roman" w:eastAsia="Times New Roman" w:hAnsi="Times New Roman"/>
          <w:sz w:val="18"/>
          <w:szCs w:val="18"/>
          <w:color w:val="auto"/>
        </w:rPr>
        <w:t>”) amends the Schedule 13D originally filed by the Reporting Persons (as defined herein) on December 30, 2022, as amended by that certain Amendment No. 1 filed on October 31, 2023, Amendment No. 2 filed on January 29, 2024, Amendment No. 3 filed on March 1, 2024, and Amendment No. 4 filed on March 29,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of the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the Reporting Persons.</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5 does not modify any of the information previously reported on the Schedule 13D. Capitalized terms used but not otherwise defined in this Amendment No. 5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2 of the Schedule 13D is hereby amended and restated in its entirety as follows: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This statement is filed by Raymond Nobu Chang (“</w:t>
      </w:r>
      <w:r>
        <w:rPr>
          <w:rFonts w:ascii="Times New Roman" w:cs="Times New Roman" w:eastAsia="Times New Roman" w:hAnsi="Times New Roman"/>
          <w:sz w:val="18"/>
          <w:szCs w:val="18"/>
          <w:i w:val="1"/>
          <w:iCs w:val="1"/>
          <w:color w:val="auto"/>
        </w:rPr>
        <w:t>Mr. Chang</w:t>
      </w:r>
      <w:r>
        <w:rPr>
          <w:rFonts w:ascii="Times New Roman" w:cs="Times New Roman" w:eastAsia="Times New Roman" w:hAnsi="Times New Roman"/>
          <w:sz w:val="18"/>
          <w:szCs w:val="18"/>
          <w:color w:val="auto"/>
        </w:rPr>
        <w:t>”), RTC3 2020 Irrevocable Trust (“</w:t>
      </w:r>
      <w:r>
        <w:rPr>
          <w:rFonts w:ascii="Times New Roman" w:cs="Times New Roman" w:eastAsia="Times New Roman" w:hAnsi="Times New Roman"/>
          <w:sz w:val="18"/>
          <w:szCs w:val="18"/>
          <w:i w:val="1"/>
          <w:iCs w:val="1"/>
          <w:color w:val="auto"/>
        </w:rPr>
        <w:t>RTC3</w:t>
      </w:r>
      <w:r>
        <w:rPr>
          <w:rFonts w:ascii="Times New Roman" w:cs="Times New Roman" w:eastAsia="Times New Roman" w:hAnsi="Times New Roman"/>
          <w:sz w:val="18"/>
          <w:szCs w:val="18"/>
          <w:color w:val="auto"/>
        </w:rPr>
        <w:t>”), NXT3J 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GIC Acquisition LLC (“</w:t>
      </w:r>
      <w:r>
        <w:rPr>
          <w:rFonts w:ascii="Times New Roman" w:cs="Times New Roman" w:eastAsia="Times New Roman" w:hAnsi="Times New Roman"/>
          <w:sz w:val="18"/>
          <w:szCs w:val="18"/>
          <w:i w:val="1"/>
          <w:iCs w:val="1"/>
          <w:color w:val="auto"/>
        </w:rPr>
        <w:t>GIC Acquisition</w:t>
      </w:r>
      <w:r>
        <w:rPr>
          <w:rFonts w:ascii="Times New Roman" w:cs="Times New Roman" w:eastAsia="Times New Roman" w:hAnsi="Times New Roman"/>
          <w:sz w:val="18"/>
          <w:szCs w:val="18"/>
          <w:color w:val="auto"/>
        </w:rPr>
        <w:t>”), Raymond Chang Jr. and Chinwei Wang (each,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 shares of Common Stock that they may be deemed to have beneficial ownership.</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Chang’s principal occupation is serving as a business executive and as Chairman of the Issuer’s Board of Directors. Raymond Chang Jr.’s principal occupation is Director of Business Development of the Issuer. The principal occupation of RTC3, NXT3J, CP Acquisitions and GIC Acquisition is asset management. Chinwei Wang is Mr. Chang’s spouse.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Mr. Chang, Raymond Chang Jr. and Chinwei Wang are each a citizen of the United States of America, and their principal business address is c/o Agrify Corporation, 2468 Industrial Drive, Troy, MI 48084. RTC3 is organized under the laws of the Massachusetts, and has a principal business address of c/o of Nutter McClennen &amp; Fish, 155 Seaport Blvd, Boston, MA 02210. NXT3J is organized under the laws of the Delaware, and has a principal business address of 21 Sears Road, Brookline, MA 02445. CP Acquisitions is organized under the laws of Delaware, and has a principal business address of 675 VFW Parkway, Suite 152, Chestnut Hill, MA 02467. GIC Acquisition is organized under the laws of Delaware, and has a principal business address of 675 VFW Parkway, Suite 152, Chestnut Hill, MA 02467.</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last five years, the Reporting Persons have not been convicted in a criminal proceeding (excluding traffic violations or similar misdemeanors). During the last five years, the Reporting Persons have not been a party to any other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as follows: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such terms are defined and as further described in Item 5, the purpose of the actions taken by the Reporting Persons with respect to the CP Note Amendment, the Restated Junior Note and the conversion of both the Convertible Note and the Restated Junior Note into Pre-Funded Warrants was to improve the shareholders’ equity of the Issuer and mitigate the Issuer’s negative shareholder equity.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described herein, the Reporting Persons have no present plans or proposals that relate to or would result in any of the transactions described in subparagraphs (a) through (j) of Item 4 of Schedule 13D.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 of the Schedule 13D is hereby amended and restated in its entirety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Reporting Person is the record owner of the securities set forth on their respective cover sheet. The percentage of outstanding Common Stock which may be deemed to be beneficially owned by each Reporting Person is set forth on Line 13 of each Reporting Person’s cover sheet. Such percentage was calculated based on the 14,229,386 shares of Common Stock outstanding as of the date hereof. Notwithstanding the foregoing, Mr. Chang hereby disclaims beneficial ownership with respect to the securities held by NXT3J, RTC3, CP Acquisitions, GIC Acquisition and Raymond Chang Jr. except to the extent of his pecuniary interest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Amendment of Convertible Note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previously reported on this Schedule 13D, on January 25, 2024, Issuer and CP Acquisitions, an entity affiliated with and controlled by Raymond Chang, the Chief Executive Officer of the Issuer and a member of its Board, and I-Tseng Jenny Chan, a member of the Board, agreed to amend, restate and consolidate certain outstanding notes held by CP Acquisitions into the Convertible Note.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21, 2024, the Issuer and CP Acquisitions entered into an amendment to the Convertible Note (the “CP Note Amendment”), pursuant to which CP Acquisitions may elect, in lieu of shares of common stock issuable upon conversion of the Convertible Note, to instead receive pre-funded warrants (“</w:t>
      </w:r>
      <w:r>
        <w:rPr>
          <w:rFonts w:ascii="Times New Roman" w:cs="Times New Roman" w:eastAsia="Times New Roman" w:hAnsi="Times New Roman"/>
          <w:sz w:val="18"/>
          <w:szCs w:val="18"/>
          <w:i w:val="1"/>
          <w:iCs w:val="1"/>
          <w:color w:val="auto"/>
        </w:rPr>
        <w:t>Pre-Funded Warrants</w:t>
      </w:r>
      <w:r>
        <w:rPr>
          <w:rFonts w:ascii="Times New Roman" w:cs="Times New Roman" w:eastAsia="Times New Roman" w:hAnsi="Times New Roman"/>
          <w:sz w:val="18"/>
          <w:szCs w:val="18"/>
          <w:color w:val="auto"/>
        </w:rPr>
        <w:t>”). The conversion price applicable to the Pre-Funded Warrants will remain unchanged at $1.46.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Pre-Funded Warrants have an exercise price of $0.001 per share, were exercisable upon issuance, will expire when the applicable warrant is exercised in full, and are exercisable on a cash basis or, if there is no effective registration statement registering the resale of the underlying shares of common stock, on a cashless exercise basis at CP Acquisitions’ discretion.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Pre-Funded Warrants provide that each time the Issuer consummates any bona fide equity financing with the primary purpose of raising capital, then the number of shares of common stock underlying the Pre-Funded Warrants will be increased (the “</w:t>
      </w:r>
      <w:r>
        <w:rPr>
          <w:rFonts w:ascii="Times New Roman" w:cs="Times New Roman" w:eastAsia="Times New Roman" w:hAnsi="Times New Roman"/>
          <w:sz w:val="18"/>
          <w:szCs w:val="18"/>
          <w:i w:val="1"/>
          <w:iCs w:val="1"/>
          <w:color w:val="auto"/>
        </w:rPr>
        <w:t>Adjustment Provision</w:t>
      </w:r>
      <w:r>
        <w:rPr>
          <w:rFonts w:ascii="Times New Roman" w:cs="Times New Roman" w:eastAsia="Times New Roman" w:hAnsi="Times New Roman"/>
          <w:sz w:val="18"/>
          <w:szCs w:val="18"/>
          <w:color w:val="auto"/>
        </w:rPr>
        <w:t>”) to an amount equal to (i) the amount of the Convertible Note that was originally converted into the applicable Pre-Funded Warrants divided by (ii) the purchase or conversion price in the equity financing transaction, subject to proportional adjustment in the event the Pre-Funded Warrant has been partially exercised. The Adjustment Provision will not be effective unless and until it is approved by stockholders of the Issuer pursuant to Nasdaq Listing Rule 5635.</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Immediately following the execution of the CP Note Amendment, CP Acquisitions elected to convert $11.5 million of outstanding principal into a Pre-Funded Warrant exercisable at issuance for up to 7,876,712 shares of common stock.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Amendment and Restatement of Junior Secured Promissory Note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reported, on July 12, 2023, the Issuer issued an unsecured promissory note with an original principal amount of $500,000 in favor of GIC Acquisition, an entity that is indirectly owned and managed by Mr. Chang, and on October 27, 2023, GIC and the Issuer amended and restated the note to extend the maturity date to December 31, 2023, and to grant a security interest in the Issuer’s assets that ranks junior to the Convertible Note (the “</w:t>
      </w:r>
      <w:r>
        <w:rPr>
          <w:rFonts w:ascii="Times New Roman" w:cs="Times New Roman" w:eastAsia="Times New Roman" w:hAnsi="Times New Roman"/>
          <w:sz w:val="18"/>
          <w:szCs w:val="18"/>
          <w:i w:val="1"/>
          <w:iCs w:val="1"/>
          <w:color w:val="auto"/>
        </w:rPr>
        <w:t>Junior Note</w:t>
      </w:r>
      <w:r>
        <w:rPr>
          <w:rFonts w:ascii="Times New Roman" w:cs="Times New Roman" w:eastAsia="Times New Roman" w:hAnsi="Times New Roman"/>
          <w:sz w:val="18"/>
          <w:szCs w:val="18"/>
          <w:color w:val="auto"/>
        </w:rPr>
        <w:t>”). As previously reported, on January 25, 2024, GIC and the Issuer amended and restated the Junior Note to increase the principal amount thereunder to $1.0 million and to extend the maturity date until June 30, 2024.</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On May 21, 2024, GIC and the Issuer amended and restated the Junior Note (the “</w:t>
      </w:r>
      <w:r>
        <w:rPr>
          <w:rFonts w:ascii="Times New Roman" w:cs="Times New Roman" w:eastAsia="Times New Roman" w:hAnsi="Times New Roman"/>
          <w:sz w:val="18"/>
          <w:szCs w:val="18"/>
          <w:i w:val="1"/>
          <w:iCs w:val="1"/>
          <w:color w:val="auto"/>
        </w:rPr>
        <w:t>Restated Junior Note</w:t>
      </w:r>
      <w:r>
        <w:rPr>
          <w:rFonts w:ascii="Times New Roman" w:cs="Times New Roman" w:eastAsia="Times New Roman" w:hAnsi="Times New Roman"/>
          <w:sz w:val="18"/>
          <w:szCs w:val="18"/>
          <w:color w:val="auto"/>
        </w:rPr>
        <w:t>”) to increase the aggregate principal amount to approximately $2.29 million, extend the maturity date to December 31, 2025, and provide that the Junior Note may be converted into common stock of the Issuer or, at GIC’s election, Pre-Funded Warrants, in each case at a conversion price of $0.31.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Immediately following the execution of the Restated Junior Note, GIC elected to convert all of the outstanding principal and accrued but unpaid interest under the Restated Junior Note into a Pre-Funded Warrant exercisable at issuance for up to 7,383,053 shares of common stock. The Pre-Funded Warrant includes an Adjustment Provision, subject to stockholder approval pursuant to Nasdaq Listing Rule 5635.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descriptions and summaries of the CP Note Amendment, the form of Pre-Funded Warrant and the Restated Junior Note do not purport to be complete, and are qualified in their entirety by reference to copies of the CP Note Amendment, the form of Pre-Funded Warrant, and the Restated Junior Note, which are filed as Exhibits 4.1, 4.2, and 4.3, respectively, to the Issuer’s Current Report on Form 8-K, filed with the SEC on May 22, 2024, which are attached as an exhibit to this Schedule 13D and are incorporated herein by reference.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Adjustment Provision will be adopted and approved, or that any other transactions contemplated by the CP Note Amendment, the form of Pre-Funded Warrant and the Restated Junior Note that require stockholder approval will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The information provided or incorporated by reference in </w:t>
      </w:r>
      <w:r>
        <w:rPr>
          <w:rFonts w:ascii="Times New Roman" w:cs="Times New Roman" w:eastAsia="Times New Roman" w:hAnsi="Times New Roman"/>
          <w:sz w:val="18"/>
          <w:szCs w:val="18"/>
          <w:i w:val="1"/>
          <w:iCs w:val="1"/>
          <w:u w:val="single" w:color="auto"/>
          <w:color w:val="auto"/>
        </w:rPr>
        <w:t>Items 4</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5</w:t>
      </w:r>
      <w:r>
        <w:rPr>
          <w:rFonts w:ascii="Times New Roman" w:cs="Times New Roman" w:eastAsia="Times New Roman" w:hAnsi="Times New Roman"/>
          <w:sz w:val="18"/>
          <w:szCs w:val="18"/>
          <w:i w:val="1"/>
          <w:iCs w:val="1"/>
          <w:color w:val="auto"/>
        </w:rPr>
        <w:t xml:space="preserve"> of this Schedule 13D, is hereby incorporated herein by this reference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thereto.</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Item 6 is hereby amended and modified to include the following (which shall be in addition to the information previously included in the Schedule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Convertible Note, Pre-Funded Warrant and Restated Junior Note, or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call options, put options, security-based swaps or any other derivative securities, transfer or voting of such securities, finder’s fees, joint ventures, loan or option arrangements, guarantees of profits, division of profits or losses, or the giving or withholding of proxies.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ind w:left="1140" w:hanging="1132"/>
        <w:spacing w:after="0" w:line="261"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Joint Filing Agreement, dated as of May 23, 2024, by and between Raymond Nobu Chang, RTC3 2020 Irrevocable Trust, NXT3J Capital, LLC, CP Acquisitions, LLC, GIC Acquisition LLC, Raymond Chang, Jr and Chinwei Wang.</w:t>
      </w:r>
    </w:p>
    <w:p>
      <w:pPr>
        <w:jc w:val="both"/>
        <w:ind w:left="1140" w:hanging="1132"/>
        <w:spacing w:after="0" w:line="250" w:lineRule="auto"/>
        <w:tabs>
          <w:tab w:leader="none" w:pos="1140" w:val="left"/>
        </w:tabs>
        <w:numPr>
          <w:ilvl w:val="0"/>
          <w:numId w:val="32"/>
        </w:numPr>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Amendment No. 1 to Senior Secured Amended, Restated and Consolidated Convertible Note between Agrify Corporation and CP</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Acquisitions, LLC (incorporated by reference to Exhibit 4.1 to the Issuer’s Current Report on Form 8-K, filed with the SEC on May 22,</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2024).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40" w:hanging="1132"/>
        <w:spacing w:after="0" w:line="250" w:lineRule="auto"/>
        <w:tabs>
          <w:tab w:leader="none" w:pos="1140" w:val="left"/>
        </w:tabs>
        <w:numPr>
          <w:ilvl w:val="0"/>
          <w:numId w:val="33"/>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Form of Pre-Funded Warrant (incorporated by reference to Exhibit 4.2 to the Issuer’s Current Report on Form 8-K, filed with the SEC on</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May 22, 2024).</w:t>
        </w:r>
      </w:hyperlink>
    </w:p>
    <w:p>
      <w:pPr>
        <w:spacing w:after="0" w:line="1" w:lineRule="exact"/>
        <w:rPr>
          <w:rFonts w:ascii="Times New Roman" w:cs="Times New Roman" w:eastAsia="Times New Roman" w:hAnsi="Times New Roman"/>
          <w:sz w:val="18"/>
          <w:szCs w:val="18"/>
          <w:color w:val="auto"/>
        </w:rPr>
      </w:pPr>
    </w:p>
    <w:p>
      <w:pPr>
        <w:ind w:left="1140" w:hanging="1132"/>
        <w:spacing w:after="0" w:line="260" w:lineRule="auto"/>
        <w:tabs>
          <w:tab w:leader="none" w:pos="1140" w:val="left"/>
        </w:tabs>
        <w:numPr>
          <w:ilvl w:val="0"/>
          <w:numId w:val="34"/>
        </w:numPr>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Third Amended and Restated Junior Secured Convertible Promissory Note dated as of May 21, 2024 (incorporated by reference to Exhibit</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4.3 to the Issuer’s Current Report on Form 8-K, filed with the SEC on May 22, 2024).</w:t>
        </w:r>
      </w:hyperlink>
    </w:p>
    <w:p>
      <w:pPr>
        <w:spacing w:after="0" w:line="39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23,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Nobu Chang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RTC3 2020 Irrevocable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Johanna Wise Sullivan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Johanna Wise Sullivan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NXT3J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GIC Acquisition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Chang, Jr.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Chang,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Chang, Jr.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Chinwei Wang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Chinwei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Chinwei Wang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21,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agree, pursuant to Rule 13d-1(k)(1) under the Securities Exchange Act of 1934, as amended (the “Act”), that a statement of beneficial ownership as required under Sections 13(g) or 13(d) of the Act and the Rules promulgated thereunder may be filed on each of their behalf on Schedule 13G or Schedule 13D, as appropriate, and that said joint filing may thereafter be amended by further joint 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Nobu Chang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RTC3 2020 Irrevocable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Johanna Wise Sullivan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Johanna Wise Sullivan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NXT3J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GIC Acquisition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Chang,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Chang, Jr.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Chinwei Wang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Chinwei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Chinwei Wang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lvl w:ilvl="1">
      <w:lvlJc w:val="left"/>
      <w:lvlText w:val="(%2)"/>
      <w:numFmt w:val="lowerLetter"/>
      <w:start w:val="1"/>
    </w:lvl>
  </w:abstractNum>
  <w:abstractNum w:abstractNumId="2">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7C83E45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62BBD95A"/>
    <w:multiLevelType w:val="hybridMultilevel"/>
    <w:lvl w:ilvl="0">
      <w:lvlJc w:val="left"/>
      <w:lvlText w:val="(%1)"/>
      <w:numFmt w:val="decimal"/>
      <w:start w:val="3"/>
    </w:lvl>
  </w:abstractNum>
  <w:abstractNum w:abstractNumId="6">
    <w:nsid w:val="436C6125"/>
    <w:multiLevelType w:val="hybridMultilevel"/>
    <w:lvl w:ilvl="0">
      <w:lvlJc w:val="left"/>
      <w:lvlText w:val="%1."/>
      <w:numFmt w:val="decimal"/>
      <w:start w:val="1"/>
    </w:lvl>
    <w:lvl w:ilvl="1">
      <w:lvlJc w:val="left"/>
      <w:lvlText w:val="(%2)"/>
      <w:numFmt w:val="lowerLetter"/>
      <w:start w:val="1"/>
    </w:lvl>
  </w:abstractNum>
  <w:abstractNum w:abstractNumId="7">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
    <w:nsid w:val="333AB10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2443A858"/>
    <w:multiLevelType w:val="hybridMultilevel"/>
    <w:lvl w:ilvl="0">
      <w:lvlJc w:val="left"/>
      <w:lvlText w:val="%1."/>
      <w:numFmt w:val="decimal"/>
      <w:start w:val="1"/>
    </w:lvl>
    <w:lvl w:ilvl="1">
      <w:lvlJc w:val="left"/>
      <w:lvlText w:val="(%2)"/>
      <w:numFmt w:val="lowerLetter"/>
      <w:start w:val="1"/>
    </w:lvl>
  </w:abstractNum>
  <w:abstractNum w:abstractNumId="11">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2">
    <w:nsid w:val="6763845E"/>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3">
    <w:nsid w:val="75A2A8D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8EDBDAB"/>
    <w:multiLevelType w:val="hybridMultilevel"/>
    <w:lvl w:ilvl="0">
      <w:lvlJc w:val="left"/>
      <w:lvlText w:val="%1."/>
      <w:numFmt w:val="decimal"/>
      <w:start w:val="1"/>
    </w:lvl>
    <w:lvl w:ilvl="1">
      <w:lvlJc w:val="left"/>
      <w:lvlText w:val="(%2)"/>
      <w:numFmt w:val="lowerLetter"/>
      <w:start w:val="1"/>
    </w:lvl>
  </w:abstractNum>
  <w:abstractNum w:abstractNumId="15">
    <w:nsid w:val="79838CB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6">
    <w:nsid w:val="4353D0C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7">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189A769B"/>
    <w:multiLevelType w:val="hybridMultilevel"/>
    <w:lvl w:ilvl="0">
      <w:lvlJc w:val="left"/>
      <w:lvlText w:val="%1."/>
      <w:numFmt w:val="decimal"/>
      <w:start w:val="1"/>
    </w:lvl>
    <w:lvl w:ilvl="1">
      <w:lvlJc w:val="left"/>
      <w:lvlText w:val="(%2)"/>
      <w:numFmt w:val="lowerLetter"/>
      <w:start w:val="1"/>
    </w:lvl>
  </w:abstractNum>
  <w:abstractNum w:abstractNumId="19">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0">
    <w:nsid w:val="71F32454"/>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1">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2">
    <w:nsid w:val="836C40E"/>
    <w:multiLevelType w:val="hybridMultilevel"/>
    <w:lvl w:ilvl="0">
      <w:lvlJc w:val="left"/>
      <w:lvlText w:val="%1."/>
      <w:numFmt w:val="decimal"/>
      <w:start w:val="1"/>
    </w:lvl>
    <w:lvl w:ilvl="1">
      <w:lvlJc w:val="left"/>
      <w:lvlText w:val="(%2)"/>
      <w:numFmt w:val="lowerLetter"/>
      <w:start w:val="1"/>
    </w:lvl>
  </w:abstractNum>
  <w:abstractNum w:abstractNumId="23">
    <w:nsid w:val="2901D8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4">
    <w:nsid w:val="3A95F874"/>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5">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1E7FF521"/>
    <w:multiLevelType w:val="hybridMultilevel"/>
    <w:lvl w:ilvl="0">
      <w:lvlJc w:val="left"/>
      <w:lvlText w:val="%1."/>
      <w:numFmt w:val="decimal"/>
      <w:start w:val="1"/>
    </w:lvl>
    <w:lvl w:ilvl="1">
      <w:lvlJc w:val="left"/>
      <w:lvlText w:val="(%2)"/>
      <w:numFmt w:val="lowerLetter"/>
      <w:start w:val="1"/>
    </w:lvl>
  </w:abstractNum>
  <w:abstractNum w:abstractNumId="27">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8">
    <w:nsid w:val="737B8DDC"/>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9">
    <w:nsid w:val="6CEAF08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0">
    <w:nsid w:val="22221A70"/>
    <w:multiLevelType w:val="hybridMultilevel"/>
    <w:lvl w:ilvl="0">
      <w:lvlJc w:val="left"/>
      <w:lvlText w:val="1"/>
      <w:numFmt w:val="bullet"/>
      <w:start w:val="1"/>
    </w:lvl>
  </w:abstractNum>
  <w:abstractNum w:abstractNumId="31">
    <w:nsid w:val="4516DDE9"/>
    <w:multiLevelType w:val="hybridMultilevel"/>
    <w:lvl w:ilvl="0">
      <w:lvlJc w:val="left"/>
      <w:lvlText w:val="2"/>
      <w:numFmt w:val="bullet"/>
      <w:start w:val="1"/>
    </w:lvl>
  </w:abstractNum>
  <w:abstractNum w:abstractNumId="32">
    <w:nsid w:val="3006C83E"/>
    <w:multiLevelType w:val="hybridMultilevel"/>
    <w:lvl w:ilvl="0">
      <w:lvlJc w:val="left"/>
      <w:lvlText w:val="3"/>
      <w:numFmt w:val="bullet"/>
      <w:start w:val="1"/>
    </w:lvl>
  </w:abstractNum>
  <w:abstractNum w:abstractNumId="33">
    <w:nsid w:val="614FD4A1"/>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30" Type="http://schemas.openxmlformats.org/officeDocument/2006/relationships/hyperlink" Target="https://www.sec.gov/Archives/edgar/data/1800637/000121390024045718/ea020667101ex4-1_agrifycorp.htm" TargetMode="External"/><Relationship Id="rId32" Type="http://schemas.openxmlformats.org/officeDocument/2006/relationships/hyperlink" Target="https://www.sec.gov/Archives/edgar/data/1800637/000121390024045718/ea020667101ex4-2_agrifycorp.htm" TargetMode="External"/><Relationship Id="rId33" Type="http://schemas.openxmlformats.org/officeDocument/2006/relationships/hyperlink" Target="https://www.sec.gov/Archives/edgar/data/1800637/000121390024045718/ea020667101ex4-3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2024-05-23T19:29:56Z</dcterms:created>
  <dcterms:modified xsi:type="dcterms:W3CDTF">2024-05-23T19:29:56Z</dcterms:modified>
</cp:coreProperties>
</file>