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2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8, 2022</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AGRIFY CORPORATION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0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4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1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3"/>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45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of incorporation)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50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50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500" w:type="dxa"/>
            <w:vAlign w:val="bottom"/>
            <w:tcBorders>
              <w:bottom w:val="single" w:sz="8" w:color="auto"/>
            </w:tcBorders>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Billerica, MA 01862</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34"/>
        </w:trPr>
        <w:tc>
          <w:tcPr>
            <w:tcW w:w="45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12529"/>
        </w:rPr>
        <w:t>On June 8, 2022, Agrify Corporation (the “Company”) held its 2022 Annual Meeting of Stockholders (the “Annual Meeting”) virtually, commencing at 10:00 a.m. Eastern Daylight Time. Of the Company’s 26,549,434 shares of common stock issued and outstanding and eligible to vote as of the record date of April 11, 2022, a quorum of 16,853,434 shares, or approximately 63.47% of the eligible shares, were represented at the virtual Annual Meeting either in person or by proxy.</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212529"/>
        </w:rPr>
        <w:t xml:space="preserve">A description of each matter voted upon at the Annual Meeting is described in detail in the Company’s definitive proxy statement filed with the Securities and Exchange Commission on April 29, 2022 (the “Proxy Statement”). </w:t>
      </w:r>
      <w:r>
        <w:rPr>
          <w:rFonts w:ascii="Times New Roman" w:cs="Times New Roman" w:eastAsia="Times New Roman" w:hAnsi="Times New Roman"/>
          <w:sz w:val="18"/>
          <w:szCs w:val="18"/>
          <w:color w:val="000000"/>
        </w:rPr>
        <w:t>The matters voted upon at the Annual Meeting and the final results of such voting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are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Each of the director nominees listed below were elected as directors for a one-year term, such term to continue until the annual meeting of stockholders in 2023 and until such directors’ successors are duly elected and qualified. Due to the plurality election, votes could only be cast in favor of or withheld from the nominee and thus votes against were not applicable. The results of the election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7,984,559</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1,932,338</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6,936,537</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Guichao Hua</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7,979,497</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1,937,400</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6,936,537</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2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8,040,292</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1,876,605</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6,936,537</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7,504,595</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2,412,302</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6,936,537</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Leonard J. Sokolow</w:t>
            </w:r>
          </w:p>
        </w:tc>
        <w:tc>
          <w:tcPr>
            <w:tcW w:w="2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9,277,972</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638,925</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6,936,537</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9,298,304</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618,593</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6,936,537</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Wilcox</w:t>
            </w:r>
          </w:p>
        </w:tc>
        <w:tc>
          <w:tcPr>
            <w:tcW w:w="2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7,472,592</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2,444,305</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6,936,537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Approval of 2022 Omnibus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the Company’s 2022 Omnibus Incentive Plan was approved. The results of the vote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6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7,984,808</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1,902,406</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29,683</w:t>
            </w:r>
          </w:p>
        </w:tc>
        <w:tc>
          <w:tcPr>
            <w:tcW w:w="10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6,936,537</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 Approval of 2022 Employee Stock Purchase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the Company’s 2022 Employee Stock Purchase Plan was approved. The results of the vote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6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9,444,101</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463,008</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6,936,537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 – Amendment to Articles of Incorporation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amendment to the Company’s Articles of Incorporation to increase the number of authorized shares of common stock from 50,000,000 to 100,000,000, and to correspondingly increase the total authorized shares of stock from 53,000,000 to 103,000,000, was approved. The results of the vote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09"/>
        </w:trPr>
        <w:tc>
          <w:tcPr>
            <w:tcW w:w="36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16,047,078</w:t>
            </w:r>
          </w:p>
        </w:tc>
        <w:tc>
          <w:tcPr>
            <w:tcW w:w="1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719,400</w:t>
            </w:r>
          </w:p>
        </w:tc>
        <w:tc>
          <w:tcPr>
            <w:tcW w:w="10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86,956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5 – Ratification of Appointment of Marcum LLP</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appointment of Marcum LLP as the Company’s independent registered public accounting firm for the fiscal year ending December 31, 2022 was ratified. The results of the vote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09"/>
        </w:trPr>
        <w:tc>
          <w:tcPr>
            <w:tcW w:w="36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16,781,887</w:t>
            </w:r>
          </w:p>
        </w:tc>
        <w:tc>
          <w:tcPr>
            <w:tcW w:w="1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47,043</w:t>
            </w:r>
          </w:p>
        </w:tc>
        <w:tc>
          <w:tcPr>
            <w:tcW w:w="10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24,504</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8"/>
          <w:szCs w:val="18"/>
          <w:color w:val="auto"/>
        </w:rPr>
        <w:t>Date: June 9, 2022</w:t>
      </w:r>
      <w:r>
        <w:rPr>
          <w:sz w:val="20"/>
          <w:szCs w:val="20"/>
          <w:color w:val="auto"/>
        </w:rPr>
        <w:tab/>
      </w:r>
      <w:r>
        <w:rPr>
          <w:rFonts w:ascii="Times New Roman" w:cs="Times New Roman" w:eastAsia="Times New Roman" w:hAnsi="Times New Roman"/>
          <w:sz w:val="18"/>
          <w:szCs w:val="18"/>
          <w:color w:val="auto"/>
        </w:rPr>
        <w:t>By: /s/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Timothy R. Oakes</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2022-06-09T15:35:32Z</dcterms:created>
  <dcterms:modified xsi:type="dcterms:W3CDTF">2022-06-09T15:35:32Z</dcterms:modified>
</cp:coreProperties>
</file>