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25,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72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720840"/>
                    </a:xfrm>
                    <a:prstGeom prst="rect">
                      <a:avLst/>
                    </a:prstGeom>
                    <a:noFill/>
                  </pic:spPr>
                </pic:pic>
              </a:graphicData>
            </a:graphic>
          </wp:anchor>
        </w:drawing>
      </w:r>
    </w:p>
    <w:p>
      <w:pPr>
        <w:spacing w:after="0" w:line="165" w:lineRule="exact"/>
        <w:rPr>
          <w:sz w:val="20"/>
          <w:szCs w:val="20"/>
          <w:color w:val="auto"/>
        </w:rPr>
      </w:pPr>
    </w:p>
    <w:p>
      <w:pPr>
        <w:ind w:left="920" w:right="814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Raymond Nobu Chang</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4"/>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394"/>
        </w:trPr>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27"/>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11"/>
                <w:szCs w:val="11"/>
                <w:color w:val="auto"/>
              </w:rPr>
            </w:pPr>
          </w:p>
        </w:tc>
        <w:tc>
          <w:tcPr>
            <w:tcW w:w="8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11,959,932</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6,909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95"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11,959,932</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11,966,841</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(3)</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82"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575 shares of common stock, par value $0.001, of Agrify Corporation (“Common Stock”) held individually and (ii) up to 6,334 shares of Common Stock issuable upon exercise of stock options held by Mr. Chang that are exercisable within 60 days of the date hereof. Does not include 218,120 shares of Common Stock underlying time-based restricted stock units that will not vest within 60 days of the day hereof granted to Mr. Chang under the Agrify Corporation 2022 Omnibus Equity Incentive Plan, as amended (the “Plan”).</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Consists of (i) 1,453,894 shares of Common Stock held by RTC3 2020 Irrevocable Trust (“RTC3”), of which Mr. Chang retains the ability to remove the independent trustee, (ii) warrants to purchase 231,223 shares of Common Stock held by RTC3 that are exercisable within 60 days of the date hereof, subject to a 9.99% beneficial ownership limitation), (iii) 648 shares of Common Stock held by NXT3J Capital, LLC (“NXT3J”), an entity controlled by Mr. Chang, (iv) that number of shares of Common Stock issuable to CP Acquisitions, LLC (“CP Acquisitions”), an entity controlled by Mr. Chang, issuable to Mr. Chang upon the conversion of that certain Senior Secured Amended, Restated and Consolidated Convertible Note due 2025 described herein with an outstanding principal amount of $15,000,000.00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a member of the Board of Directors of the Issuer, in which case the 49.99% beneficial ownership limitation will apply to each of them individually and (v) options to purchase 194 shares of common stock that are held by Raymond Chang Jr., Mr. Chang’s son, that are exercisable within 60 days of the date hereof. Does not include (i) up to 9 shares of Common Stock issuable upon exercise of stock options held by Raymond Chang, Jr., that are not exercisable within 60 days of the date hereof and (ii) 72,373 shares of Common Stock underlying time-based restricted stock units that will not vest within 60 days of the day hereof granted to Raymond Chang, Jr., under the Plan.</w:t>
      </w:r>
    </w:p>
    <w:p>
      <w:pPr>
        <w:spacing w:after="0" w:line="191" w:lineRule="exact"/>
        <w:rPr>
          <w:rFonts w:ascii="Times New Roman" w:cs="Times New Roman" w:eastAsia="Times New Roman" w:hAnsi="Times New Roman"/>
          <w:sz w:val="18"/>
          <w:szCs w:val="18"/>
          <w:color w:val="auto"/>
        </w:rPr>
      </w:pPr>
    </w:p>
    <w:p>
      <w:pPr>
        <w:jc w:val="both"/>
        <w:ind w:left="3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Chang disclaims beneficial ownership with respect to the shares and warrants held by RTC3, the shares held by NXT3J, the shares entitled to CP Acquisitions upon conversion of its convertible note, and the options and shares held by Raymond Chang Jr., in each case except to the extent of his pecuniary interest therein.</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 plus the shares of Common Stock issuable upon exercise of the</w:t>
      </w:r>
    </w:p>
    <w:p>
      <w:pPr>
        <w:sectPr>
          <w:pgSz w:w="11900" w:h="16838" w:orient="portrait"/>
          <w:cols w:equalWidth="0" w:num="1">
            <w:col w:w="11240"/>
          </w:cols>
          <w:pgMar w:left="320" w:top="806"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warrants and options and conversion of the convertible note in footnotes (1) and (2) above, subject to applicable beneficial ownership limitations.</w:t>
      </w:r>
    </w:p>
    <w:p>
      <w:pPr>
        <w:sectPr>
          <w:pgSz w:w="11900" w:h="16838" w:orient="portrait"/>
          <w:cols w:equalWidth="0" w:num="1">
            <w:col w:w="10460"/>
          </w:cols>
          <w:pgMar w:left="660" w:top="121" w:right="779" w:bottom="1440" w:gutter="0" w:footer="0" w:header="0"/>
        </w:sect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31750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660" w:top="121" w:right="7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RTC3 2020 Irrevocable Trust</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1,685,117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1,685,117</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1,685,117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23.81%</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1,453,894 shares of Common Stock held by RTC3, and (ii) warrants to purchase 231,223 shares of Common Stock held by RTC3 that are exercisable within 60 days of the date hereof, subject to a 9.99% beneficial ownership limitation.</w:t>
      </w:r>
    </w:p>
    <w:p>
      <w:pPr>
        <w:ind w:left="340" w:hanging="332"/>
        <w:spacing w:after="0" w:line="260"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 plus the shares of Common Stock issuable upon exercise of the warrants described in footnote (1) above, subject to the beneficial ownership limitation described therein.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NXT3J Capital, LLC</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27"/>
                <w:szCs w:val="27"/>
                <w:color w:val="auto"/>
                <w:vertAlign w:val="subscript"/>
              </w:rPr>
              <w:t>648</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648</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648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648 shares of Common Stock held by NXT3J.</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 xml:space="preserve">10,273,973 </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 xml:space="preserve">10,273,973 </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 xml:space="preserve">10,273,973 </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that number of shares of Common Stock issuable to CP Acquisitions, an entity controlled by Mr. Chang, issuable to Mr. Chang upon the conversion of that certain Senior Secured Amended, Restated and Consolidated Convertible Note due 2025 described herein with an outstanding principal amount of $15,000,000.00 and a conversion price of $1.46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a member of the Board of Directors of the Issuer, in which case the 49.99% beneficial ownership limitation will apply to each of them individually.</w:t>
      </w:r>
    </w:p>
    <w:p>
      <w:pPr>
        <w:spacing w:after="0" w:line="5"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 plus the shares of Common Stock issuable upon conversion of the convertible note in footnote (1) above, subject to applicable beneficial ownership limitations.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694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66940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Raymond Chang Jr.</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700" w:hanging="774"/>
        <w:spacing w:after="0" w:line="207" w:lineRule="exact"/>
        <w:tabs>
          <w:tab w:leader="none" w:pos="170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09"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17"/>
                <w:szCs w:val="17"/>
                <w:color w:val="auto"/>
              </w:rPr>
              <w:t>194</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194</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194</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up to 194 shares of Common Stock issuable upon exercise of stock options held by Mr. Chang, Jr., that are exercisable within 60 days of the date hereof. Does not consist of (i) up to 9 shares of Common Stock issuable upon exercise of stock options held by Mr. Chang, Jr. that are not exercisable within 60 days of the date hereof and (ii) 72,373 shares of Common Stock underlying time-based restricted stock units that will not vest within 60 days of the day hereof granted to Mr. Chang, Jr., under the Plan.</w:t>
      </w:r>
    </w:p>
    <w:p>
      <w:pPr>
        <w:spacing w:after="0" w:line="2"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6,846,419 shares of Common Stock outstanding as of the date hereof, plus 194 shares of Common Stock issuable upon exercise of the options described in footnote (1) above.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This Amendment No. 2 to the statement on Schedule 13D (“</w:t>
      </w:r>
      <w:r>
        <w:rPr>
          <w:rFonts w:ascii="Times New Roman" w:cs="Times New Roman" w:eastAsia="Times New Roman" w:hAnsi="Times New Roman"/>
          <w:sz w:val="18"/>
          <w:szCs w:val="18"/>
          <w:i w:val="1"/>
          <w:iCs w:val="1"/>
          <w:color w:val="auto"/>
        </w:rPr>
        <w:t>Amendment No. 2</w:t>
      </w:r>
      <w:r>
        <w:rPr>
          <w:rFonts w:ascii="Times New Roman" w:cs="Times New Roman" w:eastAsia="Times New Roman" w:hAnsi="Times New Roman"/>
          <w:sz w:val="18"/>
          <w:szCs w:val="18"/>
          <w:color w:val="auto"/>
        </w:rPr>
        <w:t>”) amends the Schedule 13D originally filed by the Reporting Persons on December 30, 2022, as amended by that certain Amendment No. 1 filed on October 31, 2023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of the Issuer beneficially owned by the Reporting Persons.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2 does not modify any of the information previously reported on the Schedule 13D. Capitalized terms used but not otherwise defined in this Amendment No. 2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of the Schedule 13D is hereby amended and restated in its entirety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6,846,419 shares of Common Stock outstanding as of the date hereof. Notwithstanding the foregoing, Mr. Chang hereby disclaims beneficial ownership with respect to the securities held by NXT3J, RTC3, CP Acquisitions and Raymond Chang Jr. except to the extent of his pecuniary interest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25, 2024, CP Acquisitions and the Issuer consolidated the outstanding principal and interest due under the outstanding secured notes previously issued by the Issuer and held by CP Acquisitions into a certain single convertible note, titled “Senior Secured Amended, Restated and Consolidated Convertible Note due 2025” (the “</w:t>
      </w:r>
      <w:r>
        <w:rPr>
          <w:rFonts w:ascii="Times New Roman" w:cs="Times New Roman" w:eastAsia="Times New Roman" w:hAnsi="Times New Roman"/>
          <w:sz w:val="18"/>
          <w:szCs w:val="18"/>
          <w:i w:val="1"/>
          <w:iCs w:val="1"/>
          <w:color w:val="auto"/>
        </w:rPr>
        <w:t>Restated Note</w:t>
      </w:r>
      <w:r>
        <w:rPr>
          <w:rFonts w:ascii="Times New Roman" w:cs="Times New Roman" w:eastAsia="Times New Roman" w:hAnsi="Times New Roman"/>
          <w:sz w:val="18"/>
          <w:szCs w:val="18"/>
          <w:color w:val="auto"/>
        </w:rPr>
        <w:t xml:space="preserve">”), with an outstanding principal amount of approximately $18,900,583.71 at the time of issuance of the Restated Note. The Restated Note is convertible at a current conversion price of $1.46 per share, as may be adjusted per the Note from time to time,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Chang and/or Ms. I-Tseng Jenny Chan, a member of the Board of Directors of the Issuer, in which case the 49.99% beneficial ownership limitation will apply to each of them individually.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Immediately following the execution of the Restated Note, CP Acquisitions elected to convert approximately $3,900,583.71 of outstanding principal and accrued but unpaid interest into an aggregate of 2,671,633 shares of common stock, and assigned its rights to receive 1,335,817 of such shares to RTC3 and the remainder of such shares to certain other entities controlled by Ms. Chan. Following the conversion, there was $15,000,000.00 in principal amount outstanding under the Restated Note. CP Acquisitions does not presently intend to convert some or all of the outstanding principal amount and accrued but unpaid interest under the Restated Note, and may seek to exercise certain rights as a senior secured debtholder of the Issuer in the future.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as reported on the 8-K of the Issuer on or around the date of this Amendment No. 2, GIC Acquisition LLC, an affiliated entity of Mr. Chang, amended and restated its existing Amended and Restated Junior Secured Promissory Note by increasing the principal amount from $500,000.00 to $1,000,000.00. The Second Amended and Restated Junior Secured Promissory is a secured obligation of the Issuer that ranks junior in preference to the secured obligation in the Restated Note.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3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hanging="1133"/>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1</w:t>
      </w:r>
      <w:r>
        <w:rPr>
          <w:sz w:val="20"/>
          <w:szCs w:val="20"/>
          <w:color w:val="auto"/>
        </w:rPr>
        <w:tab/>
      </w:r>
      <w:hyperlink r:id="rId25">
        <w:r>
          <w:rPr>
            <w:rFonts w:ascii="Times New Roman" w:cs="Times New Roman" w:eastAsia="Times New Roman" w:hAnsi="Times New Roman"/>
            <w:sz w:val="18"/>
            <w:szCs w:val="18"/>
            <w:u w:val="single" w:color="auto"/>
            <w:color w:val="0000EE"/>
          </w:rPr>
          <w:t>Senior Secured Amended, Restated and Consolidated Convertible Note, dated January 25, 2024 (filed as Exhibit 4.1 to the Issuer’s Current</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Report on Form 8-K, as filed with the Commission on January 25, 2024, and incorporated herein by reference).</w:t>
        </w:r>
      </w:hyperlink>
    </w:p>
    <w:p>
      <w:pPr>
        <w:spacing w:after="0" w:line="162" w:lineRule="exact"/>
        <w:rPr>
          <w:sz w:val="20"/>
          <w:szCs w:val="20"/>
          <w:color w:val="auto"/>
        </w:rPr>
      </w:pPr>
    </w:p>
    <w:p>
      <w:pPr>
        <w:ind w:left="1140" w:hanging="1133"/>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2</w:t>
      </w:r>
      <w:r>
        <w:rPr>
          <w:sz w:val="20"/>
          <w:szCs w:val="20"/>
          <w:color w:val="auto"/>
        </w:rPr>
        <w:tab/>
      </w:r>
      <w:hyperlink r:id="rId26">
        <w:r>
          <w:rPr>
            <w:rFonts w:ascii="Times New Roman" w:cs="Times New Roman" w:eastAsia="Times New Roman" w:hAnsi="Times New Roman"/>
            <w:sz w:val="18"/>
            <w:szCs w:val="18"/>
            <w:u w:val="single" w:color="auto"/>
            <w:color w:val="0000EE"/>
          </w:rPr>
          <w:t>Second Amended and Restated Junior Secured Promissory Note, dated January 25, 2024 (filed as Exhibit 4.2 to the Issuer’s Current Report</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on Form 8-K, as filed with the Commission on January 25, 2024,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 Sullivan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NXT3J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 Jr.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lvl w:ilvl="1">
      <w:lvlJc w:val="left"/>
      <w:lvlText w:val="(%2)"/>
      <w:numFmt w:val="lowerLetter"/>
      <w:start w:val="1"/>
    </w:lvl>
  </w:abstractNum>
  <w:abstractNum w:abstractNumId="2">
    <w:nsid w:val="66EF438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140E0F76"/>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335225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109CF92E"/>
    <w:multiLevelType w:val="hybridMultilevel"/>
    <w:lvl w:ilvl="0">
      <w:lvlJc w:val="left"/>
      <w:lvlText w:val="%1."/>
      <w:numFmt w:val="decimal"/>
      <w:start w:val="1"/>
    </w:lvl>
    <w:lvl w:ilvl="1">
      <w:lvlJc w:val="left"/>
      <w:lvlText w:val="(%2)"/>
      <w:numFmt w:val="lowerLetter"/>
      <w:start w:val="1"/>
    </w:lvl>
  </w:abstractNum>
  <w:abstractNum w:abstractNumId="6">
    <w:nsid w:val="DED726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
    <w:nsid w:val="7FDCC23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
    <w:nsid w:val="1BEFD79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41A7C4C9"/>
    <w:multiLevelType w:val="hybridMultilevel"/>
    <w:lvl w:ilvl="0">
      <w:lvlJc w:val="left"/>
      <w:lvlText w:val="%1."/>
      <w:numFmt w:val="decimal"/>
      <w:start w:val="1"/>
    </w:lvl>
    <w:lvl w:ilvl="1">
      <w:lvlJc w:val="left"/>
      <w:lvlText w:val="(%2)"/>
      <w:numFmt w:val="lowerLetter"/>
      <w:start w:val="1"/>
    </w:lvl>
  </w:abstractNum>
  <w:abstractNum w:abstractNumId="10">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1">
    <w:nsid w:val="4E6AFB66"/>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2">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5">
    <w:nsid w:val="3F2DBA3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6">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9">
    <w:nsid w:val="436C612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0">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25" Type="http://schemas.openxmlformats.org/officeDocument/2006/relationships/hyperlink" Target="http://www.sec.gov/Archives/edgar/data/1800637/000121390024006275/ea192155ex4-1_agrify.htm" TargetMode="External"/><Relationship Id="rId26" Type="http://schemas.openxmlformats.org/officeDocument/2006/relationships/hyperlink" Target="http://www.sec.gov/Archives/edgar/data/1800637/000121390024006275/ea192155ex4-2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2024-01-30T04:04:50Z</dcterms:created>
  <dcterms:modified xsi:type="dcterms:W3CDTF">2024-01-30T04:04:50Z</dcterms:modified>
</cp:coreProperties>
</file>