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Nobu Chang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2468 Industrial Row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Troy, MI 48084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27,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333-282387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Raymond Nobu Chang: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September 27,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are attempting to register the Filing Default Shares, Effectiveness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Default Shares and Additional Commitment Shares for resale. However, it is not clear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your disclosure or the Registration Rights Agreement at Exhibit 10.26 that such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shares have been issued and are outstanding or deemed to be outstanding.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prospectus to clarify whether all of the securities to be registered for resale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outstanding. If they are not outstanding, or deemed to be outstanding, provide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registering the resale of such securities at this time.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ind w:left="120" w:right="77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action by the staff. October 7,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Juan Grana at 202-551-6034 or Jane Park at 202-551-7439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Robert A. Petitt, Esq.</w:t>
      </w:r>
    </w:p>
    <w:sectPr>
      <w:pgSz w:w="11900" w:h="16838" w:orient="portrait"/>
      <w:cols w:equalWidth="0" w:num="1">
        <w:col w:w="10139"/>
      </w:cols>
      <w:pgMar w:left="320" w:top="218" w:right="1440" w:bottom="103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2024-12-04T23:11:02Z</dcterms:created>
  <dcterms:modified xsi:type="dcterms:W3CDTF">2024-12-04T23:11:02Z</dcterms:modified>
</cp:coreProperties>
</file>