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180" w:type="dxa"/>
            <w:vAlign w:val="bottom"/>
          </w:tcPr>
          <w:p>
            <w:pPr>
              <w:spacing w:after="0"/>
              <w:rPr>
                <w:sz w:val="20"/>
                <w:szCs w:val="20"/>
                <w:color w:val="auto"/>
              </w:rPr>
            </w:pPr>
          </w:p>
        </w:tc>
      </w:tr>
      <w:tr>
        <w:trPr>
          <w:trHeight w:val="410"/>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80" w:type="dxa"/>
            <w:vAlign w:val="bottom"/>
          </w:tcPr>
          <w:p>
            <w:pPr>
              <w:spacing w:after="0"/>
              <w:rPr>
                <w:sz w:val="24"/>
                <w:szCs w:val="24"/>
                <w:color w:val="auto"/>
              </w:rPr>
            </w:pPr>
          </w:p>
        </w:tc>
      </w:tr>
      <w:tr>
        <w:trPr>
          <w:trHeight w:val="216"/>
        </w:trPr>
        <w:tc>
          <w:tcPr>
            <w:tcW w:w="2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180" w:type="dxa"/>
            <w:vAlign w:val="bottom"/>
          </w:tcPr>
          <w:p>
            <w:pPr>
              <w:spacing w:after="0"/>
              <w:rPr>
                <w:sz w:val="18"/>
                <w:szCs w:val="18"/>
                <w:color w:val="auto"/>
              </w:rPr>
            </w:pPr>
          </w:p>
        </w:tc>
      </w:tr>
      <w:tr>
        <w:trPr>
          <w:trHeight w:val="238"/>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180" w:type="dxa"/>
            <w:vAlign w:val="bottom"/>
          </w:tcPr>
          <w:p>
            <w:pPr>
              <w:spacing w:after="0"/>
              <w:rPr>
                <w:sz w:val="20"/>
                <w:szCs w:val="20"/>
                <w:color w:val="auto"/>
              </w:rPr>
            </w:pPr>
          </w:p>
        </w:tc>
      </w:tr>
      <w:tr>
        <w:trPr>
          <w:trHeight w:val="432"/>
        </w:trPr>
        <w:tc>
          <w:tcPr>
            <w:tcW w:w="2980" w:type="dxa"/>
            <w:vAlign w:val="bottom"/>
          </w:tcPr>
          <w:p>
            <w:pPr>
              <w:spacing w:after="0"/>
              <w:rPr>
                <w:sz w:val="24"/>
                <w:szCs w:val="24"/>
                <w:color w:val="auto"/>
              </w:rPr>
            </w:pPr>
          </w:p>
        </w:tc>
        <w:tc>
          <w:tcPr>
            <w:tcW w:w="5080" w:type="dxa"/>
            <w:vAlign w:val="bottom"/>
            <w:gridSpan w:val="7"/>
          </w:tcPr>
          <w:p>
            <w:pPr>
              <w:jc w:val="center"/>
              <w:ind w:left="11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7, 2025</w:t>
            </w:r>
          </w:p>
        </w:tc>
        <w:tc>
          <w:tcPr>
            <w:tcW w:w="3180" w:type="dxa"/>
            <w:vAlign w:val="bottom"/>
          </w:tcPr>
          <w:p>
            <w:pPr>
              <w:spacing w:after="0"/>
              <w:rPr>
                <w:sz w:val="24"/>
                <w:szCs w:val="24"/>
                <w:color w:val="auto"/>
              </w:rPr>
            </w:pPr>
          </w:p>
        </w:tc>
      </w:tr>
      <w:tr>
        <w:trPr>
          <w:trHeight w:val="414"/>
        </w:trPr>
        <w:tc>
          <w:tcPr>
            <w:tcW w:w="2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RYTHM, INC.</w:t>
            </w:r>
          </w:p>
        </w:tc>
        <w:tc>
          <w:tcPr>
            <w:tcW w:w="3180" w:type="dxa"/>
            <w:vAlign w:val="bottom"/>
          </w:tcPr>
          <w:p>
            <w:pPr>
              <w:spacing w:after="0"/>
              <w:rPr>
                <w:sz w:val="24"/>
                <w:szCs w:val="24"/>
                <w:color w:val="auto"/>
              </w:rPr>
            </w:pPr>
          </w:p>
        </w:tc>
      </w:tr>
      <w:tr>
        <w:trPr>
          <w:trHeight w:val="234"/>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4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80" w:type="dxa"/>
            <w:vAlign w:val="bottom"/>
          </w:tcPr>
          <w:p>
            <w:pPr>
              <w:spacing w:after="0"/>
              <w:rPr>
                <w:sz w:val="20"/>
                <w:szCs w:val="20"/>
                <w:color w:val="auto"/>
              </w:rPr>
            </w:pPr>
          </w:p>
        </w:tc>
      </w:tr>
      <w:tr>
        <w:trPr>
          <w:trHeight w:val="439"/>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60" w:type="dxa"/>
            <w:vAlign w:val="bottom"/>
            <w:gridSpan w:val="5"/>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2980" w:type="dxa"/>
            <w:vAlign w:val="bottom"/>
            <w:tcBorders>
              <w:top w:val="single" w:sz="8" w:color="auto"/>
            </w:tcBorders>
          </w:tcPr>
          <w:p>
            <w:pPr>
              <w:jc w:val="center"/>
              <w:ind w:left="55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tcPr>
          <w:p>
            <w:pPr>
              <w:jc w:val="center"/>
              <w:ind w:right="31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8060" w:type="dxa"/>
            <w:vAlign w:val="bottom"/>
            <w:gridSpan w:val="8"/>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2220 Hicks Road, Suite 210</w:t>
            </w:r>
          </w:p>
        </w:tc>
        <w:tc>
          <w:tcPr>
            <w:tcW w:w="3180" w:type="dxa"/>
            <w:vAlign w:val="bottom"/>
          </w:tcPr>
          <w:p>
            <w:pPr>
              <w:spacing w:after="0"/>
              <w:rPr>
                <w:sz w:val="24"/>
                <w:szCs w:val="24"/>
                <w:color w:val="auto"/>
              </w:rPr>
            </w:pPr>
          </w:p>
        </w:tc>
      </w:tr>
      <w:tr>
        <w:trPr>
          <w:trHeight w:val="245"/>
        </w:trPr>
        <w:tc>
          <w:tcPr>
            <w:tcW w:w="8060" w:type="dxa"/>
            <w:vAlign w:val="bottom"/>
            <w:gridSpan w:val="8"/>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Rolling Meadows, IL</w:t>
            </w:r>
          </w:p>
        </w:tc>
        <w:tc>
          <w:tcPr>
            <w:tcW w:w="31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60068</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320" w:type="dxa"/>
            <w:vAlign w:val="bottom"/>
            <w:tcBorders>
              <w:top w:val="single" w:sz="8" w:color="auto"/>
            </w:tcBorders>
            <w:gridSpan w:val="3"/>
          </w:tcPr>
          <w:p>
            <w:pPr>
              <w:spacing w:after="0"/>
              <w:rPr>
                <w:sz w:val="20"/>
                <w:szCs w:val="20"/>
                <w:color w:val="auto"/>
              </w:rPr>
            </w:pPr>
          </w:p>
        </w:tc>
        <w:tc>
          <w:tcPr>
            <w:tcW w:w="3180" w:type="dxa"/>
            <w:vAlign w:val="bottom"/>
            <w:tcBorders>
              <w:top w:val="single" w:sz="8" w:color="auto"/>
            </w:tcBorders>
          </w:tcPr>
          <w:p>
            <w:pPr>
              <w:jc w:val="center"/>
              <w:ind w:right="22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(855) 420-0020</w:t>
      </w:r>
    </w:p>
    <w:p>
      <w:pPr>
        <w:spacing w:after="0" w:line="22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0" w:hanging="332"/>
        <w:spacing w:after="0" w:line="282"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73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10" w:type="dxa"/>
            <w:vAlign w:val="bottom"/>
            <w:tcBorders>
              <w:bottom w:val="single" w:sz="8" w:color="auto"/>
            </w:tcBorders>
          </w:tcPr>
          <w:p>
            <w:pPr>
              <w:ind w:left="131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7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73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3810" w:type="dxa"/>
            <w:vAlign w:val="bottom"/>
            <w:shd w:val="clear" w:color="auto" w:fill="CCEEFF"/>
          </w:tcPr>
          <w:p>
            <w:pPr>
              <w:ind w:left="1710"/>
              <w:spacing w:after="0"/>
              <w:rPr>
                <w:sz w:val="20"/>
                <w:szCs w:val="20"/>
                <w:color w:val="auto"/>
              </w:rPr>
            </w:pPr>
            <w:r>
              <w:rPr>
                <w:rFonts w:ascii="Times New Roman" w:cs="Times New Roman" w:eastAsia="Times New Roman" w:hAnsi="Times New Roman"/>
                <w:sz w:val="18"/>
                <w:szCs w:val="18"/>
                <w:color w:val="auto"/>
              </w:rPr>
              <w:t>RYM</w:t>
            </w:r>
          </w:p>
        </w:tc>
        <w:tc>
          <w:tcPr>
            <w:tcW w:w="37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7, 2025, RYTHM, Inc. (the “Company”) issued a press release announcing financial results for the quarter ended September 30, 2025. A copy of the release is attached as Exhibit 99.1.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2.02,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RYTHM, Inc. dated November 7, 2025</w:t>
      </w:r>
    </w:p>
    <w:p>
      <w:pPr>
        <w:spacing w:after="0" w:line="27" w:lineRule="exact"/>
        <w:rPr>
          <w:sz w:val="20"/>
          <w:szCs w:val="20"/>
          <w:color w:val="auto"/>
        </w:rPr>
      </w:pPr>
    </w:p>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 /s/ 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Brad Asher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164465</wp:posOffset>
            </wp:positionV>
            <wp:extent cx="22117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117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RYTHM, Inc. Reports Third Quarter 2025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ROLLING MEADOWS, IL, November 7, 2025 (GLOBE NEWSWIRE) RYTHM, Inc. (Nasdaq: RYM) (“RYTHM” or the “Company”) (formerly known as Agrify Corporation), which delivers well-being to consumers through its portfolio of iconic licensed brands and hemp-derived THC products including Señorita THC Margaritas and RYTHM, today announced financial results for the quarter ended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Results</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continuing operations of $4.0 million, up 98% from $2.0 million in the prior quarter.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million operating loss from continuing operations.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balance of $35.6 million.</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 million shares, 7.6 million warrants outstanding and 6.2 million shares issuable upon conversion of outstanding convertible notes (excluding interest) as of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Señorita THC Margaritas launched in global convenience store chain Circle K, rolling out to over 1,000 stores across the country, marking the largest convenience store hemp-derived THC beverage rollout to date in the U.S.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Señorita THC Margaritas launched in select Minnesota Target stores as part of the retailer’s pilot program for hemp-derived THC beverages.</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27, 2025, the Company acquired a portfolio of brand intellectual property (the “Brands”), including RYTHM, Dogwalkers, Beboe and others.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 with this acquisition, the Company entered into licensing agreements for the Brands to be manufactured and distributed.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 2025, the Company changed its name to RYTHM, Inc. and began trading on the Nasdaq Capital Market under the symbol “RYM.”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“It’s a new day, a new name and a new strategic direction for RYTHM, Inc.,” said Chairman and Interim CEO Ben Kovler. “We now own some of the most iconic and trusted THC brands, including RYTHM, Dogwalkers, incredibles, Beboe and others.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“Adult consumers, especially younger generations, are increasingly choosing THC beverages as an alternative to alcohol, creating a long tailwind for growth. With both licensing and direct revenue streams, RYTHM is well-positioned to capture this demand and execute our strategy as America’s THC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we expanded our beverage portfolio with the launch of RYTHM Beverages, and built on the strong momentum of Señorita, our award-winning THC margarita brand. In October, Señorita debuted in select Minnesota Target stores as part of the retailer’s first foray into THC beverage sales. In addition, Señorita began rolling out to over 1,000 Circle K convenience stores nationwide. These partnerships reflect the growing acceptance and accessibility of THC products, which are also available online and through delivery services like DoorDash and GoPuff.</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THC beverages continue to gain mainstream traction, our great-tasting flavors and better-for-you formulations give us a strong competitive advantage in a rapidly growing category. We believe the market has real momentum, and both Señorita and RYTHM are ready to deliver what Americans want— without the hangover.”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RYTHM’s portfolio of hemp-derived THC products delivers well-being to millions of Americans every year, and its brands are among the most recognized and trusted names in the cannabis and hemp industries, including RYTHM, incredibles, Dogwalkers, Beboe, Señorita THC Margaritas, &amp;Shine, Doctor Solomon’s and Good Green. RYTHM products are rooted in quality, safety and innovation and are available in thousands of physical locations and online channels. The Company is deeply committed to shaping THC experiences that enhance the daily lives of American consumers. Learn more and explore the full brand portfolio at www.RYTHMinc.com.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RYTHM and other matters. All statements contained in this press release that do not relate to matters of historical fact should be considered forward-looking statements including, without limitation, statements regarding future financial results, alternatives for the extraction business, potential growth opportunities and plans for expansion, including potential growth of the Señorita brand, RYTHM’s ability to form partnerships and elevate brand visibility, and potential trends in the hemp-derived beverage and alcohol markets.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2024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RYTHM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IR@RYTHMinc.com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RYTHM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Media@RYTHMinc.com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RYTHM, Inc. (Formerly known as Agrify Corporation)</w:t>
      </w:r>
    </w:p>
    <w:p>
      <w:pPr>
        <w:spacing w:after="0" w:line="31" w:lineRule="exact"/>
        <w:rPr>
          <w:sz w:val="20"/>
          <w:szCs w:val="20"/>
          <w:color w:val="auto"/>
        </w:rPr>
      </w:pPr>
    </w:p>
    <w:p>
      <w:pPr>
        <w:ind w:right="1940"/>
        <w:spacing w:after="0" w:line="250" w:lineRule="auto"/>
        <w:rPr>
          <w:sz w:val="20"/>
          <w:szCs w:val="20"/>
          <w:color w:val="auto"/>
        </w:rPr>
      </w:pPr>
      <w:r>
        <w:rPr>
          <w:rFonts w:ascii="Times New Roman" w:cs="Times New Roman" w:eastAsia="Times New Roman" w:hAnsi="Times New Roman"/>
          <w:sz w:val="18"/>
          <w:szCs w:val="18"/>
          <w:b w:val="1"/>
          <w:bCs w:val="1"/>
          <w:color w:val="auto"/>
        </w:rPr>
        <w:t>Highlights from Unaudited Condensed Consolidated Statements of Operations For the Three and Nine Months Ended September, 2025 and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(Amounts Expressed in Thousands of United States Dollars, Except for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provision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continuing operations, net of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right="3260"/>
        <w:spacing w:after="0" w:line="292" w:lineRule="auto"/>
        <w:rPr>
          <w:sz w:val="20"/>
          <w:szCs w:val="20"/>
          <w:color w:val="auto"/>
        </w:rPr>
      </w:pPr>
      <w:r>
        <w:rPr>
          <w:rFonts w:ascii="Times New Roman" w:cs="Times New Roman" w:eastAsia="Times New Roman" w:hAnsi="Times New Roman"/>
          <w:sz w:val="18"/>
          <w:szCs w:val="18"/>
          <w:color w:val="auto"/>
        </w:rPr>
        <w:t>(Loss) income from discontinued operations, net of income taxes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1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080" w:type="dxa"/>
            <w:vAlign w:val="bottom"/>
            <w:gridSpan w:val="4"/>
          </w:tcPr>
          <w:p>
            <w:pPr>
              <w:jc w:val="center"/>
              <w:ind w:right="174"/>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0"/>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9"/>
                <w:szCs w:val="19"/>
                <w:color w:val="auto"/>
              </w:rPr>
            </w:pPr>
          </w:p>
        </w:tc>
        <w:tc>
          <w:tcPr>
            <w:tcW w:w="1080" w:type="dxa"/>
            <w:vAlign w:val="bottom"/>
            <w:gridSpan w:val="4"/>
          </w:tcPr>
          <w:p>
            <w:pPr>
              <w:jc w:val="center"/>
              <w:ind w:right="154"/>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i w:val="1"/>
                <w:iCs w:val="1"/>
                <w:color w:val="auto"/>
                <w:w w:val="99"/>
              </w:rPr>
              <w:t>(Unaudited)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i w:val="1"/>
                <w:iCs w:val="1"/>
                <w:color w:val="auto"/>
                <w:w w:val="99"/>
              </w:rPr>
              <w:t>(Unaudited)</w:t>
            </w: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4,043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7,480</w:t>
            </w:r>
          </w:p>
        </w:tc>
        <w:tc>
          <w:tcPr>
            <w:tcW w:w="4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23"/>
        </w:trPr>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220" w:type="dxa"/>
            <w:vAlign w:val="bottom"/>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(6,798</w:t>
            </w:r>
          </w:p>
        </w:tc>
        <w:tc>
          <w:tcPr>
            <w:tcW w:w="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00" w:type="dxa"/>
            <w:vAlign w:val="bottom"/>
          </w:tcPr>
          <w:p>
            <w:pPr>
              <w:spacing w:after="0"/>
              <w:rPr>
                <w:sz w:val="24"/>
                <w:szCs w:val="24"/>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1"/>
        </w:trPr>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(7,205)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4"/>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(10,633)</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(7,205)</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3"/>
        </w:trPr>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(7,360</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0"/>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22"/>
                <w:szCs w:val="22"/>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23"/>
        </w:trPr>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tcBorders>
              <w:top w:val="single" w:sz="8" w:color="auto"/>
            </w:tcBorders>
          </w:tcPr>
          <w:p>
            <w:pPr>
              <w:spacing w:after="0"/>
              <w:rPr>
                <w:sz w:val="19"/>
                <w:szCs w:val="19"/>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2,002,568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1,965,425</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900" w:right="339" w:bottom="1440" w:gutter="0" w:footer="0" w:header="0"/>
        </w:sectPr>
      </w:pPr>
    </w:p>
    <w:p>
      <w:pPr>
        <w:jc w:val="both"/>
        <w:ind w:left="340" w:hanging="332"/>
        <w:spacing w:after="0" w:line="266"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retroactively reflect the 1-for-15 reverse stock split on October 8, 2024. Additional information regarding reverse stock splits may be found in Note 1 – Overview, Basis of Presentation, and Significant Accounting Policies, included in the notes to the condensed consolidated financial statements.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6" w:name="page7"/>
    <w:bookmarkEnd w:id="6"/>
    <w:p>
      <w:pPr>
        <w:ind w:right="4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RYTHM, Inc. (Formerly known as Agrify Corporation) Highlights from Unaudited Condensed Consolidated Balance Sheet </w:t>
      </w:r>
      <w:r>
        <w:rPr>
          <w:rFonts w:ascii="Times New Roman" w:cs="Times New Roman" w:eastAsia="Times New Roman" w:hAnsi="Times New Roman"/>
          <w:sz w:val="18"/>
          <w:szCs w:val="18"/>
          <w:i w:val="1"/>
          <w:iCs w:val="1"/>
          <w:color w:val="auto"/>
        </w:rPr>
        <w:t>(Amounts Expressed in Thousands of United States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Current assets associated with discontinued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Non-current assets associated with discontinued operations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assets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debt,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Long-term debt,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 associated with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Warrant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debt, net of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Long-term debt, net of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equity</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right"/>
        <w:ind w:right="36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029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9" w:lineRule="exact"/>
        <w:rPr>
          <w:sz w:val="20"/>
          <w:szCs w:val="20"/>
          <w:color w:val="auto"/>
        </w:rPr>
      </w:pPr>
    </w:p>
    <w:p>
      <w:pPr>
        <w:ind w:left="620" w:hanging="615"/>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35,573</w:t>
      </w:r>
    </w:p>
    <w:p>
      <w:pPr>
        <w:spacing w:after="0" w:line="9"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8,273</w:t>
      </w:r>
    </w:p>
    <w:p>
      <w:pPr>
        <w:spacing w:after="0" w:line="9"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71,210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w:t>
      </w:r>
    </w:p>
    <w:p>
      <w:pPr>
        <w:spacing w:after="0" w:line="31" w:lineRule="exact"/>
        <w:rPr>
          <w:sz w:val="20"/>
          <w:szCs w:val="20"/>
          <w:color w:val="auto"/>
        </w:rPr>
      </w:pPr>
    </w:p>
    <w:p>
      <w:pPr>
        <w:ind w:left="540" w:hanging="535"/>
        <w:spacing w:after="0"/>
        <w:tabs>
          <w:tab w:leader="none" w:pos="5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115,154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029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50165</wp:posOffset>
            </wp:positionV>
            <wp:extent cx="7029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84" w:lineRule="exact"/>
        <w:rPr>
          <w:sz w:val="20"/>
          <w:szCs w:val="20"/>
          <w:color w:val="auto"/>
        </w:rPr>
      </w:pPr>
    </w:p>
    <w:p>
      <w:pPr>
        <w:ind w:left="700" w:hanging="695"/>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9,283</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621</w:t>
      </w:r>
    </w:p>
    <w:p>
      <w:pPr>
        <w:spacing w:after="0" w:line="9"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2,160</w:t>
      </w:r>
    </w:p>
    <w:p>
      <w:pPr>
        <w:spacing w:after="0" w:line="9"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1,368</w:t>
      </w:r>
    </w:p>
    <w:p>
      <w:pPr>
        <w:spacing w:after="0" w:line="9"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72,000</w:t>
      </w:r>
    </w:p>
    <w:p>
      <w:pPr>
        <w:spacing w:after="0" w:line="9"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w:t>
      </w:r>
    </w:p>
    <w:p>
      <w:pPr>
        <w:spacing w:after="0" w:line="9"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11,722</w:t>
      </w:r>
    </w:p>
    <w:p>
      <w:pPr>
        <w:spacing w:after="0" w:line="31" w:lineRule="exact"/>
        <w:rPr>
          <w:sz w:val="20"/>
          <w:szCs w:val="20"/>
          <w:color w:val="auto"/>
        </w:rPr>
      </w:pPr>
    </w:p>
    <w:p>
      <w:pPr>
        <w:ind w:left="540" w:hanging="535"/>
        <w:spacing w:after="0"/>
        <w:tabs>
          <w:tab w:leader="none" w:pos="5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115,154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50165</wp:posOffset>
            </wp:positionV>
            <wp:extent cx="7029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sectPr>
      <w:pgSz w:w="11900" w:h="16838" w:orient="portrait"/>
      <w:cols w:equalWidth="0" w:num="2">
        <w:col w:w="9300" w:space="720"/>
        <w:col w:w="1120"/>
      </w:cols>
      <w:pgMar w:left="320" w:top="90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2025-11-07T06:18:57Z</dcterms:created>
  <dcterms:modified xsi:type="dcterms:W3CDTF">2025-11-07T06:18:57Z</dcterms:modified>
</cp:coreProperties>
</file>