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14, 2024</w:t>
      </w:r>
    </w:p>
    <w:p>
      <w:pPr>
        <w:spacing w:after="0" w:line="16" w:lineRule="exact"/>
        <w:rPr>
          <w:sz w:val="24"/>
          <w:szCs w:val="24"/>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Registration No. 333-276724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46990</wp:posOffset>
            </wp:positionV>
            <wp:extent cx="457327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85090</wp:posOffset>
            </wp:positionV>
            <wp:extent cx="457327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3270" cy="22860"/>
                    </a:xfrm>
                    <a:prstGeom prst="rect">
                      <a:avLst/>
                    </a:prstGeom>
                    <a:noFill/>
                  </pic:spPr>
                </pic:pic>
              </a:graphicData>
            </a:graphic>
          </wp:anchor>
        </w:drawing>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jc w:val="center"/>
        <w:spacing w:after="0" w:line="236" w:lineRule="auto"/>
        <w:rPr>
          <w:sz w:val="20"/>
          <w:szCs w:val="20"/>
          <w:color w:val="auto"/>
        </w:rPr>
      </w:pPr>
      <w:r>
        <w:rPr>
          <w:rFonts w:ascii="Times New Roman" w:cs="Times New Roman" w:eastAsia="Times New Roman" w:hAnsi="Times New Roman"/>
          <w:sz w:val="16"/>
          <w:szCs w:val="16"/>
          <w:b w:val="1"/>
          <w:bCs w:val="1"/>
          <w:color w:val="auto"/>
        </w:rPr>
        <w:t>Amendment No. 2 to</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FORM S-1</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jc w:val="center"/>
        <w:spacing w:after="0"/>
        <w:rPr>
          <w:sz w:val="20"/>
          <w:szCs w:val="20"/>
          <w:color w:val="auto"/>
        </w:rPr>
      </w:pPr>
      <w:r>
        <w:rPr>
          <w:rFonts w:ascii="Times New Roman" w:cs="Times New Roman" w:eastAsia="Times New Roman" w:hAnsi="Times New Roman"/>
          <w:sz w:val="25"/>
          <w:szCs w:val="25"/>
          <w:b w:val="1"/>
          <w:bCs w:val="1"/>
          <w:color w:val="auto"/>
        </w:rPr>
        <w:t>Agrify Corporation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37" w:lineRule="exact"/>
        <w:rPr>
          <w:sz w:val="24"/>
          <w:szCs w:val="24"/>
          <w:color w:val="auto"/>
        </w:rPr>
      </w:pPr>
    </w:p>
    <w:tbl>
      <w:tblPr>
        <w:tblLayout w:type="fixed"/>
        <w:tblInd w:w="900" w:type="dxa"/>
        <w:tblCellMar>
          <w:top w:w="0" w:type="dxa"/>
          <w:left w:w="0" w:type="dxa"/>
          <w:bottom w:w="0" w:type="dxa"/>
          <w:right w:w="0" w:type="dxa"/>
        </w:tblCellMar>
      </w:tblPr>
      <w:tr>
        <w:trPr>
          <w:trHeight w:val="205"/>
        </w:trPr>
        <w:tc>
          <w:tcPr>
            <w:tcW w:w="232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24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0700</w:t>
            </w:r>
          </w:p>
        </w:tc>
        <w:tc>
          <w:tcPr>
            <w:tcW w:w="248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30-0943453</w:t>
            </w:r>
          </w:p>
        </w:tc>
        <w:tc>
          <w:tcPr>
            <w:tcW w:w="0" w:type="dxa"/>
            <w:vAlign w:val="bottom"/>
          </w:tcPr>
          <w:p>
            <w:pPr>
              <w:spacing w:after="0"/>
              <w:rPr>
                <w:sz w:val="1"/>
                <w:szCs w:val="1"/>
                <w:color w:val="auto"/>
              </w:rPr>
            </w:pPr>
          </w:p>
        </w:tc>
      </w:tr>
      <w:tr>
        <w:trPr>
          <w:trHeight w:val="74"/>
        </w:trPr>
        <w:tc>
          <w:tcPr>
            <w:tcW w:w="232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(State or other jurisdiction of</w:t>
            </w:r>
          </w:p>
        </w:tc>
        <w:tc>
          <w:tcPr>
            <w:tcW w:w="80" w:type="dxa"/>
            <w:vAlign w:val="bottom"/>
            <w:vMerge w:val="continue"/>
          </w:tcPr>
          <w:p>
            <w:pPr>
              <w:spacing w:after="0"/>
              <w:rPr>
                <w:sz w:val="13"/>
                <w:szCs w:val="13"/>
                <w:color w:val="auto"/>
              </w:rPr>
            </w:pPr>
          </w:p>
        </w:tc>
        <w:tc>
          <w:tcPr>
            <w:tcW w:w="23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(Primary Standard Industrial</w:t>
            </w:r>
          </w:p>
        </w:tc>
        <w:tc>
          <w:tcPr>
            <w:tcW w:w="80" w:type="dxa"/>
            <w:vAlign w:val="bottom"/>
            <w:vMerge w:val="continue"/>
          </w:tcPr>
          <w:p>
            <w:pPr>
              <w:spacing w:after="0"/>
              <w:rPr>
                <w:sz w:val="13"/>
                <w:szCs w:val="13"/>
                <w:color w:val="auto"/>
              </w:rPr>
            </w:pPr>
          </w:p>
        </w:tc>
        <w:tc>
          <w:tcPr>
            <w:tcW w:w="24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(I.R.S. Employer</w:t>
            </w:r>
          </w:p>
        </w:tc>
        <w:tc>
          <w:tcPr>
            <w:tcW w:w="0" w:type="dxa"/>
            <w:vAlign w:val="bottom"/>
          </w:tcPr>
          <w:p>
            <w:pPr>
              <w:spacing w:after="0"/>
              <w:rPr>
                <w:sz w:val="1"/>
                <w:szCs w:val="1"/>
                <w:color w:val="auto"/>
              </w:rPr>
            </w:pPr>
          </w:p>
        </w:tc>
      </w:tr>
      <w:tr>
        <w:trPr>
          <w:trHeight w:val="205"/>
        </w:trPr>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incorporation or organization)</w:t>
            </w:r>
          </w:p>
        </w:tc>
        <w:tc>
          <w:tcPr>
            <w:tcW w:w="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Classification Code Number)</w:t>
            </w:r>
          </w:p>
        </w:tc>
        <w:tc>
          <w:tcPr>
            <w:tcW w:w="8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2468 Industrial Row Drive, Troy, Michigan 48084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(855) 420-0020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registrant’s principal executive office)</w:t>
      </w: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Raymond Nobu Chang</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Agrify Corporation</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2468 Industrial Row Drive, Troy, Michigan 48084</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(855) 420-0020</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1" w:lineRule="exact"/>
        <w:rPr>
          <w:sz w:val="24"/>
          <w:szCs w:val="24"/>
          <w:color w:val="auto"/>
        </w:rPr>
      </w:pPr>
    </w:p>
    <w:tbl>
      <w:tblPr>
        <w:tblLayout w:type="fixed"/>
        <w:tblInd w:w="1900" w:type="dxa"/>
        <w:tblCellMar>
          <w:top w:w="0" w:type="dxa"/>
          <w:left w:w="0" w:type="dxa"/>
          <w:bottom w:w="0" w:type="dxa"/>
          <w:right w:w="0" w:type="dxa"/>
        </w:tblCellMar>
      </w:tblPr>
      <w:tr>
        <w:trPr>
          <w:trHeight w:val="117"/>
        </w:trPr>
        <w:tc>
          <w:tcPr>
            <w:tcW w:w="1580" w:type="dxa"/>
            <w:vAlign w:val="bottom"/>
          </w:tcPr>
          <w:p>
            <w:pPr>
              <w:spacing w:after="0"/>
              <w:rPr>
                <w:sz w:val="10"/>
                <w:szCs w:val="10"/>
                <w:color w:val="auto"/>
              </w:rPr>
            </w:pPr>
          </w:p>
        </w:tc>
        <w:tc>
          <w:tcPr>
            <w:tcW w:w="3980" w:type="dxa"/>
            <w:vAlign w:val="bottom"/>
          </w:tcPr>
          <w:p>
            <w:pPr>
              <w:jc w:val="center"/>
              <w:ind w:right="1849"/>
              <w:spacing w:after="0"/>
              <w:rPr>
                <w:sz w:val="20"/>
                <w:szCs w:val="20"/>
                <w:color w:val="auto"/>
              </w:rPr>
            </w:pPr>
            <w:r>
              <w:rPr>
                <w:rFonts w:ascii="Times New Roman" w:cs="Times New Roman" w:eastAsia="Times New Roman" w:hAnsi="Times New Roman"/>
                <w:sz w:val="10"/>
                <w:szCs w:val="10"/>
                <w:b w:val="1"/>
                <w:bCs w:val="1"/>
                <w:color w:val="auto"/>
                <w:w w:val="96"/>
              </w:rPr>
              <w:t>__________________________________________</w:t>
            </w:r>
          </w:p>
        </w:tc>
      </w:tr>
      <w:tr>
        <w:trPr>
          <w:trHeight w:val="207"/>
        </w:trPr>
        <w:tc>
          <w:tcPr>
            <w:tcW w:w="1580" w:type="dxa"/>
            <w:vAlign w:val="bottom"/>
          </w:tcPr>
          <w:p>
            <w:pPr>
              <w:spacing w:after="0"/>
              <w:rPr>
                <w:sz w:val="18"/>
                <w:szCs w:val="18"/>
                <w:color w:val="auto"/>
              </w:rPr>
            </w:pPr>
          </w:p>
        </w:tc>
        <w:tc>
          <w:tcPr>
            <w:tcW w:w="3980" w:type="dxa"/>
            <w:vAlign w:val="bottom"/>
          </w:tcPr>
          <w:p>
            <w:pPr>
              <w:jc w:val="center"/>
              <w:ind w:right="1829"/>
              <w:spacing w:after="0"/>
              <w:rPr>
                <w:sz w:val="20"/>
                <w:szCs w:val="20"/>
                <w:color w:val="auto"/>
              </w:rPr>
            </w:pPr>
            <w:r>
              <w:rPr>
                <w:rFonts w:ascii="Times New Roman" w:cs="Times New Roman" w:eastAsia="Times New Roman" w:hAnsi="Times New Roman"/>
                <w:sz w:val="16"/>
                <w:szCs w:val="16"/>
                <w:b w:val="1"/>
                <w:bCs w:val="1"/>
                <w:i w:val="1"/>
                <w:iCs w:val="1"/>
                <w:color w:val="auto"/>
                <w:w w:val="97"/>
              </w:rPr>
              <w:t>With copies to:</w:t>
            </w:r>
          </w:p>
        </w:tc>
      </w:tr>
      <w:tr>
        <w:trPr>
          <w:trHeight w:val="311"/>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Frank A. Segall, Esq.</w:t>
            </w:r>
          </w:p>
        </w:tc>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6"/>
                <w:szCs w:val="16"/>
                <w:b w:val="1"/>
                <w:bCs w:val="1"/>
                <w:color w:val="auto"/>
                <w:w w:val="97"/>
              </w:rPr>
              <w:t>Joseph M. Lucosky, Esq.</w:t>
            </w:r>
          </w:p>
        </w:tc>
      </w:tr>
      <w:tr>
        <w:trPr>
          <w:trHeight w:val="180"/>
        </w:trPr>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Robert A. Petitt, Esq.</w:t>
            </w:r>
          </w:p>
        </w:tc>
        <w:tc>
          <w:tcPr>
            <w:tcW w:w="3980" w:type="dxa"/>
            <w:vAlign w:val="bottom"/>
          </w:tcPr>
          <w:p>
            <w:pPr>
              <w:jc w:val="center"/>
              <w:ind w:left="1609"/>
              <w:spacing w:after="0" w:line="180" w:lineRule="exact"/>
              <w:rPr>
                <w:sz w:val="20"/>
                <w:szCs w:val="20"/>
                <w:color w:val="auto"/>
              </w:rPr>
            </w:pPr>
            <w:r>
              <w:rPr>
                <w:rFonts w:ascii="Times New Roman" w:cs="Times New Roman" w:eastAsia="Times New Roman" w:hAnsi="Times New Roman"/>
                <w:sz w:val="16"/>
                <w:szCs w:val="16"/>
                <w:b w:val="1"/>
                <w:bCs w:val="1"/>
                <w:color w:val="auto"/>
                <w:w w:val="97"/>
              </w:rPr>
              <w:t>Steven A. Lipstein, Esq.</w:t>
            </w:r>
          </w:p>
        </w:tc>
      </w:tr>
      <w:tr>
        <w:trPr>
          <w:trHeight w:val="180"/>
        </w:trPr>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Burns &amp; Levinson LLP</w:t>
            </w:r>
          </w:p>
        </w:tc>
        <w:tc>
          <w:tcPr>
            <w:tcW w:w="3980" w:type="dxa"/>
            <w:vAlign w:val="bottom"/>
          </w:tcPr>
          <w:p>
            <w:pPr>
              <w:jc w:val="center"/>
              <w:ind w:left="1609"/>
              <w:spacing w:after="0" w:line="180" w:lineRule="exact"/>
              <w:rPr>
                <w:sz w:val="20"/>
                <w:szCs w:val="20"/>
                <w:color w:val="auto"/>
              </w:rPr>
            </w:pPr>
            <w:r>
              <w:rPr>
                <w:rFonts w:ascii="Times New Roman" w:cs="Times New Roman" w:eastAsia="Times New Roman" w:hAnsi="Times New Roman"/>
                <w:sz w:val="16"/>
                <w:szCs w:val="16"/>
                <w:b w:val="1"/>
                <w:bCs w:val="1"/>
                <w:color w:val="auto"/>
                <w:w w:val="97"/>
              </w:rPr>
              <w:t>Lucosky Brookman LLP</w:t>
            </w:r>
          </w:p>
        </w:tc>
      </w:tr>
      <w:tr>
        <w:trPr>
          <w:trHeight w:val="180"/>
        </w:trPr>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125 High Street</w:t>
            </w:r>
          </w:p>
        </w:tc>
        <w:tc>
          <w:tcPr>
            <w:tcW w:w="3980" w:type="dxa"/>
            <w:vAlign w:val="bottom"/>
          </w:tcPr>
          <w:p>
            <w:pPr>
              <w:jc w:val="center"/>
              <w:ind w:left="1609"/>
              <w:spacing w:after="0" w:line="180" w:lineRule="exact"/>
              <w:rPr>
                <w:sz w:val="20"/>
                <w:szCs w:val="20"/>
                <w:color w:val="auto"/>
              </w:rPr>
            </w:pPr>
            <w:r>
              <w:rPr>
                <w:rFonts w:ascii="Times New Roman" w:cs="Times New Roman" w:eastAsia="Times New Roman" w:hAnsi="Times New Roman"/>
                <w:sz w:val="16"/>
                <w:szCs w:val="16"/>
                <w:b w:val="1"/>
                <w:bCs w:val="1"/>
                <w:color w:val="auto"/>
                <w:w w:val="97"/>
              </w:rPr>
              <w:t>101 Wood Avenue South, 5</w:t>
            </w:r>
            <w:r>
              <w:rPr>
                <w:rFonts w:ascii="Times New Roman" w:cs="Times New Roman" w:eastAsia="Times New Roman" w:hAnsi="Times New Roman"/>
                <w:sz w:val="19"/>
                <w:szCs w:val="19"/>
                <w:b w:val="1"/>
                <w:bCs w:val="1"/>
                <w:color w:val="auto"/>
                <w:w w:val="97"/>
                <w:vertAlign w:val="superscript"/>
              </w:rPr>
              <w:t>th</w:t>
            </w:r>
            <w:r>
              <w:rPr>
                <w:rFonts w:ascii="Times New Roman" w:cs="Times New Roman" w:eastAsia="Times New Roman" w:hAnsi="Times New Roman"/>
                <w:sz w:val="16"/>
                <w:szCs w:val="16"/>
                <w:b w:val="1"/>
                <w:bCs w:val="1"/>
                <w:color w:val="auto"/>
                <w:w w:val="97"/>
              </w:rPr>
              <w:t xml:space="preserve"> Floor</w:t>
            </w:r>
          </w:p>
        </w:tc>
      </w:tr>
      <w:tr>
        <w:trPr>
          <w:trHeight w:val="180"/>
        </w:trPr>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Boston, MA 02110</w:t>
            </w:r>
          </w:p>
        </w:tc>
        <w:tc>
          <w:tcPr>
            <w:tcW w:w="3980" w:type="dxa"/>
            <w:vAlign w:val="bottom"/>
          </w:tcPr>
          <w:p>
            <w:pPr>
              <w:jc w:val="center"/>
              <w:ind w:left="1589"/>
              <w:spacing w:after="0" w:line="180" w:lineRule="exact"/>
              <w:rPr>
                <w:sz w:val="20"/>
                <w:szCs w:val="20"/>
                <w:color w:val="auto"/>
              </w:rPr>
            </w:pPr>
            <w:r>
              <w:rPr>
                <w:rFonts w:ascii="Times New Roman" w:cs="Times New Roman" w:eastAsia="Times New Roman" w:hAnsi="Times New Roman"/>
                <w:sz w:val="16"/>
                <w:szCs w:val="16"/>
                <w:b w:val="1"/>
                <w:bCs w:val="1"/>
                <w:color w:val="auto"/>
                <w:w w:val="96"/>
              </w:rPr>
              <w:t>Woodbridge, NJ 08830</w:t>
            </w:r>
          </w:p>
        </w:tc>
      </w:tr>
      <w:tr>
        <w:trPr>
          <w:trHeight w:val="217"/>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(617) 345-3000</w:t>
            </w:r>
          </w:p>
        </w:tc>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6"/>
                <w:szCs w:val="16"/>
                <w:b w:val="1"/>
                <w:bCs w:val="1"/>
                <w:color w:val="auto"/>
                <w:w w:val="97"/>
              </w:rPr>
              <w:t>(732) 395-4400</w:t>
            </w:r>
          </w:p>
        </w:tc>
      </w:tr>
      <w:tr>
        <w:trPr>
          <w:trHeight w:val="306"/>
        </w:trPr>
        <w:tc>
          <w:tcPr>
            <w:tcW w:w="1580" w:type="dxa"/>
            <w:vAlign w:val="bottom"/>
          </w:tcPr>
          <w:p>
            <w:pPr>
              <w:spacing w:after="0"/>
              <w:rPr>
                <w:sz w:val="24"/>
                <w:szCs w:val="24"/>
                <w:color w:val="auto"/>
              </w:rPr>
            </w:pPr>
          </w:p>
        </w:tc>
        <w:tc>
          <w:tcPr>
            <w:tcW w:w="3980" w:type="dxa"/>
            <w:vAlign w:val="bottom"/>
          </w:tcPr>
          <w:p>
            <w:pPr>
              <w:jc w:val="center"/>
              <w:ind w:right="1849"/>
              <w:spacing w:after="0"/>
              <w:rPr>
                <w:sz w:val="20"/>
                <w:szCs w:val="20"/>
                <w:color w:val="auto"/>
              </w:rPr>
            </w:pPr>
            <w:r>
              <w:rPr>
                <w:rFonts w:ascii="Times New Roman" w:cs="Times New Roman" w:eastAsia="Times New Roman" w:hAnsi="Times New Roman"/>
                <w:sz w:val="10"/>
                <w:szCs w:val="10"/>
                <w:b w:val="1"/>
                <w:bCs w:val="1"/>
                <w:color w:val="auto"/>
                <w:w w:val="96"/>
              </w:rPr>
              <w:t>__________________________________________</w:t>
            </w:r>
          </w:p>
        </w:tc>
      </w:tr>
    </w:tbl>
    <w:p>
      <w:pPr>
        <w:spacing w:after="0" w:line="42" w:lineRule="exact"/>
        <w:rPr>
          <w:sz w:val="24"/>
          <w:szCs w:val="24"/>
          <w:color w:val="auto"/>
        </w:rPr>
      </w:pPr>
    </w:p>
    <w:p>
      <w:pPr>
        <w:jc w:val="both"/>
        <w:ind w:left="900" w:right="920" w:firstLine="384"/>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this registration statement.</w:t>
      </w:r>
    </w:p>
    <w:p>
      <w:pPr>
        <w:spacing w:after="0" w:line="1" w:lineRule="exact"/>
        <w:rPr>
          <w:sz w:val="24"/>
          <w:szCs w:val="24"/>
          <w:color w:val="auto"/>
        </w:rPr>
      </w:pPr>
    </w:p>
    <w:p>
      <w:pPr>
        <w:jc w:val="both"/>
        <w:ind w:left="900" w:right="920" w:firstLine="384"/>
        <w:spacing w:after="0" w:line="188"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jc w:val="both"/>
        <w:ind w:left="900" w:right="920" w:firstLine="384"/>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20" w:firstLine="384"/>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4" w:lineRule="exact"/>
        <w:rPr>
          <w:sz w:val="24"/>
          <w:szCs w:val="24"/>
          <w:color w:val="auto"/>
        </w:rPr>
      </w:pPr>
    </w:p>
    <w:tbl>
      <w:tblPr>
        <w:tblLayout w:type="fixed"/>
        <w:tblInd w:w="1200" w:type="dxa"/>
        <w:tblCellMar>
          <w:top w:w="0" w:type="dxa"/>
          <w:left w:w="0" w:type="dxa"/>
          <w:bottom w:w="0" w:type="dxa"/>
          <w:right w:w="0" w:type="dxa"/>
        </w:tblCellMar>
      </w:tblPr>
      <w:tr>
        <w:trPr>
          <w:trHeight w:val="24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0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0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4"/>
        </w:trPr>
        <w:tc>
          <w:tcPr>
            <w:tcW w:w="1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bl>
    <w:p>
      <w:pPr>
        <w:spacing w:after="0" w:line="210" w:lineRule="exact"/>
        <w:rPr>
          <w:sz w:val="24"/>
          <w:szCs w:val="24"/>
          <w:color w:val="auto"/>
        </w:rPr>
      </w:pPr>
    </w:p>
    <w:p>
      <w:pPr>
        <w:jc w:val="both"/>
        <w:ind w:left="900" w:right="920" w:firstLine="38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900" w:right="900" w:firstLine="384"/>
        <w:spacing w:after="0" w:line="25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66675</wp:posOffset>
            </wp:positionV>
            <wp:extent cx="457327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3270" cy="2286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302895</wp:posOffset>
            </wp:positionV>
            <wp:extent cx="4573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903" w:right="1440" w:bottom="1440" w:gutter="0" w:footer="0" w:header="0"/>
        </w:sectPr>
      </w:pPr>
    </w:p>
    <w:bookmarkStart w:id="1" w:name="page2"/>
    <w:bookmarkEnd w:id="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4" w:lineRule="exact"/>
        <w:rPr>
          <w:sz w:val="20"/>
          <w:szCs w:val="20"/>
          <w:color w:val="auto"/>
        </w:rPr>
      </w:pPr>
    </w:p>
    <w:p>
      <w:pPr>
        <w:jc w:val="both"/>
        <w:ind w:left="900" w:right="920"/>
        <w:spacing w:after="0" w:line="23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93980</wp:posOffset>
            </wp:positionV>
            <wp:extent cx="4573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147" w:lineRule="exact"/>
        <w:rPr>
          <w:sz w:val="20"/>
          <w:szCs w:val="20"/>
          <w:color w:val="auto"/>
        </w:rPr>
      </w:pPr>
    </w:p>
    <w:p>
      <w:pPr>
        <w:ind w:left="900"/>
        <w:spacing w:after="0"/>
        <w:tabs>
          <w:tab w:leader="none" w:pos="3920" w:val="left"/>
        </w:tabs>
        <w:rPr>
          <w:sz w:val="20"/>
          <w:szCs w:val="20"/>
          <w:color w:val="auto"/>
        </w:rPr>
      </w:pPr>
      <w:r>
        <w:rPr>
          <w:rFonts w:ascii="Times New Roman" w:cs="Times New Roman" w:eastAsia="Times New Roman" w:hAnsi="Times New Roman"/>
          <w:sz w:val="17"/>
          <w:szCs w:val="17"/>
          <w:b w:val="1"/>
          <w:bCs w:val="1"/>
          <w:color w:val="D2232A"/>
        </w:rPr>
        <w:t>PROSPECTUS</w:t>
      </w:r>
      <w:r>
        <w:rPr>
          <w:sz w:val="20"/>
          <w:szCs w:val="20"/>
          <w:color w:val="auto"/>
        </w:rPr>
        <w:tab/>
      </w:r>
      <w:r>
        <w:rPr>
          <w:rFonts w:ascii="Times New Roman" w:cs="Times New Roman" w:eastAsia="Times New Roman" w:hAnsi="Times New Roman"/>
          <w:sz w:val="15"/>
          <w:szCs w:val="15"/>
          <w:b w:val="1"/>
          <w:bCs w:val="1"/>
          <w:color w:val="D2232A"/>
        </w:rPr>
        <w:t>SUBJECT TO COMPLETION, DATED FEBRUARY 14,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2,288,330 Shares of Common Stock and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-170180</wp:posOffset>
            </wp:positionV>
            <wp:extent cx="4573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Funded Warrants to Purchase 2,288,330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836295</wp:posOffset>
            </wp:positionV>
            <wp:extent cx="4573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74295</wp:posOffset>
            </wp:positionV>
            <wp:extent cx="73914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91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00" w:right="920"/>
        <w:spacing w:after="0" w:line="262" w:lineRule="auto"/>
        <w:rPr>
          <w:sz w:val="20"/>
          <w:szCs w:val="20"/>
          <w:color w:val="auto"/>
        </w:rPr>
      </w:pPr>
      <w:r>
        <w:rPr>
          <w:rFonts w:ascii="Times New Roman" w:cs="Times New Roman" w:eastAsia="Times New Roman" w:hAnsi="Times New Roman"/>
          <w:sz w:val="14"/>
          <w:szCs w:val="14"/>
          <w:color w:val="auto"/>
        </w:rPr>
        <w:t>We are offering up to 2,288,330 shares of common stock, including shares of common stock underlying Pre-Funded Warrants that we may issue as described below, at an assumed purchase price of $0.6555 per share of common stock pursuant to this prospectus.</w:t>
      </w:r>
    </w:p>
    <w:p>
      <w:pPr>
        <w:spacing w:after="0" w:line="1" w:lineRule="exact"/>
        <w:rPr>
          <w:sz w:val="20"/>
          <w:szCs w:val="20"/>
          <w:color w:val="auto"/>
        </w:rPr>
      </w:pPr>
    </w:p>
    <w:p>
      <w:pPr>
        <w:jc w:val="both"/>
        <w:ind w:left="900" w:right="920"/>
        <w:spacing w:after="0" w:line="257" w:lineRule="auto"/>
        <w:rPr>
          <w:sz w:val="20"/>
          <w:szCs w:val="20"/>
          <w:color w:val="auto"/>
        </w:rPr>
      </w:pPr>
      <w:r>
        <w:rPr>
          <w:rFonts w:ascii="Times New Roman" w:cs="Times New Roman" w:eastAsia="Times New Roman" w:hAnsi="Times New Roman"/>
          <w:sz w:val="14"/>
          <w:szCs w:val="14"/>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in lieu of shares of common stock. The assumed offering price for each Pre-Funded Warrant is $0.6545.</w:t>
      </w:r>
    </w:p>
    <w:p>
      <w:pPr>
        <w:spacing w:after="0" w:line="2" w:lineRule="exact"/>
        <w:rPr>
          <w:sz w:val="20"/>
          <w:szCs w:val="20"/>
          <w:color w:val="auto"/>
        </w:rPr>
      </w:pPr>
    </w:p>
    <w:p>
      <w:pPr>
        <w:ind w:left="900" w:right="940"/>
        <w:spacing w:after="0" w:line="268" w:lineRule="auto"/>
        <w:rPr>
          <w:sz w:val="20"/>
          <w:szCs w:val="20"/>
          <w:color w:val="auto"/>
        </w:rPr>
      </w:pPr>
      <w:r>
        <w:rPr>
          <w:rFonts w:ascii="Times New Roman" w:cs="Times New Roman" w:eastAsia="Times New Roman" w:hAnsi="Times New Roman"/>
          <w:sz w:val="14"/>
          <w:szCs w:val="14"/>
          <w:color w:val="auto"/>
        </w:rPr>
        <w:t>The Pre-Funded Warrants will not have an expiration date and will be exercisable immediately. The exercise price for the Pre-Funded Warrants will be equal to $0.001.</w:t>
      </w:r>
    </w:p>
    <w:p>
      <w:pPr>
        <w:spacing w:after="0" w:line="1" w:lineRule="exact"/>
        <w:rPr>
          <w:sz w:val="20"/>
          <w:szCs w:val="20"/>
          <w:color w:val="auto"/>
        </w:rPr>
      </w:pPr>
    </w:p>
    <w:p>
      <w:pPr>
        <w:jc w:val="both"/>
        <w:ind w:left="900" w:right="920"/>
        <w:spacing w:after="0" w:line="268" w:lineRule="auto"/>
        <w:rPr>
          <w:sz w:val="20"/>
          <w:szCs w:val="20"/>
          <w:color w:val="auto"/>
        </w:rPr>
      </w:pPr>
      <w:r>
        <w:rPr>
          <w:rFonts w:ascii="Times New Roman" w:cs="Times New Roman" w:eastAsia="Times New Roman" w:hAnsi="Times New Roman"/>
          <w:sz w:val="14"/>
          <w:szCs w:val="14"/>
          <w:color w:val="auto"/>
        </w:rPr>
        <w:t>We have also registered for public sale 45,767 shares of common stock, issuable to the placement agent upon the exercise of a warrant to be issued to the placement agent.</w:t>
      </w:r>
    </w:p>
    <w:p>
      <w:pPr>
        <w:spacing w:after="0" w:line="1" w:lineRule="exact"/>
        <w:rPr>
          <w:sz w:val="20"/>
          <w:szCs w:val="20"/>
          <w:color w:val="auto"/>
        </w:rPr>
      </w:pPr>
    </w:p>
    <w:p>
      <w:pPr>
        <w:jc w:val="both"/>
        <w:ind w:left="900" w:right="900"/>
        <w:spacing w:after="0" w:line="255" w:lineRule="auto"/>
        <w:rPr>
          <w:sz w:val="20"/>
          <w:szCs w:val="20"/>
          <w:color w:val="auto"/>
        </w:rPr>
      </w:pPr>
      <w:r>
        <w:rPr>
          <w:rFonts w:ascii="Times New Roman" w:cs="Times New Roman" w:eastAsia="Times New Roman" w:hAnsi="Times New Roman"/>
          <w:sz w:val="14"/>
          <w:szCs w:val="14"/>
          <w:color w:val="auto"/>
        </w:rPr>
        <w:t>The price of our common stock on The Nasdaq Capital Market during recent periods will only be one of many factors in determining the final public offering price. Other factors to be considered in determining the final public offering price include our history, our prospects, the industry in which we operate, our past and present operating results, the general condition of the securities markets at the time of this offering and discussions between the placement agent and prospective investors. The recent market price used throughout this prospectus may not be indicative of the final public offering price. All share and warrant numbers included in this prospectus are based upon an assumed public offering price per share of common stock of $0.6555, the closing price of our common stock on The Nasdaq Capital Market on February 12, 2024.</w:t>
      </w:r>
    </w:p>
    <w:p>
      <w:pPr>
        <w:spacing w:after="0" w:line="3" w:lineRule="exact"/>
        <w:rPr>
          <w:sz w:val="20"/>
          <w:szCs w:val="20"/>
          <w:color w:val="auto"/>
        </w:rPr>
      </w:pPr>
    </w:p>
    <w:p>
      <w:pPr>
        <w:jc w:val="both"/>
        <w:ind w:left="900" w:right="940"/>
        <w:spacing w:after="0" w:line="268"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“AGFY.” On February 13, 2024, the last reported sale price of our common stock on The Nasdaq Capital Market was $0.6005 per share.</w:t>
      </w:r>
    </w:p>
    <w:p>
      <w:pPr>
        <w:spacing w:after="0" w:line="1" w:lineRule="exact"/>
        <w:rPr>
          <w:sz w:val="20"/>
          <w:szCs w:val="20"/>
          <w:color w:val="auto"/>
        </w:rPr>
      </w:pPr>
    </w:p>
    <w:p>
      <w:pPr>
        <w:jc w:val="both"/>
        <w:ind w:left="900" w:right="920"/>
        <w:spacing w:after="0" w:line="259" w:lineRule="auto"/>
        <w:rPr>
          <w:sz w:val="20"/>
          <w:szCs w:val="20"/>
          <w:color w:val="auto"/>
        </w:rPr>
      </w:pPr>
      <w:r>
        <w:rPr>
          <w:rFonts w:ascii="Times New Roman" w:cs="Times New Roman" w:eastAsia="Times New Roman" w:hAnsi="Times New Roman"/>
          <w:sz w:val="14"/>
          <w:szCs w:val="14"/>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pacing w:after="0" w:line="1" w:lineRule="exact"/>
        <w:rPr>
          <w:sz w:val="20"/>
          <w:szCs w:val="20"/>
          <w:color w:val="auto"/>
        </w:rPr>
      </w:pPr>
    </w:p>
    <w:p>
      <w:pPr>
        <w:jc w:val="both"/>
        <w:ind w:left="900" w:right="920"/>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 w:lineRule="exact"/>
        <w:rPr>
          <w:sz w:val="20"/>
          <w:szCs w:val="20"/>
          <w:color w:val="auto"/>
        </w:rPr>
      </w:pPr>
    </w:p>
    <w:p>
      <w:pPr>
        <w:jc w:val="both"/>
        <w:ind w:left="900" w:right="940"/>
        <w:spacing w:after="0" w:line="265" w:lineRule="auto"/>
        <w:rPr>
          <w:sz w:val="20"/>
          <w:szCs w:val="20"/>
          <w:color w:val="auto"/>
        </w:rPr>
      </w:pPr>
      <w:r>
        <w:rPr>
          <w:rFonts w:ascii="Times New Roman" w:cs="Times New Roman" w:eastAsia="Times New Roman" w:hAnsi="Times New Roman"/>
          <w:sz w:val="14"/>
          <w:szCs w:val="14"/>
          <w:color w:val="auto"/>
        </w:rPr>
        <w:t>You should read this prospectus, together with additional information described under the heading “Where You Can Find More Information,” carefully before you invest in our common stock.</w:t>
      </w:r>
    </w:p>
    <w:p>
      <w:pPr>
        <w:spacing w:after="0" w:line="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 w:lineRule="exact"/>
        <w:rPr>
          <w:sz w:val="20"/>
          <w:szCs w:val="20"/>
          <w:color w:val="auto"/>
        </w:rPr>
      </w:pPr>
    </w:p>
    <w:p>
      <w:pPr>
        <w:jc w:val="both"/>
        <w:ind w:left="900" w:right="900"/>
        <w:spacing w:after="0" w:line="259"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1" w:lineRule="exact"/>
        <w:rPr>
          <w:sz w:val="20"/>
          <w:szCs w:val="20"/>
          <w:color w:val="auto"/>
        </w:rPr>
      </w:pPr>
    </w:p>
    <w:p>
      <w:pPr>
        <w:jc w:val="both"/>
        <w:ind w:left="900" w:right="920"/>
        <w:spacing w:after="0" w:line="261"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2480" w:type="dxa"/>
            <w:vAlign w:val="bottom"/>
            <w:gridSpan w:val="2"/>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96"/>
        </w:trPr>
        <w:tc>
          <w:tcPr>
            <w:tcW w:w="2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2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6"/>
                <w:szCs w:val="16"/>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24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price</w:t>
            </w:r>
          </w:p>
        </w:tc>
        <w:tc>
          <w:tcPr>
            <w:tcW w:w="24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w:t>
            </w:r>
            <w:r>
              <w:rPr>
                <w:rFonts w:ascii="Times New Roman" w:cs="Times New Roman" w:eastAsia="Times New Roman" w:hAnsi="Times New Roman"/>
                <w:sz w:val="19"/>
                <w:szCs w:val="19"/>
                <w:color w:val="auto"/>
                <w:vertAlign w:val="superscript"/>
              </w:rPr>
              <w:t>(1)</w:t>
            </w:r>
          </w:p>
        </w:tc>
        <w:tc>
          <w:tcPr>
            <w:tcW w:w="248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22"/>
                <w:szCs w:val="22"/>
                <w:color w:val="auto"/>
              </w:rPr>
            </w:pPr>
          </w:p>
        </w:tc>
        <w:tc>
          <w:tcPr>
            <w:tcW w:w="108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Agrify</w:t>
            </w:r>
            <w:r>
              <w:rPr>
                <w:rFonts w:ascii="Times New Roman" w:cs="Times New Roman" w:eastAsia="Times New Roman" w:hAnsi="Times New Roman"/>
                <w:sz w:val="19"/>
                <w:szCs w:val="19"/>
                <w:color w:val="auto"/>
                <w:vertAlign w:val="superscript"/>
              </w:rPr>
              <w:t>(2)</w:t>
            </w:r>
          </w:p>
        </w:tc>
        <w:tc>
          <w:tcPr>
            <w:tcW w:w="24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52" w:lineRule="exact"/>
        <w:rPr>
          <w:sz w:val="20"/>
          <w:szCs w:val="20"/>
          <w:color w:val="auto"/>
        </w:rPr>
      </w:pPr>
    </w:p>
    <w:p>
      <w:pPr>
        <w:jc w:val="both"/>
        <w:ind w:left="1300" w:right="900" w:hanging="394"/>
        <w:spacing w:after="0" w:line="256" w:lineRule="auto"/>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placement agent fees, Agrify has agreed to reimburse the placement agent for certain expenses. In addition, we will issue to the placement agent a warrant to purchase up to one percent (1%) of the aggregate number of shares of common stock (or Pre-Funded Warrants) issued in this offering. See “Plan of Distribution” beginning on page 115 of this prospectus for additional information regarding total placement agent compensation.</w:t>
      </w:r>
    </w:p>
    <w:p>
      <w:pPr>
        <w:spacing w:after="0" w:line="1"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give effect to any exercise of the Pre-Funded Warrants being issued in this offering.</w:t>
      </w:r>
    </w:p>
    <w:p>
      <w:pPr>
        <w:spacing w:after="0" w:line="15" w:lineRule="exact"/>
        <w:rPr>
          <w:sz w:val="20"/>
          <w:szCs w:val="20"/>
          <w:color w:val="auto"/>
        </w:rPr>
      </w:pPr>
    </w:p>
    <w:p>
      <w:pPr>
        <w:jc w:val="both"/>
        <w:ind w:left="900" w:right="900"/>
        <w:spacing w:after="0" w:line="259" w:lineRule="auto"/>
        <w:rPr>
          <w:sz w:val="20"/>
          <w:szCs w:val="20"/>
          <w:color w:val="auto"/>
        </w:rPr>
      </w:pPr>
      <w:r>
        <w:rPr>
          <w:rFonts w:ascii="Times New Roman" w:cs="Times New Roman" w:eastAsia="Times New Roman" w:hAnsi="Times New Roman"/>
          <w:sz w:val="14"/>
          <w:szCs w:val="14"/>
          <w:color w:val="auto"/>
        </w:rPr>
        <w:t>We have retained Alexander Capital, L.P. as our exclusive placement agent to use its reasonable best efforts to solicit offers to purchase the securities in this offering. The placement agent has no obligation to buy any of the securities from us or to arrange for the purchase or sale of any specific number or dollar amount of the securities. Because there is no minimum offering amount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16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8" w:lineRule="exact"/>
        <w:rPr>
          <w:sz w:val="20"/>
          <w:szCs w:val="20"/>
          <w:color w:val="auto"/>
        </w:rPr>
      </w:pPr>
    </w:p>
    <w:tbl>
      <w:tblPr>
        <w:tblLayout w:type="fixed"/>
        <w:tblInd w:w="900" w:type="dxa"/>
        <w:tblCellMar>
          <w:top w:w="0" w:type="dxa"/>
          <w:left w:w="0" w:type="dxa"/>
          <w:bottom w:w="0" w:type="dxa"/>
          <w:right w:w="0" w:type="dxa"/>
        </w:tblCellMar>
      </w:tblP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We expect to deliver the securities to investors on or about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2024.</w:t>
            </w:r>
          </w:p>
        </w:tc>
      </w:tr>
    </w:tbl>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ALEXANDER CAPITAL, L.P.</w:t>
      </w:r>
    </w:p>
    <w:p>
      <w:pPr>
        <w:spacing w:after="0" w:line="52" w:lineRule="exact"/>
        <w:rPr>
          <w:sz w:val="20"/>
          <w:szCs w:val="20"/>
          <w:color w:val="auto"/>
        </w:rPr>
      </w:pPr>
    </w:p>
    <w:tbl>
      <w:tblPr>
        <w:tblLayout w:type="fixed"/>
        <w:tblInd w:w="900" w:type="dxa"/>
        <w:tblCellMar>
          <w:top w:w="0" w:type="dxa"/>
          <w:left w:w="0" w:type="dxa"/>
          <w:bottom w:w="0" w:type="dxa"/>
          <w:right w:w="0" w:type="dxa"/>
        </w:tblCellMar>
      </w:tblPr>
      <w:tr>
        <w:trPr>
          <w:trHeight w:val="236"/>
        </w:trPr>
        <w:tc>
          <w:tcPr>
            <w:tcW w:w="4440" w:type="dxa"/>
            <w:vAlign w:val="bottom"/>
          </w:tcPr>
          <w:p>
            <w:pPr>
              <w:ind w:left="2080"/>
              <w:spacing w:after="0"/>
              <w:rPr>
                <w:sz w:val="20"/>
                <w:szCs w:val="20"/>
                <w:color w:val="auto"/>
              </w:rPr>
            </w:pPr>
            <w:r>
              <w:rPr>
                <w:rFonts w:ascii="Times New Roman" w:cs="Times New Roman" w:eastAsia="Times New Roman" w:hAnsi="Times New Roman"/>
                <w:sz w:val="18"/>
                <w:szCs w:val="18"/>
                <w:i w:val="1"/>
                <w:iCs w:val="1"/>
                <w:color w:val="auto"/>
              </w:rPr>
              <w:t>The date of this prospectus is</w:t>
            </w:r>
          </w:p>
        </w:tc>
        <w:tc>
          <w:tcPr>
            <w:tcW w:w="2760" w:type="dxa"/>
            <w:vAlign w:val="bottom"/>
          </w:tcPr>
          <w:p>
            <w:pPr>
              <w:jc w:val="right"/>
              <w:ind w:right="1970"/>
              <w:spacing w:after="0"/>
              <w:rPr>
                <w:sz w:val="20"/>
                <w:szCs w:val="20"/>
                <w:color w:val="auto"/>
              </w:rPr>
            </w:pPr>
            <w:r>
              <w:rPr>
                <w:rFonts w:ascii="Times New Roman" w:cs="Times New Roman" w:eastAsia="Times New Roman" w:hAnsi="Times New Roman"/>
                <w:sz w:val="18"/>
                <w:szCs w:val="18"/>
                <w:i w:val="1"/>
                <w:iCs w:val="1"/>
                <w:color w:val="auto"/>
              </w:rPr>
              <w:t>, 2024</w:t>
            </w:r>
          </w:p>
        </w:tc>
      </w:tr>
      <w:tr>
        <w:trPr>
          <w:trHeight w:val="330"/>
        </w:trPr>
        <w:tc>
          <w:tcPr>
            <w:tcW w:w="4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 w:name="page3"/>
    <w:bookmarkEnd w:id="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8"/>
        </w:trPr>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Borders>
              <w:top w:val="single" w:sz="8" w:color="CCEEFF"/>
              <w:bottom w:val="single" w:sz="8" w:color="0000EE"/>
            </w:tcBorders>
            <w:gridSpan w:val="12"/>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ABOUT THIS PROSPECTUS</w:t>
              </w:r>
            </w:hyperlink>
          </w:p>
        </w:tc>
        <w:tc>
          <w:tcPr>
            <w:tcW w:w="4540" w:type="dxa"/>
            <w:vAlign w:val="bottom"/>
            <w:tcBorders>
              <w:top w:val="single" w:sz="8" w:color="CCEEFF"/>
              <w:bottom w:val="single" w:sz="8" w:color="CCEEFF"/>
            </w:tcBorders>
            <w:gridSpan w:val="14"/>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ii</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PROSPECTUS SUMMARY</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THE OFFERING</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SPECIAL NOTE REGARDING FORWARD-LOOKING STATEMENTS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9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FOR COMMON STOCK</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DIVIDEND POLICY</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CORPORATE GOVERNANCE</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EXECUTIVE COMPENSATION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DIRECTOR COMPENSATION</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SECURITY OWNERSHIP OF CERTAIN BENEFICIAL OWNERS AND MANAGEMENT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INDUSTRY AND OTHER DATA</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USE OF PROCEEDS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DILUTION</w:t>
              </w:r>
            </w:hyperlink>
          </w:p>
        </w:tc>
        <w:tc>
          <w:tcPr>
            <w:tcW w:w="5720" w:type="dxa"/>
            <w:vAlign w:val="bottom"/>
            <w:tcBorders>
              <w:bottom w:val="single" w:sz="8" w:color="CCEEFF"/>
            </w:tcBorders>
            <w:gridSpan w:val="2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BUSINESS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460" w:type="dxa"/>
            <w:vAlign w:val="bottom"/>
            <w:gridSpan w:val="26"/>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w:t>
              </w:r>
            </w:hyperlink>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5660" w:type="dxa"/>
            <w:vAlign w:val="bottom"/>
            <w:tcBorders>
              <w:top w:val="single" w:sz="8" w:color="0000EE"/>
            </w:tcBorders>
            <w:gridSpan w:val="23"/>
            <w:shd w:val="clear" w:color="auto" w:fill="CCEEFF"/>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RESULTS OF OPERATIONS</w:t>
              </w:r>
            </w:hyperlink>
          </w:p>
        </w:tc>
        <w:tc>
          <w:tcPr>
            <w:tcW w:w="660" w:type="dxa"/>
            <w:vAlign w:val="bottom"/>
            <w:tcBorders>
              <w:top w:val="single" w:sz="8" w:color="CCEEFF"/>
            </w:tcBorders>
            <w:gridSpan w:val="2"/>
            <w:shd w:val="clear" w:color="auto" w:fill="CCEEFF"/>
          </w:tcPr>
          <w:p>
            <w:pPr>
              <w:spacing w:after="0"/>
              <w:rPr>
                <w:sz w:val="13"/>
                <w:szCs w:val="13"/>
                <w:color w:val="auto"/>
              </w:rPr>
            </w:pPr>
          </w:p>
        </w:tc>
        <w:tc>
          <w:tcPr>
            <w:tcW w:w="7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CERTAIN RELATIONSHIPS AND RELATED-PARTY TRANSACTIONS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DESCRIPTION OF SECURITIES</w:t>
              </w:r>
            </w:hyperlink>
          </w:p>
        </w:tc>
        <w:tc>
          <w:tcPr>
            <w:tcW w:w="4300" w:type="dxa"/>
            <w:vAlign w:val="bottom"/>
            <w:tcBorders>
              <w:bottom w:val="single" w:sz="8" w:color="CCEEFF"/>
            </w:tcBorders>
            <w:gridSpan w:val="10"/>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MATERIAL U.S. FEDERAL INCOME TAX CONSIDERATIONS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PLAN OF DISTRIBUTION</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LEGAL MATTERS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EXPERTS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WHERE YOU CAN FIND MORE INFORMATION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INDEX TO FINANCIAL STATEMENTS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have not, and the placement agent has not, authorized anyone to provide you with information that is different from that contained in this prospectus or in any free writing prospectus we may authorize to be delivered or made available to you. When you make a decision about whether to invest in our securities, you should not rely upon any information other than the information contained in or incorporated by reference in this prospectus or in any free writing prospectus that we may authorize to be delivered or made available to you. Neither the delivery of this prospectus nor the sale of our securities means that the information contained in this prospectus or any free writing prospectus is correct after the date of this prospectus or such free writing prospectus. This prospectus is not an offer to sell or the solicitation of an offer to buy our securities in any circumstances under which the offer or solicitation is unlawful.</w:t>
      </w:r>
    </w:p>
    <w:p>
      <w:pPr>
        <w:spacing w:after="0" w:line="9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For investors outside the United States: We have not, and the placement agent has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0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0" w:lineRule="exact"/>
        <w:rPr>
          <w:sz w:val="20"/>
          <w:szCs w:val="20"/>
          <w:color w:val="auto"/>
        </w:rPr>
      </w:pPr>
    </w:p>
    <w:p>
      <w:pPr>
        <w:jc w:val="both"/>
        <w:ind w:left="900" w:right="920" w:firstLine="384"/>
        <w:spacing w:after="0" w:line="232" w:lineRule="auto"/>
        <w:rPr>
          <w:sz w:val="20"/>
          <w:szCs w:val="20"/>
          <w:color w:val="auto"/>
        </w:rPr>
      </w:pPr>
      <w:r>
        <w:rPr>
          <w:rFonts w:ascii="Times New Roman" w:cs="Times New Roman" w:eastAsia="Times New Roman" w:hAnsi="Times New Roman"/>
          <w:sz w:val="16"/>
          <w:szCs w:val="16"/>
          <w:color w:val="auto"/>
        </w:rPr>
        <w:t>We have proprietary rights to trademarks used in this prospectus, including Agrify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6"/>
          <w:szCs w:val="16"/>
          <w:color w:val="auto"/>
        </w:rPr>
        <w:t>.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48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3270" cy="648652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16"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8" w:lineRule="exact"/>
        <w:rPr>
          <w:sz w:val="20"/>
          <w:szCs w:val="20"/>
          <w:color w:val="auto"/>
        </w:rPr>
      </w:pPr>
    </w:p>
    <w:p>
      <w:pPr>
        <w:jc w:val="both"/>
        <w:ind w:left="980" w:right="980" w:firstLine="384"/>
        <w:spacing w:after="0" w:line="280" w:lineRule="auto"/>
        <w:rPr>
          <w:sz w:val="20"/>
          <w:szCs w:val="20"/>
          <w:color w:val="auto"/>
        </w:rPr>
      </w:pPr>
      <w:r>
        <w:rPr>
          <w:rFonts w:ascii="Times New Roman" w:cs="Times New Roman" w:eastAsia="Times New Roman" w:hAnsi="Times New Roman"/>
          <w:sz w:val="14"/>
          <w:szCs w:val="14"/>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 processing, and lab equipment, empowers producers to maximize the quantity and quality of extract required for premium concentrates.</w:t>
      </w:r>
    </w:p>
    <w:p>
      <w:pPr>
        <w:spacing w:after="0" w:line="73" w:lineRule="exact"/>
        <w:rPr>
          <w:sz w:val="20"/>
          <w:szCs w:val="20"/>
          <w:color w:val="auto"/>
        </w:rPr>
      </w:pPr>
    </w:p>
    <w:p>
      <w:pPr>
        <w:jc w:val="both"/>
        <w:ind w:left="980" w:right="960" w:firstLine="384"/>
        <w:spacing w:after="0" w:line="236" w:lineRule="auto"/>
        <w:rPr>
          <w:sz w:val="20"/>
          <w:szCs w:val="20"/>
          <w:color w:val="auto"/>
        </w:rPr>
      </w:pPr>
      <w:r>
        <w:rPr>
          <w:rFonts w:ascii="Times New Roman" w:cs="Times New Roman" w:eastAsia="Times New Roman" w:hAnsi="Times New Roman"/>
          <w:sz w:val="16"/>
          <w:szCs w:val="16"/>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04"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 -positioned to capture market share and create a dominant market position in the indoor cannabis sector. We currently have two primary areas of business focus:</w:t>
      </w:r>
    </w:p>
    <w:p>
      <w:pPr>
        <w:spacing w:after="0" w:line="101" w:lineRule="exact"/>
        <w:rPr>
          <w:sz w:val="20"/>
          <w:szCs w:val="20"/>
          <w:color w:val="auto"/>
        </w:rPr>
      </w:pPr>
    </w:p>
    <w:p>
      <w:pPr>
        <w:ind w:left="1740" w:hanging="377"/>
        <w:spacing w:after="0"/>
        <w:tabs>
          <w:tab w:leader="none" w:pos="1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Cultivation Solutions; and</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Extraction Solutions.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Cultivation Solutions</w:t>
      </w:r>
    </w:p>
    <w:p>
      <w:pPr>
        <w:spacing w:after="0" w:line="12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 w:name="page6"/>
    <w:bookmarkEnd w:id="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707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3270" cy="6707505"/>
                    </a:xfrm>
                    <a:prstGeom prst="rect">
                      <a:avLst/>
                    </a:prstGeom>
                    <a:noFill/>
                  </pic:spPr>
                </pic:pic>
              </a:graphicData>
            </a:graphic>
          </wp:anchor>
        </w:drawing>
      </w: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Agrify Vertical Farming Unit</w:t>
      </w:r>
    </w:p>
    <w:p>
      <w:pPr>
        <w:spacing w:after="0" w:line="120" w:lineRule="exact"/>
        <w:rPr>
          <w:sz w:val="20"/>
          <w:szCs w:val="20"/>
          <w:color w:val="auto"/>
        </w:rPr>
      </w:pPr>
    </w:p>
    <w:p>
      <w:pPr>
        <w:jc w:val="both"/>
        <w:ind w:left="980" w:right="940" w:firstLine="384"/>
        <w:spacing w:after="0" w:line="241" w:lineRule="auto"/>
        <w:rPr>
          <w:sz w:val="20"/>
          <w:szCs w:val="20"/>
          <w:color w:val="auto"/>
        </w:rPr>
      </w:pPr>
      <w:r>
        <w:rPr>
          <w:rFonts w:ascii="Times New Roman" w:cs="Times New Roman" w:eastAsia="Times New Roman" w:hAnsi="Times New Roman"/>
          <w:sz w:val="16"/>
          <w:szCs w:val="16"/>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93" w:lineRule="exact"/>
        <w:rPr>
          <w:sz w:val="20"/>
          <w:szCs w:val="20"/>
          <w:color w:val="auto"/>
        </w:rPr>
      </w:pPr>
    </w:p>
    <w:p>
      <w:pPr>
        <w:jc w:val="both"/>
        <w:ind w:left="1740" w:right="980" w:hanging="377"/>
        <w:spacing w:after="0" w:line="244"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Superior Floor Space Utilization</w:t>
      </w:r>
      <w:r>
        <w:rPr>
          <w:rFonts w:ascii="Times New Roman" w:cs="Times New Roman" w:eastAsia="Times New Roman" w:hAnsi="Times New Roman"/>
          <w:sz w:val="16"/>
          <w:szCs w:val="16"/>
          <w:color w:val="auto"/>
        </w:rPr>
        <w:t>. Each VFU provides two tiers of growing canopy. Our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9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Precise Environmental Controls</w:t>
      </w:r>
      <w:r>
        <w:rPr>
          <w:rFonts w:ascii="Times New Roman" w:cs="Times New Roman" w:eastAsia="Times New Roman" w:hAnsi="Times New Roman"/>
          <w:sz w:val="14"/>
          <w:szCs w:val="14"/>
          <w:color w:val="auto"/>
        </w:rPr>
        <w:t>. Each VFU has an Environmental Control Unit that is integrated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59" w:lineRule="exact"/>
        <w:rPr>
          <w:rFonts w:ascii="Times New Roman" w:cs="Times New Roman" w:eastAsia="Times New Roman" w:hAnsi="Times New Roman"/>
          <w:sz w:val="14"/>
          <w:szCs w:val="14"/>
          <w:color w:val="auto"/>
        </w:rPr>
      </w:pPr>
    </w:p>
    <w:p>
      <w:pPr>
        <w:jc w:val="both"/>
        <w:ind w:left="1740" w:right="980" w:hanging="377"/>
        <w:spacing w:after="0" w:line="249"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Modular Scalability</w:t>
      </w:r>
      <w:r>
        <w:rPr>
          <w:rFonts w:ascii="Times New Roman" w:cs="Times New Roman" w:eastAsia="Times New Roman" w:hAnsi="Times New Roman"/>
          <w:sz w:val="16"/>
          <w:szCs w:val="16"/>
          <w:color w:val="auto"/>
        </w:rPr>
        <w:t>. The VFU is designed to stack up to three units tall, sextupling production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volume over the same traditional footprint. Each unit is designed to easily integrate with a mezzanine catwalk system providing unparalleled access to all levels of cultivation.</w:t>
      </w:r>
    </w:p>
    <w:p>
      <w:pPr>
        <w:spacing w:after="0" w:line="87"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Worker Safety &amp; Efficiency</w:t>
      </w:r>
      <w:r>
        <w:rPr>
          <w:rFonts w:ascii="Times New Roman" w:cs="Times New Roman" w:eastAsia="Times New Roman" w:hAnsi="Times New Roman"/>
          <w:sz w:val="16"/>
          <w:szCs w:val="16"/>
          <w:color w:val="auto"/>
        </w:rPr>
        <w:t>. The VFU’s design was thoughtful and intentional; from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ergonomic 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2" w:lineRule="exact"/>
        <w:rPr>
          <w:rFonts w:ascii="Times New Roman" w:cs="Times New Roman" w:eastAsia="Times New Roman" w:hAnsi="Times New Roman"/>
          <w:sz w:val="16"/>
          <w:szCs w:val="16"/>
          <w:color w:val="auto"/>
        </w:rPr>
      </w:pPr>
    </w:p>
    <w:p>
      <w:pPr>
        <w:jc w:val="both"/>
        <w:ind w:left="1740" w:right="960" w:hanging="377"/>
        <w:spacing w:after="0" w:line="239"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Biosecurity and Risk Mitigation</w:t>
      </w:r>
      <w:r>
        <w:rPr>
          <w:rFonts w:ascii="Times New Roman" w:cs="Times New Roman" w:eastAsia="Times New Roman" w:hAnsi="Times New Roman"/>
          <w:sz w:val="16"/>
          <w:szCs w:val="16"/>
          <w:color w:val="auto"/>
        </w:rPr>
        <w:t>. The VFU has a motorized curtain on both sides of the unit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Agrify Insights™</w:t>
      </w:r>
    </w:p>
    <w:p>
      <w:pPr>
        <w:spacing w:after="0" w:line="118" w:lineRule="exact"/>
        <w:rPr>
          <w:sz w:val="20"/>
          <w:szCs w:val="20"/>
          <w:color w:val="auto"/>
        </w:rPr>
      </w:pPr>
    </w:p>
    <w:p>
      <w:pPr>
        <w:jc w:val="both"/>
        <w:ind w:left="980" w:right="960" w:firstLine="384"/>
        <w:spacing w:after="0" w:line="241" w:lineRule="auto"/>
        <w:rPr>
          <w:sz w:val="20"/>
          <w:szCs w:val="20"/>
          <w:color w:val="auto"/>
        </w:rPr>
      </w:pPr>
      <w:r>
        <w:rPr>
          <w:rFonts w:ascii="Times New Roman" w:cs="Times New Roman" w:eastAsia="Times New Roman" w:hAnsi="Times New Roman"/>
          <w:sz w:val="16"/>
          <w:szCs w:val="16"/>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$ 1,500 to $2,400 per VFU sold annually. Agrify Insights™ license agreements are generally for a multi-year term, with an annual auto-renewal.</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Agrify Insights™ is a SaaS-based solution that interfaces with our proprietary hardware to provide customers with real- 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Agrify Insights™ is focused on optimizing four key components:</w:t>
      </w:r>
    </w:p>
    <w:p>
      <w:pPr>
        <w:spacing w:after="0" w:line="116" w:lineRule="exact"/>
        <w:rPr>
          <w:sz w:val="20"/>
          <w:szCs w:val="20"/>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plant level;</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VFU unit level;</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facility level; and</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business level.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677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3270" cy="6677025"/>
                    </a:xfrm>
                    <a:prstGeom prst="rect">
                      <a:avLst/>
                    </a:prstGeom>
                    <a:noFill/>
                  </pic:spPr>
                </pic:pic>
              </a:graphicData>
            </a:graphic>
          </wp:anchor>
        </w:drawing>
      </w:r>
    </w:p>
    <w:p>
      <w:pPr>
        <w:spacing w:after="0" w:line="264" w:lineRule="exact"/>
        <w:rPr>
          <w:sz w:val="20"/>
          <w:szCs w:val="20"/>
          <w:color w:val="auto"/>
        </w:rPr>
      </w:pPr>
    </w:p>
    <w:p>
      <w:pPr>
        <w:jc w:val="both"/>
        <w:ind w:left="980" w:right="1000" w:firstLine="384"/>
        <w:spacing w:after="0" w:line="243" w:lineRule="auto"/>
        <w:rPr>
          <w:sz w:val="20"/>
          <w:szCs w:val="20"/>
          <w:color w:val="auto"/>
        </w:rPr>
      </w:pPr>
      <w:r>
        <w:rPr>
          <w:rFonts w:ascii="Times New Roman" w:cs="Times New Roman" w:eastAsia="Times New Roman" w:hAnsi="Times New Roman"/>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6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Plant-Level Optimization</w:t>
      </w:r>
    </w:p>
    <w:p>
      <w:pPr>
        <w:spacing w:after="0" w:line="118" w:lineRule="exact"/>
        <w:rPr>
          <w:sz w:val="20"/>
          <w:szCs w:val="20"/>
          <w:color w:val="auto"/>
        </w:rPr>
      </w:pPr>
    </w:p>
    <w:p>
      <w:pPr>
        <w:jc w:val="both"/>
        <w:ind w:left="980" w:right="980" w:firstLine="384"/>
        <w:spacing w:after="0" w:line="274" w:lineRule="auto"/>
        <w:rPr>
          <w:sz w:val="20"/>
          <w:szCs w:val="20"/>
          <w:color w:val="auto"/>
        </w:rPr>
      </w:pPr>
      <w:r>
        <w:rPr>
          <w:rFonts w:ascii="Times New Roman" w:cs="Times New Roman" w:eastAsia="Times New Roman" w:hAnsi="Times New Roman"/>
          <w:sz w:val="14"/>
          <w:szCs w:val="14"/>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259"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Individual VFU Level Optimization</w:t>
      </w:r>
    </w:p>
    <w:p>
      <w:pPr>
        <w:spacing w:after="0" w:line="118" w:lineRule="exact"/>
        <w:rPr>
          <w:sz w:val="20"/>
          <w:szCs w:val="20"/>
          <w:color w:val="auto"/>
        </w:rPr>
      </w:pPr>
    </w:p>
    <w:p>
      <w:pPr>
        <w:jc w:val="both"/>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Our VFU hardware provides cultivation environmental control within the grow chamber. This hardware and its component valves, motors and sensors are directed and controlled by Agrify Insights™.</w:t>
      </w:r>
    </w:p>
    <w:p>
      <w:pPr>
        <w:spacing w:after="0" w:line="79" w:lineRule="exact"/>
        <w:rPr>
          <w:sz w:val="20"/>
          <w:szCs w:val="20"/>
          <w:color w:val="auto"/>
        </w:rPr>
      </w:pPr>
    </w:p>
    <w:p>
      <w:pPr>
        <w:jc w:val="both"/>
        <w:ind w:left="1740" w:right="980" w:hanging="377"/>
        <w:spacing w:after="0" w:line="249" w:lineRule="auto"/>
        <w:tabs>
          <w:tab w:leader="none" w:pos="1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Monitor and Control Agrify Hardware</w:t>
      </w:r>
      <w:r>
        <w:rPr>
          <w:rFonts w:ascii="Times New Roman" w:cs="Times New Roman" w:eastAsia="Times New Roman" w:hAnsi="Times New Roman"/>
          <w:sz w:val="16"/>
          <w:szCs w:val="16"/>
          <w:color w:val="auto"/>
        </w:rPr>
        <w:t>. Agrify Insights™ can either automatically or manually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our hardware. For example, the water-chilled fan coil can keep the temperature in a range accurate to 1.5 degrees Fahrenheit.</w:t>
      </w:r>
    </w:p>
    <w:p>
      <w:pPr>
        <w:spacing w:after="0" w:line="87" w:lineRule="exact"/>
        <w:rPr>
          <w:rFonts w:ascii="Times New Roman" w:cs="Times New Roman" w:eastAsia="Times New Roman" w:hAnsi="Times New Roman"/>
          <w:sz w:val="16"/>
          <w:szCs w:val="16"/>
          <w:color w:val="auto"/>
        </w:rPr>
      </w:pPr>
    </w:p>
    <w:p>
      <w:pPr>
        <w:jc w:val="both"/>
        <w:ind w:left="1740" w:right="980" w:hanging="377"/>
        <w:spacing w:after="0" w:line="238" w:lineRule="auto"/>
        <w:tabs>
          <w:tab w:leader="none" w:pos="1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Cultivation Environmental Control</w:t>
      </w:r>
      <w:r>
        <w:rPr>
          <w:rFonts w:ascii="Times New Roman" w:cs="Times New Roman" w:eastAsia="Times New Roman" w:hAnsi="Times New Roman"/>
          <w:sz w:val="16"/>
          <w:szCs w:val="16"/>
          <w:color w:val="auto"/>
        </w:rPr>
        <w:t>. Using Agrify Insights™, users can view environmental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charts 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7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Facility Level Optimization</w:t>
      </w:r>
    </w:p>
    <w:p>
      <w:pPr>
        <w:spacing w:after="0" w:line="118" w:lineRule="exact"/>
        <w:rPr>
          <w:sz w:val="20"/>
          <w:szCs w:val="20"/>
          <w:color w:val="auto"/>
        </w:rPr>
      </w:pPr>
    </w:p>
    <w:p>
      <w:pPr>
        <w:jc w:val="both"/>
        <w:ind w:left="980" w:right="1000" w:firstLine="384"/>
        <w:spacing w:after="0" w:line="247" w:lineRule="auto"/>
        <w:rPr>
          <w:sz w:val="20"/>
          <w:szCs w:val="20"/>
          <w:color w:val="auto"/>
        </w:rPr>
      </w:pPr>
      <w:r>
        <w:rPr>
          <w:rFonts w:ascii="Times New Roman" w:cs="Times New Roman" w:eastAsia="Times New Roman" w:hAnsi="Times New Roman"/>
          <w:sz w:val="16"/>
          <w:szCs w:val="16"/>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88" w:lineRule="exact"/>
        <w:rPr>
          <w:sz w:val="20"/>
          <w:szCs w:val="20"/>
          <w:color w:val="auto"/>
        </w:rPr>
      </w:pPr>
    </w:p>
    <w:p>
      <w:pPr>
        <w:jc w:val="both"/>
        <w:ind w:left="1740" w:right="980" w:hanging="377"/>
        <w:spacing w:after="0"/>
        <w:tabs>
          <w:tab w:leader="none" w:pos="174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Production Planning</w:t>
      </w:r>
      <w:r>
        <w:rPr>
          <w:rFonts w:ascii="Times New Roman" w:cs="Times New Roman" w:eastAsia="Times New Roman" w:hAnsi="Times New Roman"/>
          <w:sz w:val="16"/>
          <w:szCs w:val="16"/>
          <w:color w:val="auto"/>
        </w:rPr>
        <w:t>. The production planning feature is designed to maximize a facility’s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98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3270" cy="6981825"/>
                    </a:xfrm>
                    <a:prstGeom prst="rect">
                      <a:avLst/>
                    </a:prstGeom>
                    <a:noFill/>
                  </pic:spPr>
                </pic:pic>
              </a:graphicData>
            </a:graphic>
          </wp:anchor>
        </w:drawing>
      </w:r>
    </w:p>
    <w:p>
      <w:pPr>
        <w:spacing w:after="0" w:line="260" w:lineRule="exact"/>
        <w:rPr>
          <w:sz w:val="20"/>
          <w:szCs w:val="20"/>
          <w:color w:val="auto"/>
        </w:rPr>
      </w:pPr>
    </w:p>
    <w:p>
      <w:pPr>
        <w:jc w:val="both"/>
        <w:ind w:left="1740" w:right="980" w:hanging="377"/>
        <w:spacing w:after="0" w:line="244" w:lineRule="auto"/>
        <w:tabs>
          <w:tab w:leader="none" w:pos="1740"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Workforce Management</w:t>
      </w:r>
      <w:r>
        <w:rPr>
          <w:rFonts w:ascii="Times New Roman" w:cs="Times New Roman" w:eastAsia="Times New Roman" w:hAnsi="Times New Roman"/>
          <w:sz w:val="16"/>
          <w:szCs w:val="16"/>
          <w:color w:val="auto"/>
        </w:rPr>
        <w:t>. Agrify Insights™ includes a workforce planning feature to assign tasks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staff. These tasks can be automatically assigned based on the user role or their knowledge, skills, and abilities. The calendar displays the estimated time required to complete plant-touching tasks on any given day.</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740" w:right="980" w:hanging="377"/>
        <w:spacing w:after="0" w:line="244"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Automatic Notification System</w:t>
      </w:r>
      <w:r>
        <w:rPr>
          <w:rFonts w:ascii="Times New Roman" w:cs="Times New Roman" w:eastAsia="Times New Roman" w:hAnsi="Times New Roman"/>
          <w:sz w:val="16"/>
          <w:szCs w:val="16"/>
          <w:color w:val="auto"/>
        </w:rPr>
        <w:t>. Users can select to subscribe to anomalous events, and users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92" w:lineRule="exact"/>
        <w:rPr>
          <w:rFonts w:ascii="Times New Roman" w:cs="Times New Roman" w:eastAsia="Times New Roman" w:hAnsi="Times New Roman"/>
          <w:sz w:val="16"/>
          <w:szCs w:val="16"/>
          <w:color w:val="auto"/>
        </w:rPr>
      </w:pPr>
    </w:p>
    <w:p>
      <w:pPr>
        <w:ind w:left="1740" w:right="980" w:hanging="377"/>
        <w:spacing w:after="0" w:line="264"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Preventative Maintenance</w:t>
      </w:r>
      <w:r>
        <w:rPr>
          <w:rFonts w:ascii="Times New Roman" w:cs="Times New Roman" w:eastAsia="Times New Roman" w:hAnsi="Times New Roman"/>
          <w:sz w:val="16"/>
          <w:szCs w:val="16"/>
          <w:color w:val="auto"/>
        </w:rPr>
        <w:t>. Our equipment and facility preventative maintenance schedules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tasks are contained, tracked, and monitored within Agrify Insights™.</w:t>
      </w:r>
    </w:p>
    <w:p>
      <w:pPr>
        <w:spacing w:after="0" w:line="75" w:lineRule="exact"/>
        <w:rPr>
          <w:rFonts w:ascii="Times New Roman" w:cs="Times New Roman" w:eastAsia="Times New Roman" w:hAnsi="Times New Roman"/>
          <w:sz w:val="16"/>
          <w:szCs w:val="16"/>
          <w:color w:val="auto"/>
        </w:rPr>
      </w:pPr>
    </w:p>
    <w:p>
      <w:pPr>
        <w:jc w:val="both"/>
        <w:ind w:left="1740" w:right="1000" w:hanging="377"/>
        <w:spacing w:after="0" w:line="249"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Facility Infrastructure Controls</w:t>
      </w:r>
      <w:r>
        <w:rPr>
          <w:rFonts w:ascii="Times New Roman" w:cs="Times New Roman" w:eastAsia="Times New Roman" w:hAnsi="Times New Roman"/>
          <w:sz w:val="16"/>
          <w:szCs w:val="16"/>
          <w:color w:val="auto"/>
        </w:rPr>
        <w:t>. Agrify Insights™ controls the irrigation on a facility level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connects with the water chilled HVAC system and ambient lighting system, providing our customers with a central piece of software for facility management.</w:t>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Optimization at the Business Level</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88" w:lineRule="exact"/>
        <w:rPr>
          <w:sz w:val="20"/>
          <w:szCs w:val="20"/>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Consumables Procurement Integration</w:t>
      </w:r>
      <w:r>
        <w:rPr>
          <w:rFonts w:ascii="Times New Roman" w:cs="Times New Roman" w:eastAsia="Times New Roman" w:hAnsi="Times New Roman"/>
          <w:sz w:val="16"/>
          <w:szCs w:val="16"/>
          <w:color w:val="auto"/>
        </w:rPr>
        <w:t>. Each task can also be assigned a set of consumables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whose inventory will be reduced when the task is started. This feature can help customers manage supply levels and can automatically create purchase orders so that they never run out of required supplies.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Online Standard Operating Procedures (“SOPs’’) and Safety Datasheets</w:t>
      </w:r>
      <w:r>
        <w:rPr>
          <w:rFonts w:ascii="Times New Roman" w:cs="Times New Roman" w:eastAsia="Times New Roman" w:hAnsi="Times New Roman"/>
          <w:sz w:val="16"/>
          <w:szCs w:val="16"/>
          <w:color w:val="auto"/>
        </w:rPr>
        <w:t>. Agrify Insights™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hosts digital copies of our included Standard Operating Procedures and datasheets, or users can upload their own via our content management system, ensuring that the most recent version of SOPs and forms are available to users.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Roles-Based Dashboards</w:t>
      </w:r>
      <w:r>
        <w:rPr>
          <w:rFonts w:ascii="Times New Roman" w:cs="Times New Roman" w:eastAsia="Times New Roman" w:hAnsi="Times New Roman"/>
          <w:sz w:val="16"/>
          <w:szCs w:val="16"/>
          <w:color w:val="auto"/>
        </w:rPr>
        <w:t>. Ability to obtain access to information specifically suited to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96" w:lineRule="exact"/>
        <w:rPr>
          <w:rFonts w:ascii="Times New Roman" w:cs="Times New Roman" w:eastAsia="Times New Roman" w:hAnsi="Times New Roman"/>
          <w:sz w:val="16"/>
          <w:szCs w:val="16"/>
          <w:color w:val="auto"/>
        </w:rPr>
      </w:pPr>
    </w:p>
    <w:p>
      <w:pPr>
        <w:jc w:val="both"/>
        <w:ind w:left="1740" w:right="100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Data Collection</w:t>
      </w:r>
      <w:r>
        <w:rPr>
          <w:rFonts w:ascii="Times New Roman" w:cs="Times New Roman" w:eastAsia="Times New Roman" w:hAnsi="Times New Roman"/>
          <w:sz w:val="16"/>
          <w:szCs w:val="16"/>
          <w:color w:val="auto"/>
        </w:rPr>
        <w:t>. Agrify Insights™ is a centralized repository for all data relating to the cultivation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aspects of our clients’ business, including research and development testing data, and the ability to capture and compare test results. By doing so, Agrify Insights™ becomes a customers’ cultivation statement of record.</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Financial Simulator/What If Scenarios</w:t>
      </w:r>
      <w:r>
        <w:rPr>
          <w:rFonts w:ascii="Times New Roman" w:cs="Times New Roman" w:eastAsia="Times New Roman" w:hAnsi="Times New Roman"/>
          <w:sz w:val="16"/>
          <w:szCs w:val="16"/>
          <w:color w:val="auto"/>
        </w:rPr>
        <w:t>. Our operating expenses (“OpEx”) calculator enables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users to evaluate impacts to profitability by changing hundreds of attributes including, but not limited to, changes to costs in labor, electric, water, CO, and growing media as well as potential volatility in yields and pricing.</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9"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Regulatory Reporting Integration. </w:t>
      </w:r>
      <w:r>
        <w:rPr>
          <w:rFonts w:ascii="Times New Roman" w:cs="Times New Roman" w:eastAsia="Times New Roman" w:hAnsi="Times New Roman"/>
          <w:sz w:val="16"/>
          <w:szCs w:val="16"/>
          <w:color w:val="auto"/>
        </w:rPr>
        <w:t>We have integrated our software with Metrc, a leading seed-to-harvest compliance management and tracking solution, which will enable our customers to handle most regulatory reporting directly through Agrify Insights™.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Cultivation Deployment Options</w:t>
      </w:r>
    </w:p>
    <w:p>
      <w:pPr>
        <w:spacing w:after="0" w:line="1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Rapid Deployment Pack (“RDP”) Program</w:t>
      </w:r>
    </w:p>
    <w:p>
      <w:pPr>
        <w:spacing w:after="0" w:line="118"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974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3270" cy="6974205"/>
                    </a:xfrm>
                    <a:prstGeom prst="rect">
                      <a:avLst/>
                    </a:prstGeom>
                    <a:noFill/>
                  </pic:spPr>
                </pic:pic>
              </a:graphicData>
            </a:graphic>
          </wp:anchor>
        </w:drawing>
      </w:r>
    </w:p>
    <w:p>
      <w:pPr>
        <w:spacing w:after="0" w:line="264" w:lineRule="exact"/>
        <w:rPr>
          <w:sz w:val="20"/>
          <w:szCs w:val="20"/>
          <w:color w:val="auto"/>
        </w:rPr>
      </w:pPr>
    </w:p>
    <w:p>
      <w:pPr>
        <w:jc w:val="both"/>
        <w:ind w:left="980" w:right="980"/>
        <w:spacing w:after="0" w:line="247" w:lineRule="auto"/>
        <w:rPr>
          <w:sz w:val="20"/>
          <w:szCs w:val="20"/>
          <w:color w:val="auto"/>
        </w:rPr>
      </w:pPr>
      <w:r>
        <w:rPr>
          <w:rFonts w:ascii="Times New Roman" w:cs="Times New Roman" w:eastAsia="Times New Roman" w:hAnsi="Times New Roman"/>
          <w:sz w:val="16"/>
          <w:szCs w:val="16"/>
          <w:color w:val="auto"/>
        </w:rPr>
        <w:t>provide customers who have properly equipped facilities with best- in-class cultivation capabilities in potentially as little as 90 days. Once installed, the modular nature of the RDPs allows for seamless expansion opportunities, enabling customers the flexibility to grow and scale.</w:t>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TTK Solution</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While we do not intend to enter into any new TTK Solutions for the foreseeable future, we have deployed this program with certain key customers. We also believe that our data -driven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01"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04"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We believe Agrify’s proprietary TTK Solution is the key to resolving many of the challenges our customers encounter. We have set ourselves apart by bringing to market a horticulturist expertise, bundled solution of state-of-the- art equipment, software and services that is turn-key, end-to-end, fully integrated and optimized for precision growing and extraction. Agrify’s TTK Solution provides customers with the following bundled equipment and services:</w:t>
      </w:r>
    </w:p>
    <w:p>
      <w:pPr>
        <w:spacing w:after="0" w:line="97" w:lineRule="exact"/>
        <w:rPr>
          <w:sz w:val="20"/>
          <w:szCs w:val="20"/>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design, lab design, and engineering services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and lab build-out project management</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VFUs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data driven Agrify Insights™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extraction products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Expert horticulturist training and ongoing support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Extraction Solutions</w:t>
      </w:r>
    </w:p>
    <w:p>
      <w:pPr>
        <w:spacing w:after="0" w:line="12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01"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Cannabis represents a potential cornucopia of medicinal and pharmaceutical advancement. Cannabis produces over 550 different phytochemicals, over 120 of which are cannabinoids like tetrahydrocannabinol (“THC”) and cannabidiol (“CBD”) .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 w:name="page10"/>
    <w:bookmarkEnd w:id="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433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3270" cy="6433185"/>
                    </a:xfrm>
                    <a:prstGeom prst="rect">
                      <a:avLst/>
                    </a:prstGeom>
                    <a:noFill/>
                  </pic:spPr>
                </pic:pic>
              </a:graphicData>
            </a:graphic>
          </wp:anchor>
        </w:drawing>
      </w:r>
    </w:p>
    <w:p>
      <w:pPr>
        <w:spacing w:after="0" w:line="264"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9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97"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Our extraction division now offers cutting-edge technologies and end-to -end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Cannabis Market Opportunity</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2"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$ 47.2 billion in 2023, with annual growth rate of 12.69%, with a projected global market volume of $76.1 billion by 2027.</w:t>
      </w:r>
    </w:p>
    <w:p>
      <w:pPr>
        <w:spacing w:after="0" w:line="101" w:lineRule="exact"/>
        <w:rPr>
          <w:sz w:val="20"/>
          <w:szCs w:val="20"/>
          <w:color w:val="auto"/>
        </w:rPr>
      </w:pPr>
    </w:p>
    <w:p>
      <w:pPr>
        <w:jc w:val="both"/>
        <w:ind w:left="980" w:right="960" w:firstLine="384"/>
        <w:spacing w:after="0" w:line="243" w:lineRule="auto"/>
        <w:rPr>
          <w:sz w:val="20"/>
          <w:szCs w:val="20"/>
          <w:color w:val="auto"/>
        </w:rPr>
      </w:pPr>
      <w:r>
        <w:rPr>
          <w:rFonts w:ascii="Times New Roman" w:cs="Times New Roman" w:eastAsia="Times New Roman" w:hAnsi="Times New Roman"/>
          <w:sz w:val="16"/>
          <w:szCs w:val="16"/>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 w:name="page11"/>
    <w:bookmarkEnd w:id="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783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3270" cy="6783705"/>
                    </a:xfrm>
                    <a:prstGeom prst="rect">
                      <a:avLst/>
                    </a:prstGeom>
                    <a:noFill/>
                  </pic:spPr>
                </pic:pic>
              </a:graphicData>
            </a:graphic>
          </wp:anchor>
        </w:drawing>
      </w:r>
    </w:p>
    <w:p>
      <w:pPr>
        <w:spacing w:after="0" w:line="3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18" w:lineRule="exact"/>
        <w:rPr>
          <w:sz w:val="20"/>
          <w:szCs w:val="20"/>
          <w:color w:val="auto"/>
        </w:rPr>
      </w:pPr>
    </w:p>
    <w:p>
      <w:pPr>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We believe our business has, and our future success will be driven by, the following competitive strengths:</w:t>
      </w:r>
    </w:p>
    <w:p>
      <w:pPr>
        <w:spacing w:after="0" w:line="79" w:lineRule="exact"/>
        <w:rPr>
          <w:sz w:val="20"/>
          <w:szCs w:val="20"/>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Innovative Technology in an Attractive Growing Industry</w:t>
      </w:r>
      <w:r>
        <w:rPr>
          <w:rFonts w:ascii="Times New Roman" w:cs="Times New Roman" w:eastAsia="Times New Roman" w:hAnsi="Times New Roman"/>
          <w:sz w:val="16"/>
          <w:szCs w:val="16"/>
          <w:color w:val="auto"/>
        </w:rPr>
        <w:t>. Our innovative solutions are aimed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94" w:lineRule="exact"/>
        <w:rPr>
          <w:rFonts w:ascii="Times New Roman" w:cs="Times New Roman" w:eastAsia="Times New Roman" w:hAnsi="Times New Roman"/>
          <w:sz w:val="16"/>
          <w:szCs w:val="16"/>
          <w:color w:val="auto"/>
        </w:rPr>
      </w:pPr>
    </w:p>
    <w:p>
      <w:pPr>
        <w:jc w:val="both"/>
        <w:ind w:left="1740" w:right="980" w:hanging="377"/>
        <w:spacing w:after="0" w:line="30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Integrated Proprietary Components</w:t>
      </w:r>
      <w:r>
        <w:rPr>
          <w:rFonts w:ascii="Times New Roman" w:cs="Times New Roman" w:eastAsia="Times New Roman" w:hAnsi="Times New Roman"/>
          <w:sz w:val="14"/>
          <w:szCs w:val="14"/>
          <w:color w:val="auto"/>
        </w:rPr>
        <w:t>. We design and create our own hardware, software,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SOPs from the ground up rather than buying piecemeal from third parties. We take a systems-engineered integrated approach that we believe has inherent advantages over other, ad-hoc systems.</w:t>
      </w:r>
    </w:p>
    <w:p>
      <w:pPr>
        <w:spacing w:after="0" w:line="52" w:lineRule="exact"/>
        <w:rPr>
          <w:rFonts w:ascii="Times New Roman" w:cs="Times New Roman" w:eastAsia="Times New Roman" w:hAnsi="Times New Roman"/>
          <w:sz w:val="14"/>
          <w:szCs w:val="14"/>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Emphasis on Precision and Consistency Through Our Proprietary Grow Solutions</w:t>
      </w:r>
      <w:r>
        <w:rPr>
          <w:rFonts w:ascii="Times New Roman" w:cs="Times New Roman" w:eastAsia="Times New Roman" w:hAnsi="Times New Roman"/>
          <w:sz w:val="16"/>
          <w:szCs w:val="16"/>
          <w:color w:val="auto"/>
        </w:rPr>
        <w:t>. While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94" w:lineRule="exact"/>
        <w:rPr>
          <w:rFonts w:ascii="Times New Roman" w:cs="Times New Roman" w:eastAsia="Times New Roman" w:hAnsi="Times New Roman"/>
          <w:sz w:val="16"/>
          <w:szCs w:val="16"/>
          <w:color w:val="auto"/>
        </w:rPr>
      </w:pPr>
    </w:p>
    <w:p>
      <w:pPr>
        <w:jc w:val="both"/>
        <w:ind w:left="1740" w:right="980" w:hanging="377"/>
        <w:spacing w:after="0" w:line="242"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Emphasis on Precision and Consistency Through Our Extraction Division. </w:t>
      </w:r>
      <w:r>
        <w:rPr>
          <w:rFonts w:ascii="Times New Roman" w:cs="Times New Roman" w:eastAsia="Times New Roman" w:hAnsi="Times New Roman"/>
          <w:sz w:val="16"/>
          <w:szCs w:val="16"/>
          <w:color w:val="auto"/>
        </w:rPr>
        <w:t>In addition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8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Market Knowledge and Understanding</w:t>
      </w:r>
      <w:r>
        <w:rPr>
          <w:rFonts w:ascii="Times New Roman" w:cs="Times New Roman" w:eastAsia="Times New Roman" w:hAnsi="Times New Roman"/>
          <w:sz w:val="14"/>
          <w:szCs w:val="14"/>
          <w:color w:val="auto"/>
        </w:rPr>
        <w:t>. We have extensive experience with controlled agriculture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65" w:lineRule="exact"/>
        <w:rPr>
          <w:rFonts w:ascii="Times New Roman" w:cs="Times New Roman" w:eastAsia="Times New Roman" w:hAnsi="Times New Roman"/>
          <w:sz w:val="14"/>
          <w:szCs w:val="14"/>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Differentiated Business Model</w:t>
      </w:r>
      <w:r>
        <w:rPr>
          <w:rFonts w:ascii="Times New Roman" w:cs="Times New Roman" w:eastAsia="Times New Roman" w:hAnsi="Times New Roman"/>
          <w:sz w:val="16"/>
          <w:szCs w:val="16"/>
          <w:color w:val="auto"/>
        </w:rPr>
        <w:t>. Unlike many of our competitors, we offer a diversified mix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012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3270" cy="7012305"/>
                    </a:xfrm>
                    <a:prstGeom prst="rect">
                      <a:avLst/>
                    </a:prstGeom>
                    <a:noFill/>
                  </pic:spPr>
                </pic:pic>
              </a:graphicData>
            </a:graphic>
          </wp:anchor>
        </w:drawing>
      </w:r>
    </w:p>
    <w:p>
      <w:pPr>
        <w:spacing w:after="0" w:line="3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Regulatory Implications of Providing Equipment and Services in the Cannabis and Hemp Industry</w:t>
      </w:r>
    </w:p>
    <w:p>
      <w:pPr>
        <w:spacing w:after="0" w:line="118" w:lineRule="exact"/>
        <w:rPr>
          <w:sz w:val="20"/>
          <w:szCs w:val="20"/>
          <w:color w:val="auto"/>
        </w:rPr>
      </w:pPr>
    </w:p>
    <w:p>
      <w:pPr>
        <w:jc w:val="both"/>
        <w:ind w:left="980" w:right="980" w:firstLine="384"/>
        <w:spacing w:after="0" w:line="275" w:lineRule="auto"/>
        <w:rPr>
          <w:sz w:val="20"/>
          <w:szCs w:val="20"/>
          <w:color w:val="auto"/>
        </w:rPr>
      </w:pPr>
      <w:r>
        <w:rPr>
          <w:rFonts w:ascii="Times New Roman" w:cs="Times New Roman" w:eastAsia="Times New Roman" w:hAnsi="Times New Roman"/>
          <w:sz w:val="14"/>
          <w:szCs w:val="14"/>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256"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 use cannabis regulatory programs in states where such programs are legal, strict compliance with state laws with respect to cannabis.</w:t>
      </w:r>
    </w:p>
    <w:p>
      <w:pPr>
        <w:spacing w:after="0" w:line="99"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98"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Smaller Reporting Company</w:t>
      </w:r>
    </w:p>
    <w:p>
      <w:pPr>
        <w:spacing w:after="0" w:line="118"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281" w:lineRule="exact"/>
        <w:rPr>
          <w:sz w:val="20"/>
          <w:szCs w:val="20"/>
          <w:color w:val="auto"/>
        </w:rPr>
      </w:pPr>
    </w:p>
    <w:p>
      <w:pPr>
        <w:ind w:left="1740" w:right="980" w:hanging="377"/>
        <w:spacing w:after="0" w:line="259"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 auditor to report on our internal controls over financial reporting pursuant to Section 404(b) of the Sarbanes-Oxley Act of 2002, or the Sarbanes-Oxley Act;</w:t>
      </w:r>
    </w:p>
    <w:p>
      <w:pPr>
        <w:spacing w:after="0" w:line="83" w:lineRule="exact"/>
        <w:rPr>
          <w:rFonts w:ascii="Times New Roman" w:cs="Times New Roman" w:eastAsia="Times New Roman" w:hAnsi="Times New Roman"/>
          <w:sz w:val="16"/>
          <w:szCs w:val="16"/>
          <w:color w:val="auto"/>
        </w:rPr>
      </w:pPr>
    </w:p>
    <w:p>
      <w:pPr>
        <w:jc w:val="both"/>
        <w:ind w:left="1740" w:right="980" w:hanging="377"/>
        <w:spacing w:after="0" w:line="243"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95"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certain executive compensation matters to shareholder advisory votes, such as “say-on-pay,” “say-on-frequency,” and “say-on-golden parachutes;” or</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058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3270" cy="7058025"/>
                    </a:xfrm>
                    <a:prstGeom prst="rect">
                      <a:avLst/>
                    </a:prstGeom>
                    <a:noFill/>
                  </pic:spPr>
                </pic:pic>
              </a:graphicData>
            </a:graphic>
          </wp:anchor>
        </w:drawing>
      </w:r>
    </w:p>
    <w:p>
      <w:pPr>
        <w:spacing w:after="0" w:line="264" w:lineRule="exact"/>
        <w:rPr>
          <w:sz w:val="20"/>
          <w:szCs w:val="20"/>
          <w:color w:val="auto"/>
        </w:rPr>
      </w:pPr>
    </w:p>
    <w:p>
      <w:pPr>
        <w:jc w:val="both"/>
        <w:ind w:left="1740" w:right="980" w:hanging="377"/>
        <w:spacing w:after="0" w:line="247" w:lineRule="auto"/>
        <w:tabs>
          <w:tab w:leader="none" w:pos="1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92" w:lineRule="exact"/>
        <w:rPr>
          <w:sz w:val="20"/>
          <w:szCs w:val="20"/>
          <w:color w:val="auto"/>
        </w:rPr>
      </w:pPr>
    </w:p>
    <w:p>
      <w:pPr>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In addition, the JOBS Act provides that an “emerging growth company” can use the extended transition period for complying with new or revised accounting standards.</w:t>
      </w:r>
    </w:p>
    <w:p>
      <w:pPr>
        <w:spacing w:after="0" w:line="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16" w:lineRule="exact"/>
        <w:rPr>
          <w:sz w:val="20"/>
          <w:szCs w:val="20"/>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reporting $1 billion or more in annual gross revenues;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issuance, in a three-year period, of more than $1 billion in non-convertible debt;</w:t>
      </w:r>
    </w:p>
    <w:p>
      <w:pPr>
        <w:spacing w:after="0" w:line="116"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 of the fiscal year in which the market value of our common stock held by non-affiliates exceeds $700 million on the last business day of our second fiscal quarter; and</w:t>
      </w:r>
    </w:p>
    <w:p>
      <w:pPr>
        <w:spacing w:after="0" w:line="83"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w:t>
      </w:r>
    </w:p>
    <w:p>
      <w:pPr>
        <w:spacing w:after="0" w:line="116"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2"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Acquisition and Warrant Issuance</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9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101"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The Former Lender exercised the Exchange Warrant and Abeyance Warrant in full during January and February 2024.</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 w:name="page14"/>
    <w:bookmarkEnd w:id="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867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3270" cy="6867525"/>
                    </a:xfrm>
                    <a:prstGeom prst="rect">
                      <a:avLst/>
                    </a:prstGeom>
                    <a:noFill/>
                  </pic:spPr>
                </pic:pic>
              </a:graphicData>
            </a:graphic>
          </wp:anchor>
        </w:drawing>
      </w:r>
    </w:p>
    <w:p>
      <w:pPr>
        <w:spacing w:after="0" w:line="264" w:lineRule="exact"/>
        <w:rPr>
          <w:sz w:val="20"/>
          <w:szCs w:val="20"/>
          <w:color w:val="auto"/>
        </w:rPr>
      </w:pPr>
    </w:p>
    <w:p>
      <w:pPr>
        <w:jc w:val="both"/>
        <w:ind w:left="980" w:right="980"/>
        <w:spacing w:after="0" w:line="243" w:lineRule="auto"/>
        <w:rPr>
          <w:sz w:val="20"/>
          <w:szCs w:val="20"/>
          <w:color w:val="auto"/>
        </w:rPr>
      </w:pPr>
      <w:r>
        <w:rPr>
          <w:rFonts w:ascii="Times New Roman" w:cs="Times New Roman" w:eastAsia="Times New Roman" w:hAnsi="Times New Roman"/>
          <w:sz w:val="16"/>
          <w:szCs w:val="16"/>
          <w:color w:val="auto"/>
        </w:rPr>
        <w:t>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Amendment, Consolidation and Conversion</w:t>
      </w:r>
    </w:p>
    <w:p>
      <w:pPr>
        <w:spacing w:after="0" w:line="118" w:lineRule="exact"/>
        <w:rPr>
          <w:sz w:val="20"/>
          <w:szCs w:val="20"/>
          <w:color w:val="auto"/>
        </w:rPr>
      </w:pPr>
    </w:p>
    <w:p>
      <w:pPr>
        <w:jc w:val="both"/>
        <w:ind w:left="980" w:right="980" w:firstLine="384"/>
        <w:spacing w:after="0" w:line="272" w:lineRule="auto"/>
        <w:rPr>
          <w:sz w:val="20"/>
          <w:szCs w:val="20"/>
          <w:color w:val="auto"/>
        </w:rPr>
      </w:pPr>
      <w:r>
        <w:rPr>
          <w:rFonts w:ascii="Times New Roman" w:cs="Times New Roman" w:eastAsia="Times New Roman" w:hAnsi="Times New Roman"/>
          <w:sz w:val="14"/>
          <w:szCs w:val="14"/>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w:t>
      </w:r>
    </w:p>
    <w:p>
      <w:pPr>
        <w:spacing w:after="0" w:line="4" w:lineRule="exact"/>
        <w:rPr>
          <w:sz w:val="20"/>
          <w:szCs w:val="20"/>
          <w:color w:val="auto"/>
        </w:rPr>
      </w:pPr>
    </w:p>
    <w:p>
      <w:pPr>
        <w:jc w:val="both"/>
        <w:ind w:left="980" w:right="980" w:hanging="1"/>
        <w:spacing w:after="0" w:line="268" w:lineRule="auto"/>
        <w:tabs>
          <w:tab w:leader="none" w:pos="122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w:t>
      </w:r>
    </w:p>
    <w:p>
      <w:pPr>
        <w:jc w:val="both"/>
        <w:ind w:left="980" w:right="980" w:hanging="1"/>
        <w:spacing w:after="0" w:line="235" w:lineRule="auto"/>
        <w:tabs>
          <w:tab w:leader="none" w:pos="127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Mack Molding Settlement and Warrant Issuance</w:t>
      </w:r>
    </w:p>
    <w:p>
      <w:pPr>
        <w:spacing w:after="0" w:line="118"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Nasdaq Notices and Hearing</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521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73270" cy="5213350"/>
                    </a:xfrm>
                    <a:prstGeom prst="rect">
                      <a:avLst/>
                    </a:prstGeom>
                    <a:noFill/>
                  </pic:spPr>
                </pic:pic>
              </a:graphicData>
            </a:graphic>
          </wp:anchor>
        </w:drawing>
      </w:r>
    </w:p>
    <w:p>
      <w:pPr>
        <w:spacing w:after="0" w:line="264"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80" w:right="980" w:firstLine="384"/>
        <w:spacing w:after="0" w:line="281" w:lineRule="auto"/>
        <w:rPr>
          <w:sz w:val="20"/>
          <w:szCs w:val="20"/>
          <w:color w:val="auto"/>
        </w:rPr>
      </w:pPr>
      <w:r>
        <w:rPr>
          <w:rFonts w:ascii="Times New Roman" w:cs="Times New Roman" w:eastAsia="Times New Roman" w:hAnsi="Times New Roman"/>
          <w:sz w:val="14"/>
          <w:szCs w:val="14"/>
          <w:color w:val="auto"/>
        </w:rPr>
        <w:t>We timely requested a hearing before the Nasdaq Hearings Panel (the “Panel”), which hearing was held on January 11, 2024. At the hearing, we presented a plan to regain compliance with Nasdaq Listing Rule 5550(b)</w:t>
      </w:r>
    </w:p>
    <w:p>
      <w:pPr>
        <w:spacing w:after="0" w:line="1" w:lineRule="exact"/>
        <w:rPr>
          <w:sz w:val="20"/>
          <w:szCs w:val="20"/>
          <w:color w:val="auto"/>
        </w:rPr>
      </w:pPr>
    </w:p>
    <w:p>
      <w:pPr>
        <w:jc w:val="both"/>
        <w:ind w:left="980" w:right="980"/>
        <w:spacing w:after="0" w:line="236" w:lineRule="auto"/>
        <w:rPr>
          <w:sz w:val="20"/>
          <w:szCs w:val="20"/>
          <w:color w:val="auto"/>
        </w:rPr>
      </w:pPr>
      <w:r>
        <w:rPr>
          <w:rFonts w:ascii="Times New Roman" w:cs="Times New Roman" w:eastAsia="Times New Roman" w:hAnsi="Times New Roman"/>
          <w:sz w:val="16"/>
          <w:szCs w:val="16"/>
          <w:color w:val="auto"/>
        </w:rPr>
        <w:t>(1).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99"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8" w:lineRule="exact"/>
        <w:rPr>
          <w:sz w:val="20"/>
          <w:szCs w:val="20"/>
          <w:color w:val="auto"/>
        </w:rPr>
      </w:pPr>
    </w:p>
    <w:p>
      <w:pPr>
        <w:jc w:val="both"/>
        <w:ind w:left="980" w:right="980" w:firstLine="384"/>
        <w:spacing w:after="0" w:line="278" w:lineRule="auto"/>
        <w:rPr>
          <w:sz w:val="20"/>
          <w:szCs w:val="20"/>
          <w:color w:val="auto"/>
        </w:rPr>
      </w:pPr>
      <w:r>
        <w:rPr>
          <w:rFonts w:ascii="Times New Roman" w:cs="Times New Roman" w:eastAsia="Times New Roman" w:hAnsi="Times New Roman"/>
          <w:sz w:val="14"/>
          <w:szCs w:val="14"/>
          <w:color w:val="auto"/>
        </w:rPr>
        <w:t xml:space="preserve">Agrify Corporation was incorporated in the state of Nevada on June 6, 2016, originally incorporated as Agrinamics, Inc. (or Agrinamics) . On September 16, 2019, Agrinamics amended its articles of incorporation to reflect a name change to Agrify Corporation. Our executive offices are located at 2468 Industrial Row, Dr., Troy, Michigan 48084. Our telephone number at our executive offices is (855) 420 -0020. Our website address is </w:t>
      </w:r>
      <w:r>
        <w:rPr>
          <w:rFonts w:ascii="Times New Roman" w:cs="Times New Roman" w:eastAsia="Times New Roman" w:hAnsi="Times New Roman"/>
          <w:sz w:val="14"/>
          <w:szCs w:val="14"/>
          <w:i w:val="1"/>
          <w:iCs w:val="1"/>
          <w:color w:val="auto"/>
        </w:rPr>
        <w:t xml:space="preserve">www.agrify.com. </w:t>
      </w:r>
      <w:r>
        <w:rPr>
          <w:rFonts w:ascii="Times New Roman" w:cs="Times New Roman" w:eastAsia="Times New Roman" w:hAnsi="Times New Roman"/>
          <w:sz w:val="14"/>
          <w:szCs w:val="14"/>
          <w:color w:val="auto"/>
        </w:rPr>
        <w:t>Our website and the information contained in, or accessible through, our website will not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deemed to be incorporated by reference into this prospectus and does not constitute part of this prospectus. You should not rely on any such information in making your decision whether to purchase our securities.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 w:name="page16"/>
    <w:bookmarkEnd w:id="1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334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73270" cy="633412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40" w:orient="portrait"/>
          <w:cols w:equalWidth="0" w:num="1">
            <w:col w:w="9020"/>
          </w:cols>
          <w:pgMar w:left="1440" w:top="557" w:right="1440" w:bottom="1440" w:gutter="0" w:footer="0" w:header="0"/>
        </w:sectPr>
      </w:pP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Common Stock offered by us</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40" w:hanging="155"/>
        <w:spacing w:after="0" w:line="259" w:lineRule="auto"/>
        <w:rPr>
          <w:sz w:val="20"/>
          <w:szCs w:val="20"/>
          <w:color w:val="auto"/>
        </w:rPr>
      </w:pPr>
      <w:r>
        <w:rPr>
          <w:rFonts w:ascii="Times New Roman" w:cs="Times New Roman" w:eastAsia="Times New Roman" w:hAnsi="Times New Roman"/>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2,288,330 shares of our common stock.</w:t>
      </w:r>
    </w:p>
    <w:p>
      <w:pPr>
        <w:spacing w:after="0" w:line="200" w:lineRule="exact"/>
        <w:rPr>
          <w:sz w:val="20"/>
          <w:szCs w:val="20"/>
          <w:color w:val="auto"/>
        </w:rPr>
      </w:pPr>
    </w:p>
    <w:p>
      <w:pPr>
        <w:jc w:val="both"/>
        <w:ind w:right="980"/>
        <w:spacing w:after="0" w:line="237" w:lineRule="auto"/>
        <w:rPr>
          <w:sz w:val="20"/>
          <w:szCs w:val="20"/>
          <w:color w:val="auto"/>
        </w:rPr>
      </w:pPr>
      <w:r>
        <w:rPr>
          <w:rFonts w:ascii="Times New Roman" w:cs="Times New Roman" w:eastAsia="Times New Roman" w:hAnsi="Times New Roman"/>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 -Funded Warrants to purchase up to 2,288,330 shares of our common stock in lieu of shares of our common stock. Each Pre-Funded Warrant will have an exercise price equal to $0.001 per share and is immediately exercisable. The Pre-Funded Warrants will not expire. See “Description of Securities — Pre-Funded Warrants to be Issued in this Offering.”</w:t>
      </w:r>
    </w:p>
    <w:p>
      <w:pPr>
        <w:spacing w:after="0" w:line="315" w:lineRule="exact"/>
        <w:rPr>
          <w:sz w:val="20"/>
          <w:szCs w:val="20"/>
          <w:color w:val="auto"/>
        </w:rPr>
      </w:pPr>
    </w:p>
    <w:p>
      <w:pPr>
        <w:jc w:val="both"/>
        <w:ind w:right="980"/>
        <w:spacing w:after="0" w:line="247" w:lineRule="auto"/>
        <w:rPr>
          <w:sz w:val="20"/>
          <w:szCs w:val="20"/>
          <w:color w:val="auto"/>
        </w:rPr>
      </w:pPr>
      <w:r>
        <w:rPr>
          <w:rFonts w:ascii="Times New Roman" w:cs="Times New Roman" w:eastAsia="Times New Roman" w:hAnsi="Times New Roman"/>
          <w:sz w:val="16"/>
          <w:szCs w:val="16"/>
          <w:color w:val="auto"/>
        </w:rPr>
        <w:t>9,070,239 shares, assuming that we sell all securities offered pursuant to this prospectus and assuming that none of the Pre-Funded Warrants are exercised.</w:t>
      </w:r>
    </w:p>
    <w:p>
      <w:pPr>
        <w:spacing w:after="0" w:line="124" w:lineRule="exact"/>
        <w:rPr>
          <w:sz w:val="20"/>
          <w:szCs w:val="20"/>
          <w:color w:val="auto"/>
        </w:rPr>
      </w:pPr>
    </w:p>
    <w:p>
      <w:pPr>
        <w:sectPr>
          <w:pgSz w:w="11900" w:h="16840" w:orient="portrait"/>
          <w:cols w:equalWidth="0" w:num="2">
            <w:col w:w="3280" w:space="340"/>
            <w:col w:w="5400"/>
          </w:cols>
          <w:pgMar w:left="1440" w:top="557" w:right="1440" w:bottom="1440" w:gutter="0" w:footer="0" w:header="0"/>
          <w:type w:val="continuous"/>
        </w:sectPr>
      </w:pPr>
    </w:p>
    <w:tbl>
      <w:tblPr>
        <w:tblLayout w:type="fixed"/>
        <w:tblInd w:w="980" w:type="dxa"/>
        <w:tblCellMar>
          <w:top w:w="0" w:type="dxa"/>
          <w:left w:w="0" w:type="dxa"/>
          <w:bottom w:w="0" w:type="dxa"/>
          <w:right w:w="0" w:type="dxa"/>
        </w:tblCellMar>
      </w:tblPr>
      <w:tr>
        <w:trPr>
          <w:trHeight w:val="184"/>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of common stock</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$0.6555 public offering price per share of common stock based upon</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an assumed public offering price of $0.6555, the closing price of our</w:t>
            </w:r>
          </w:p>
        </w:tc>
      </w:tr>
      <w:tr>
        <w:trPr>
          <w:trHeight w:val="203"/>
        </w:trPr>
        <w:tc>
          <w:tcPr>
            <w:tcW w:w="2340" w:type="dxa"/>
            <w:vAlign w:val="bottom"/>
          </w:tcPr>
          <w:p>
            <w:pPr>
              <w:spacing w:after="0"/>
              <w:rPr>
                <w:sz w:val="17"/>
                <w:szCs w:val="17"/>
                <w:color w:val="auto"/>
              </w:rPr>
            </w:pPr>
          </w:p>
        </w:tc>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on February 12, 2024</w:t>
            </w:r>
          </w:p>
        </w:tc>
        <w:tc>
          <w:tcPr>
            <w:tcW w:w="1140" w:type="dxa"/>
            <w:vAlign w:val="bottom"/>
          </w:tcPr>
          <w:p>
            <w:pPr>
              <w:spacing w:after="0"/>
              <w:rPr>
                <w:sz w:val="17"/>
                <w:szCs w:val="17"/>
                <w:color w:val="auto"/>
              </w:rPr>
            </w:pPr>
          </w:p>
        </w:tc>
      </w:tr>
      <w:tr>
        <w:trPr>
          <w:trHeight w:val="31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Price per Pre-Funded Warrant</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$0.6545 public offering price per pre-funded warrant based upon an</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assumed public offering price of $0.6545, the closing price of our</w:t>
            </w:r>
          </w:p>
        </w:tc>
      </w:tr>
      <w:tr>
        <w:trPr>
          <w:trHeight w:val="203"/>
        </w:trPr>
        <w:tc>
          <w:tcPr>
            <w:tcW w:w="2340" w:type="dxa"/>
            <w:vAlign w:val="bottom"/>
          </w:tcPr>
          <w:p>
            <w:pPr>
              <w:spacing w:after="0"/>
              <w:rPr>
                <w:sz w:val="17"/>
                <w:szCs w:val="17"/>
                <w:color w:val="auto"/>
              </w:rPr>
            </w:pPr>
          </w:p>
        </w:tc>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9"/>
              </w:rPr>
              <w:t>common stock on February 12, 2024 minus $0.001.</w:t>
            </w:r>
          </w:p>
        </w:tc>
        <w:tc>
          <w:tcPr>
            <w:tcW w:w="1140" w:type="dxa"/>
            <w:vAlign w:val="bottom"/>
          </w:tcPr>
          <w:p>
            <w:pPr>
              <w:spacing w:after="0"/>
              <w:rPr>
                <w:sz w:val="17"/>
                <w:szCs w:val="17"/>
                <w:color w:val="auto"/>
              </w:rPr>
            </w:pPr>
          </w:p>
        </w:tc>
      </w:tr>
      <w:tr>
        <w:trPr>
          <w:trHeight w:val="31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Placement Agent Warrants</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The registration statement of which this prospectus is a part also</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registers for sale the common stock issuable pursuant to the warrants</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w w:val="99"/>
              </w:rPr>
              <w:t>to purchase up to one percent (1%) of the aggregate number of shares</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of common stock (or Pre-Funded Warrants) issued in this offering to</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be  issued  to Alexander  Capital,  L.P.,  as  placement  agent  (the</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w w:val="98"/>
              </w:rPr>
              <w:t>“Placement Agent Warrants”). The Placement Agent Warrants will be</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exercisable at any time, and from time to time, in whole or in part,</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during  the  period  commencing  180  days  from  the  date  of</w:t>
            </w:r>
          </w:p>
        </w:tc>
      </w:tr>
      <w:tr>
        <w:trPr>
          <w:trHeight w:val="192"/>
        </w:trPr>
        <w:tc>
          <w:tcPr>
            <w:tcW w:w="2340" w:type="dxa"/>
            <w:vAlign w:val="bottom"/>
          </w:tcPr>
          <w:p>
            <w:pPr>
              <w:spacing w:after="0"/>
              <w:rPr>
                <w:sz w:val="16"/>
                <w:szCs w:val="16"/>
                <w:color w:val="auto"/>
              </w:rPr>
            </w:pP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7"/>
              </w:rPr>
              <w:t>commencement of sales of the securities being offering in this offering</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w w:val="99"/>
              </w:rPr>
              <w:t>(the “Effective Date”) and expiring on the fifth (5</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6"/>
                <w:szCs w:val="16"/>
                <w:color w:val="auto"/>
                <w:w w:val="99"/>
              </w:rPr>
              <w:t>) year anniversary</w:t>
            </w:r>
          </w:p>
        </w:tc>
      </w:tr>
      <w:tr>
        <w:trPr>
          <w:trHeight w:val="180"/>
        </w:trPr>
        <w:tc>
          <w:tcPr>
            <w:tcW w:w="2340" w:type="dxa"/>
            <w:vAlign w:val="bottom"/>
          </w:tcPr>
          <w:p>
            <w:pPr>
              <w:spacing w:after="0"/>
              <w:rPr>
                <w:sz w:val="15"/>
                <w:szCs w:val="15"/>
                <w:color w:val="auto"/>
              </w:rPr>
            </w:pPr>
          </w:p>
        </w:tc>
        <w:tc>
          <w:tcPr>
            <w:tcW w:w="360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of the Effective Date at an exercise price of $</w:t>
            </w:r>
          </w:p>
        </w:tc>
        <w:tc>
          <w:tcPr>
            <w:tcW w:w="11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w w:val="99"/>
              </w:rPr>
              <w:t>per share (100%</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w w:val="97"/>
              </w:rPr>
              <w:t>of the public offering price per share). Please see “Plan of Distribution</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 Placement Agent Warrants” on page 115 of this prospectus for a</w:t>
            </w:r>
          </w:p>
        </w:tc>
      </w:tr>
      <w:tr>
        <w:trPr>
          <w:trHeight w:val="203"/>
        </w:trPr>
        <w:tc>
          <w:tcPr>
            <w:tcW w:w="2340" w:type="dxa"/>
            <w:vAlign w:val="bottom"/>
          </w:tcPr>
          <w:p>
            <w:pPr>
              <w:spacing w:after="0"/>
              <w:rPr>
                <w:sz w:val="17"/>
                <w:szCs w:val="17"/>
                <w:color w:val="auto"/>
              </w:rPr>
            </w:pPr>
          </w:p>
        </w:tc>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description of these warrants.</w:t>
            </w:r>
          </w:p>
        </w:tc>
        <w:tc>
          <w:tcPr>
            <w:tcW w:w="1140" w:type="dxa"/>
            <w:vAlign w:val="bottom"/>
          </w:tcPr>
          <w:p>
            <w:pPr>
              <w:spacing w:after="0"/>
              <w:rPr>
                <w:sz w:val="17"/>
                <w:szCs w:val="17"/>
                <w:color w:val="auto"/>
              </w:rPr>
            </w:pPr>
          </w:p>
        </w:tc>
      </w:tr>
      <w:tr>
        <w:trPr>
          <w:trHeight w:val="31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Placement Agent Compensation</w:t>
            </w: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7"/>
              </w:rPr>
              <w:t>In connection with this offering, the placement agent will receive a fee</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w w:val="97"/>
              </w:rPr>
              <w:t>equal to seven percent (7.0%) of the aggregate gross proceeds raised in</w:t>
            </w:r>
          </w:p>
        </w:tc>
      </w:tr>
      <w:tr>
        <w:trPr>
          <w:trHeight w:val="180"/>
        </w:trPr>
        <w:tc>
          <w:tcPr>
            <w:tcW w:w="2340" w:type="dxa"/>
            <w:vAlign w:val="bottom"/>
          </w:tcPr>
          <w:p>
            <w:pPr>
              <w:spacing w:after="0"/>
              <w:rPr>
                <w:sz w:val="15"/>
                <w:szCs w:val="15"/>
                <w:color w:val="auto"/>
              </w:rPr>
            </w:pPr>
          </w:p>
        </w:tc>
        <w:tc>
          <w:tcPr>
            <w:tcW w:w="47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this offering. In addition, we have agreed to: (i) reimburse certain</w:t>
            </w:r>
          </w:p>
        </w:tc>
      </w:tr>
      <w:tr>
        <w:trPr>
          <w:trHeight w:val="198"/>
        </w:trPr>
        <w:tc>
          <w:tcPr>
            <w:tcW w:w="2340" w:type="dxa"/>
            <w:vAlign w:val="bottom"/>
          </w:tcPr>
          <w:p>
            <w:pPr>
              <w:spacing w:after="0"/>
              <w:rPr>
                <w:sz w:val="17"/>
                <w:szCs w:val="17"/>
                <w:color w:val="auto"/>
              </w:rPr>
            </w:pPr>
          </w:p>
        </w:tc>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accountable expenses of the placement agent, and (ii) indemnify the</w:t>
            </w:r>
          </w:p>
        </w:tc>
      </w:tr>
    </w:tbl>
    <w:p>
      <w:pPr>
        <w:ind w:left="3620"/>
        <w:spacing w:after="0"/>
        <w:rPr>
          <w:sz w:val="20"/>
          <w:szCs w:val="20"/>
          <w:color w:val="auto"/>
        </w:rPr>
      </w:pPr>
      <w:r>
        <w:rPr>
          <w:rFonts w:ascii="Times New Roman" w:cs="Times New Roman" w:eastAsia="Times New Roman" w:hAnsi="Times New Roman"/>
          <w:sz w:val="14"/>
          <w:szCs w:val="14"/>
          <w:color w:val="auto"/>
        </w:rPr>
        <w:t>placement agent for certain liabilities in connection with this offering.</w:t>
      </w: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See “Plan of Distribution” starting on page 115 of this prospectus.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6" w:name="page17"/>
    <w:bookmarkEnd w:id="16"/>
    <w:p>
      <w:pPr>
        <w:ind w:left="900"/>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20320</wp:posOffset>
            </wp:positionV>
            <wp:extent cx="4573270" cy="566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3270" cy="566293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p>
      <w:pPr>
        <w:spacing w:after="0" w:line="3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both"/>
        <w:ind w:right="980"/>
        <w:spacing w:after="0" w:line="239" w:lineRule="auto"/>
        <w:rPr>
          <w:sz w:val="20"/>
          <w:szCs w:val="20"/>
          <w:color w:val="auto"/>
        </w:rPr>
      </w:pPr>
      <w:r>
        <w:rPr>
          <w:rFonts w:ascii="Times New Roman" w:cs="Times New Roman" w:eastAsia="Times New Roman" w:hAnsi="Times New Roman"/>
          <w:sz w:val="16"/>
          <w:szCs w:val="16"/>
          <w:color w:val="auto"/>
        </w:rPr>
        <w:t>We currently intend to use the net proceeds from the sale of the securities under this prospectus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59 of this prospectus.</w:t>
      </w:r>
    </w:p>
    <w:p>
      <w:pPr>
        <w:spacing w:after="0" w:line="134" w:lineRule="exact"/>
        <w:rPr>
          <w:sz w:val="20"/>
          <w:szCs w:val="20"/>
          <w:color w:val="auto"/>
        </w:rPr>
      </w:pPr>
    </w:p>
    <w:p>
      <w:pPr>
        <w:sectPr>
          <w:pgSz w:w="11900" w:h="16840" w:orient="portrait"/>
          <w:cols w:equalWidth="0" w:num="2">
            <w:col w:w="2900" w:space="720"/>
            <w:col w:w="5400"/>
          </w:cols>
          <w:pgMar w:left="1440" w:top="557"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jc w:val="both"/>
        <w:ind w:right="980"/>
        <w:spacing w:after="0" w:line="243"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See “Risk Factors” beginning on page 14 of this prospectus, for a discussion of information that should be considered in connection with an investment in our securities.</w:t>
      </w:r>
    </w:p>
    <w:p>
      <w:pPr>
        <w:spacing w:after="0" w:line="131" w:lineRule="exact"/>
        <w:rPr>
          <w:sz w:val="20"/>
          <w:szCs w:val="20"/>
          <w:color w:val="auto"/>
        </w:rPr>
      </w:pPr>
    </w:p>
    <w:p>
      <w:pPr>
        <w:sectPr>
          <w:pgSz w:w="11900" w:h="16840" w:orient="portrait"/>
          <w:cols w:equalWidth="0" w:num="2">
            <w:col w:w="2900" w:space="720"/>
            <w:col w:w="5400"/>
          </w:cols>
          <w:pgMar w:left="1440" w:top="557"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color w:val="auto"/>
        </w:rPr>
        <w:t>Nasdaq Capital Market symbol</w:t>
      </w:r>
    </w:p>
    <w:p>
      <w:pPr>
        <w:spacing w:after="0" w:line="20" w:lineRule="exact"/>
        <w:rPr>
          <w:sz w:val="20"/>
          <w:szCs w:val="20"/>
          <w:color w:val="auto"/>
        </w:rPr>
      </w:pPr>
      <w:r>
        <w:rPr>
          <w:sz w:val="20"/>
          <w:szCs w:val="20"/>
          <w:color w:val="auto"/>
        </w:rPr>
        <w:br w:type="column"/>
      </w:r>
    </w:p>
    <w:p>
      <w:pPr>
        <w:ind w:right="980"/>
        <w:spacing w:after="0" w:line="259"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“AGFY.”</w:t>
      </w:r>
    </w:p>
    <w:p>
      <w:pPr>
        <w:spacing w:after="0" w:line="83" w:lineRule="exact"/>
        <w:rPr>
          <w:sz w:val="20"/>
          <w:szCs w:val="20"/>
          <w:color w:val="auto"/>
        </w:rPr>
      </w:pPr>
    </w:p>
    <w:p>
      <w:pPr>
        <w:sectPr>
          <w:pgSz w:w="11900" w:h="16840" w:orient="portrait"/>
          <w:cols w:equalWidth="0" w:num="2">
            <w:col w:w="2920" w:space="700"/>
            <w:col w:w="5400"/>
          </w:cols>
          <w:pgMar w:left="1440" w:top="557" w:right="1440" w:bottom="1440" w:gutter="0" w:footer="0" w:header="0"/>
          <w:type w:val="continuous"/>
        </w:sectPr>
      </w:pPr>
    </w:p>
    <w:p>
      <w:pPr>
        <w:ind w:left="3620"/>
        <w:spacing w:after="0"/>
        <w:rPr>
          <w:sz w:val="20"/>
          <w:szCs w:val="20"/>
          <w:color w:val="auto"/>
        </w:rPr>
      </w:pPr>
      <w:r>
        <w:rPr>
          <w:rFonts w:ascii="Times New Roman" w:cs="Times New Roman" w:eastAsia="Times New Roman" w:hAnsi="Times New Roman"/>
          <w:sz w:val="16"/>
          <w:szCs w:val="16"/>
          <w:color w:val="auto"/>
        </w:rPr>
        <w:t>There is no established public trading market for the Pre-Funded</w:t>
      </w:r>
    </w:p>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Warrants, and we do not expect a market to develop. In addition, we</w:t>
      </w:r>
    </w:p>
    <w:p>
      <w:pPr>
        <w:ind w:left="3620"/>
        <w:spacing w:after="0" w:line="234" w:lineRule="auto"/>
        <w:rPr>
          <w:sz w:val="20"/>
          <w:szCs w:val="20"/>
          <w:color w:val="auto"/>
        </w:rPr>
      </w:pPr>
      <w:r>
        <w:rPr>
          <w:rFonts w:ascii="Times New Roman" w:cs="Times New Roman" w:eastAsia="Times New Roman" w:hAnsi="Times New Roman"/>
          <w:sz w:val="16"/>
          <w:szCs w:val="16"/>
          <w:color w:val="auto"/>
        </w:rPr>
        <w:t>do not intend to apply for the listing of the Pre-Funded Warrants on</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any national securities exchange or other nationally recognized trading</w:t>
      </w:r>
    </w:p>
    <w:p>
      <w:pPr>
        <w:spacing w:after="0" w:line="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system. Without an active trading market, we expect the liquidity of</w:t>
      </w:r>
    </w:p>
    <w:p>
      <w:pPr>
        <w:ind w:left="3620"/>
        <w:spacing w:after="0"/>
        <w:rPr>
          <w:sz w:val="20"/>
          <w:szCs w:val="20"/>
          <w:color w:val="auto"/>
        </w:rPr>
      </w:pPr>
      <w:r>
        <w:rPr>
          <w:rFonts w:ascii="Times New Roman" w:cs="Times New Roman" w:eastAsia="Times New Roman" w:hAnsi="Times New Roman"/>
          <w:sz w:val="16"/>
          <w:szCs w:val="16"/>
          <w:color w:val="auto"/>
        </w:rPr>
        <w:t>the Pre-Funded Warrants will be limited.</w:t>
      </w:r>
    </w:p>
    <w:p>
      <w:pPr>
        <w:sectPr>
          <w:pgSz w:w="11900" w:h="16840" w:orient="portrait"/>
          <w:cols w:equalWidth="0" w:num="1">
            <w:col w:w="9020"/>
          </w:cols>
          <w:pgMar w:left="1440" w:top="557" w:right="1440" w:bottom="1440" w:gutter="0" w:footer="0" w:header="0"/>
          <w:type w:val="continuous"/>
        </w:sectPr>
      </w:pPr>
    </w:p>
    <w:p>
      <w:pPr>
        <w:spacing w:after="0" w:line="170"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The number of shares of our common stock that will be outstanding immediately after this offering as shown above is based on 7,056,005 shares outstanding as of February 14, 2024. The number of shares outstanding as of February 14, 2024 as used throughout this prospectus, unless otherwise indicated, excludes the shares of common stock issuable upon exercise of the Pre-Funded Warrants being offered by us in this offering and also excludes as of such date:</w:t>
      </w:r>
    </w:p>
    <w:p>
      <w:pPr>
        <w:spacing w:after="0" w:line="97" w:lineRule="exact"/>
        <w:rPr>
          <w:sz w:val="20"/>
          <w:szCs w:val="20"/>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1,495,011 shares of our common stock issuable upon the exercise of warrants outstanding, at a weighted average exercise price of $37.10 per share;</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10,334 shares of our common stock issuable upon the exercise of stock options outstanding, at a weighted average exercise price of $1,593.86 per share;</w:t>
      </w:r>
    </w:p>
    <w:p>
      <w:pPr>
        <w:spacing w:after="0" w:line="83"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45,767 shares of our common stock issuable upon the exercise of the Placement Agent Warrants;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4,531 shares of our common stock issuable upon the vesting of restricted stock units;</w:t>
      </w:r>
    </w:p>
    <w:p>
      <w:pPr>
        <w:spacing w:after="0" w:line="116"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57,450 shares of our common stock reserved for future issuance under our 2022 Omnibus Equity Incentive Plan;</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our common stock reserved for future issuance under our 2022 Employee Stock Purchase Plan;</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588 shares of our common stock reserved for future issuance in connection with completed acquisitions; and</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10,273,973 shares of our common stock reserved for future issuance in connection with the conversion of a secured convertible note held by CP Acquisitions, LLC.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7" w:name="page18"/>
    <w:bookmarkEnd w:id="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99" w:lineRule="exact"/>
        <w:rPr>
          <w:sz w:val="20"/>
          <w:szCs w:val="20"/>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as a “going concern”;</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short operating history;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loss associated with our Total Turn-Key Solution (“TTK Solution”) Offerings;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financing;</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strategic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substantial debt and other financial obligations, and we may incur even more debt;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associated with potential future impairment charges;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concentration of customers;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a limited base of suppliers;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difficulties of our suppliers as a result of COVID-19;</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clients operating in the cannabis industry;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our customers to meet their financial or contractual obligations;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credit profile with respect to suppliers;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to provide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assurance that our backlog and qualified pipeline will translate into bookings;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continued contributions of our CEO, Raymond Chang;</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competition for our products and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defend against intellectual property claims;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core technology and intellectual property;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assertion of intellectual property infringement claims;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net operating losses;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and their affiliates control a substantial interest in us;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outstanding loans may not be forgivable;</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a large number of shares eligible for public sale could depress the market price of our common stock;</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regain compliance with the listing requirements of The Nasdaq Capital Market (“Nasdaq”) could result in a de-listing of our common stock;</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of all or any number of outstanding warrants or the issuance of stock-based awards may dilute your holding of shares of our common stock;</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hanging="38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documents and Nevada law may prevent a change in control of our company;</w:t>
      </w:r>
    </w:p>
    <w:p>
      <w:pPr>
        <w:spacing w:after="0" w:line="139"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reduced disclosure requirements applicable to emerging growth companies and smaller reporting companies;</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 intention to declare any dividends to our shareholders;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a shortage of raw materials;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that may adversely affect our business, financial condition, and results of operations;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prolonged economic downturn;</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employment market and wages;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of our common stock;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 obligations and controls associated with being a public company;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weaknesses and ability to remediate them;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privacy and security concerns relating to our technology and practices;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potential failure of our information technology systems to perform adequately;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evolving data privacy regulations and our ability to comply with them;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trading ability of our common stock if our shares become subject to penny stock rules;</w:t>
      </w:r>
    </w:p>
    <w:p>
      <w:pPr>
        <w:spacing w:after="0" w:line="139" w:lineRule="exact"/>
        <w:rPr>
          <w:rFonts w:ascii="Times New Roman" w:cs="Times New Roman" w:eastAsia="Times New Roman" w:hAnsi="Times New Roman"/>
          <w:sz w:val="14"/>
          <w:szCs w:val="14"/>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to our shareholders if we were to dissolve;</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analyst reports about us, our business or our market, or recommendations relating to our stock;</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and demands upon management as a result of being a public company;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risks related to our financial and operational projections.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Before deciding whether to invest in our securities, you should consider carefully the risks and uncertainties described under the heading “Risk Factors” contained herein, and any related free writing prospectus, together with other information in this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86"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Our consolidated financial statements have been prepared assuming we will continue as a going concern. Since inception, we have experienced recurring net losses which losses caused an accumulated deficit of approximately $266 million as of September 30, 2023. These factors, among others, raise substantial doubt about our ability to continue as a going concern. Our consolidated financial statements do not include any adjustments that might result from the outcome of this uncertainty.</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 w:name="page20"/>
    <w:bookmarkEnd w:id="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a relatively short operating history, which makes it difficult to evaluate our business and future prospects.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a relatively short operating history, which makes it difficult to evaluate our business and future prospects. We have been in existence since June 2016 and much of our revenue growth occurred during 2021 and 2022. We have encountered, and will continue to encounter, risks and difficulties frequently experienced by growing companies in rapidly changing industries, including those related to:</w:t>
      </w:r>
    </w:p>
    <w:p>
      <w:pPr>
        <w:spacing w:after="0" w:line="95" w:lineRule="exact"/>
        <w:rPr>
          <w:sz w:val="20"/>
          <w:szCs w:val="20"/>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our current and future products and services;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regulatory environments and costs associated with compliance, particularly as related to our operations in the cannabis sector;</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with other companies offering similar products and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market our products and services and attract new clients;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operating expenses, particularly sales and marketing expenses, related to the maintenance and expansion of our business, operations, and infrastructure;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costs, including operating expenses;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organic growth and growth fueled by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perception and acceptance of cannabis-related products and services generally;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events.</w:t>
      </w:r>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If we do not manage these risks successfully, our business and financial performance will be adversely affected.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Potential risk of loss associated with our TTK Solution Offerings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During 2021, we introduced our TTK Solution, which among other things, includes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a significant amount of our working capital has been invested in funding our TTK Solution construction and equipment commitments.</w:t>
      </w:r>
    </w:p>
    <w:p>
      <w:pPr>
        <w:spacing w:after="0" w:line="8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92" w:lineRule="exact"/>
        <w:rPr>
          <w:sz w:val="20"/>
          <w:szCs w:val="20"/>
          <w:color w:val="auto"/>
        </w:rPr>
      </w:pPr>
    </w:p>
    <w:p>
      <w:pPr>
        <w:ind w:left="1680" w:right="920" w:hanging="389"/>
        <w:spacing w:after="0" w:line="259" w:lineRule="auto"/>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we are in the early stages of our TTK Solution offerings, the TTK Solution is currently an unproven business model;</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TTK Solution offering requires a significant amount of capital and our collection of advanced amounts is subject to customer credit risk;</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downstream production fee revenue assumes that our VFUs will successfully produce 35 pounds of product per VFU per year;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returns are reliant upon our customers’ ability to market and sell the products.</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$ 14.7 million specifically related to Bud &amp; Mary’s. We deemed it necessary to fully reserve the $ 14.7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72"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At September 30, 2023, we had approximately $154 thousand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 thousand. $3.0 million of the proceeds under the ATM Program were used to repay amounts due to the former senior secured lender (the “Former Lender”) under the Exchange Note (as defined below).</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face risks associated with strategic acquisitions.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95" w:lineRule="exact"/>
        <w:rPr>
          <w:sz w:val="20"/>
          <w:szCs w:val="20"/>
          <w:color w:val="auto"/>
        </w:rPr>
      </w:pPr>
    </w:p>
    <w:p>
      <w:pPr>
        <w:ind w:left="1680" w:right="920" w:hanging="389"/>
        <w:spacing w:after="0" w:line="259" w:lineRule="auto"/>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acquired business could under-perform relative to our expectations and the price that we paid for it, or not perform in accordance with its anticipated timetable;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or assume significant debt in connection with our acquisitions;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9" w:lineRule="auto"/>
        <w:tabs>
          <w:tab w:leader="none" w:pos="1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could cause our results of operations to differ from our own or the investment community’s expectations in any given period, or over the long term; and</w:t>
      </w:r>
    </w:p>
    <w:p>
      <w:pPr>
        <w:spacing w:after="0" w:line="71"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could create demands on our management that they may be unable to effectively address, or for which we may incur additional costs.</w:t>
      </w:r>
    </w:p>
    <w:p>
      <w:pPr>
        <w:spacing w:after="0" w:line="7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Additionally, following any business acquisition, we could experience difficulty in integrating personnel, operations, financial and other systems, and in retaining key employees and customers.</w:t>
      </w:r>
    </w:p>
    <w:p>
      <w:pPr>
        <w:spacing w:after="0" w:line="7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24"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Potential future divestitures or other transactions could adversely affect our costs, revenues, profitability and financial position.</w:t>
      </w:r>
    </w:p>
    <w:p>
      <w:pPr>
        <w:spacing w:after="0" w:line="6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36"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80"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On March 14, 2022, we entered into a Securities Purchase Agreement (the “Securities Purchase Agreement”) with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56"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On August 18, 2022, we reached an agreement with the Former Lender to amend the existing SPA Note and entered into a Securities Exchange Agreement (the “August 2022 Exchange Agreement”) . Pursuant to the August 2022 Exchange Agreement, we partially paid $35.2 million along with approximately $ 300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86"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8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8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04" w:lineRule="exact"/>
        <w:rPr>
          <w:sz w:val="20"/>
          <w:szCs w:val="20"/>
          <w:color w:val="auto"/>
        </w:rPr>
      </w:pPr>
    </w:p>
    <w:p>
      <w:pPr>
        <w:jc w:val="both"/>
        <w:ind w:left="900" w:right="900"/>
        <w:spacing w:after="0" w:line="271" w:lineRule="auto"/>
        <w:rPr>
          <w:sz w:val="20"/>
          <w:szCs w:val="20"/>
          <w:color w:val="auto"/>
        </w:rPr>
      </w:pPr>
      <w:r>
        <w:rPr>
          <w:rFonts w:ascii="Times New Roman" w:cs="Times New Roman" w:eastAsia="Times New Roman" w:hAnsi="Times New Roman"/>
          <w:sz w:val="14"/>
          <w:szCs w:val="14"/>
          <w:color w:val="auto"/>
        </w:rPr>
        <w:t>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2" w:lineRule="exact"/>
        <w:rPr>
          <w:sz w:val="20"/>
          <w:szCs w:val="20"/>
          <w:color w:val="auto"/>
        </w:rPr>
      </w:pPr>
    </w:p>
    <w:p>
      <w:pPr>
        <w:jc w:val="both"/>
        <w:ind w:left="900" w:right="900" w:firstLine="6"/>
        <w:spacing w:after="0" w:line="236" w:lineRule="auto"/>
        <w:tabs>
          <w:tab w:leader="none" w:pos="114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95" w:lineRule="exact"/>
        <w:rPr>
          <w:sz w:val="20"/>
          <w:szCs w:val="20"/>
          <w:color w:val="auto"/>
        </w:rPr>
      </w:pPr>
    </w:p>
    <w:p>
      <w:pPr>
        <w:ind w:left="1680" w:hanging="389"/>
        <w:spacing w:after="0"/>
        <w:tabs>
          <w:tab w:leader="none" w:pos="1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debt;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liens;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(including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assets;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on our capital stock.</w:t>
      </w:r>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record impairment charges against the carrying value of our goodwill and other intangible assets in the future.</w:t>
      </w:r>
    </w:p>
    <w:p>
      <w:pPr>
        <w:spacing w:after="0" w:line="79"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6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69" w:lineRule="exact"/>
        <w:rPr>
          <w:sz w:val="20"/>
          <w:szCs w:val="20"/>
          <w:color w:val="auto"/>
        </w:rPr>
      </w:pPr>
    </w:p>
    <w:p>
      <w:pPr>
        <w:jc w:val="both"/>
        <w:ind w:left="900" w:right="9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During the year ended December 31, 2022, two customers accounted for approximately $16.8 million, or 28.8%,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9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reliance on a limited base of suppliers for our products may result in disruptions to our supply chain and business and adversely affect our financial results.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9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As a company with clients operating in the cannabis industry, we face many particular and evolving risks associated with that industry.</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Marijuana remains illegal under U.S. federal law.</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Uncertainty of federal enforcement and the need to renew temporary safeguards.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January 4, 2018, former Attorney General Sessions rescinded the previously issued memoranda (known as the Cole Memorandum) from the U.S. Department of Justice (“DOJ”) that had de -prioritized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02"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7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3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Further legislative development beneficial to our operations is not guaranteed.</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cannabis industry could face strong opposition from other industries.</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legality of marijuana could be reversed in one or more states.</w:t>
      </w:r>
    </w:p>
    <w:p>
      <w:pPr>
        <w:spacing w:after="0" w:line="12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Changing legislation and evolving interpretations of law.</w:t>
      </w:r>
    </w:p>
    <w:p>
      <w:pPr>
        <w:spacing w:after="0" w:line="120" w:lineRule="exact"/>
        <w:rPr>
          <w:sz w:val="20"/>
          <w:szCs w:val="20"/>
          <w:color w:val="auto"/>
        </w:rPr>
      </w:pPr>
    </w:p>
    <w:p>
      <w:pPr>
        <w:jc w:val="both"/>
        <w:ind w:left="900" w:right="880" w:firstLine="384"/>
        <w:spacing w:after="0" w:line="237" w:lineRule="auto"/>
        <w:rPr>
          <w:sz w:val="20"/>
          <w:szCs w:val="20"/>
          <w:color w:val="auto"/>
        </w:rPr>
      </w:pPr>
      <w:r>
        <w:rPr>
          <w:rFonts w:ascii="Times New Roman" w:cs="Times New Roman" w:eastAsia="Times New Roman" w:hAnsi="Times New Roman"/>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business depends in part on client licensing.</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Banking regulations could limit access to banking services.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 -related businesses bankruptcy protection, thus making it very difficult for lenders to recoup their investments, which may limit the willingness of banks to lend to our clients and to us.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may face insurance risks.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participate in an evolving industry.</w:t>
      </w:r>
    </w:p>
    <w:p>
      <w:pPr>
        <w:spacing w:after="0" w:line="12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 -term success may depend on our ability to successfully adjust our strategy to meet the changing market dynamics. If we are unable to successfully adapt to changes in the cannabis industry, our operations could be adversely affected.</w:t>
      </w:r>
    </w:p>
    <w:p>
      <w:pPr>
        <w:spacing w:after="0" w:line="14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6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our credit profile may affect our relationship with our suppliers, which could have a material adverse effect on our liquidity.</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65"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2"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42"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9" w:lineRule="exact"/>
        <w:rPr>
          <w:sz w:val="20"/>
          <w:szCs w:val="20"/>
          <w:color w:val="auto"/>
        </w:rPr>
      </w:pPr>
    </w:p>
    <w:p>
      <w:pPr>
        <w:jc w:val="both"/>
        <w:ind w:left="900" w:right="900" w:firstLine="384"/>
        <w:spacing w:after="0" w:line="274" w:lineRule="auto"/>
        <w:rPr>
          <w:sz w:val="20"/>
          <w:szCs w:val="20"/>
          <w:color w:val="auto"/>
        </w:rPr>
      </w:pPr>
      <w:r>
        <w:rPr>
          <w:rFonts w:ascii="Times New Roman" w:cs="Times New Roman" w:eastAsia="Times New Roman" w:hAnsi="Times New Roman"/>
          <w:sz w:val="14"/>
          <w:szCs w:val="14"/>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face intense competition that could prohibit us from developing or increasing our customer base.</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2"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Protecting and defending against intellectual property claims may have a material adverse effect on our business.</w:t>
      </w:r>
    </w:p>
    <w:p>
      <w:pPr>
        <w:spacing w:after="0" w:line="79"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26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92" w:lineRule="exact"/>
        <w:rPr>
          <w:sz w:val="20"/>
          <w:szCs w:val="20"/>
          <w:color w:val="auto"/>
        </w:rPr>
      </w:pPr>
    </w:p>
    <w:p>
      <w:pPr>
        <w:ind w:left="1680" w:hanging="389"/>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been the first to make the inventions claimed or disclosed in our patent application;</w:t>
      </w:r>
    </w:p>
    <w:p>
      <w:pPr>
        <w:spacing w:after="0" w:line="139"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01"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2"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unaware of or unfamiliar with prior art and/or interpretations of prior art that could potentially impact the validity or scope of our patents or patent applications that we may file;</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elect not to maintain or pursue intellectual property rights that, at some point in time, may be considered relevant to or enforceable against a competitor;</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products and technologies that are patentable, or we may develop additional proprietary products and technologies that are not patentable;</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or other intellectual property rights of others may have an adverse effect on our business; and</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in part upon our ability to protect our core technology and intellectual property.</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02"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3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need to enter into intellectual property license agreements in the future, and if we are unable to obtain these licenses, our business could be harmed.</w:t>
      </w:r>
    </w:p>
    <w:p>
      <w:pPr>
        <w:spacing w:after="0" w:line="79"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Others may assert intellectual property infringement claims against us.</w:t>
      </w:r>
    </w:p>
    <w:p>
      <w:pPr>
        <w:spacing w:after="0" w:line="120"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of December 31, 2022, we had net operating loss (“NOL”) carryforwards for federal and state income tax purposes which may be available to offset taxable income in future years. Approximately $675 thousand of federal NOLs will expire if not utilized by 2037 and approximately $96.0 million of federal NOLs carryforward indefinitely but are only available to offset 80% of taxable income per year. The $ 71.6 million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2022,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There are no assurances that our outstanding loans will be forgivable in whole or in part.</w:t>
      </w:r>
    </w:p>
    <w:p>
      <w:pPr>
        <w:spacing w:after="0" w:line="120"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 thousand from the unsecured PPP loan which was originally scheduled to mature in May 2022. We applied for forgiveness on the $779 thousand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 thousand that commenced on August 7, 2022.</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8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among our existing executive officers, directors and their affiliates may prevent new investors from influencing significant corporate decisions.</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executive officers, directors and their affiliates beneficially own, in the aggregate, approximately 52.57% of our outstanding shares of common stock. In particular, Raymond Chang, our Chairman of the Board and Chief Executive Officer, beneficially owns approximately 49.99% of our outstanding shares of common stock, and I-Tseng Jenny Chan, a member of our Board of Directors, beneficially owns approximately 49.99% of our outstanding shares of common stock, primarily as a result of a convertible note that is currently convertible into 10,273,973 shares of common stock that is held by an entity owned and controlled by Mr. Chang and Ms. Chan, which is subject to a 49.99% beneficial ownership limitation.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large number of shares eligible for public sale could depress the market price of our common stock.</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1" w:name="page32"/>
    <w:bookmarkEnd w:id="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60"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failure to meet the continued listing requirements of Nasdaq could result in a de-listing of our Common Stock.</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from Nasdaq (the “April Nasdaq Notice”)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are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1" w:lineRule="exact"/>
        <w:rPr>
          <w:sz w:val="20"/>
          <w:szCs w:val="20"/>
          <w:color w:val="auto"/>
        </w:rPr>
      </w:pPr>
    </w:p>
    <w:p>
      <w:pPr>
        <w:jc w:val="both"/>
        <w:ind w:left="900" w:right="920" w:firstLine="384"/>
        <w:spacing w:after="0" w:line="331" w:lineRule="auto"/>
        <w:rPr>
          <w:sz w:val="20"/>
          <w:szCs w:val="20"/>
          <w:color w:val="auto"/>
        </w:rPr>
      </w:pPr>
      <w:r>
        <w:rPr>
          <w:rFonts w:ascii="Times New Roman" w:cs="Times New Roman" w:eastAsia="Times New Roman" w:hAnsi="Times New Roman"/>
          <w:sz w:val="14"/>
          <w:szCs w:val="14"/>
          <w:color w:val="auto"/>
        </w:rPr>
        <w:t>We will take all possible actions to restore our compliance with Nasdaq, but we can provide no assurances that the listing of our common stock will be restored or that we otherwise will remain listed on Nasdaq.</w:t>
      </w:r>
    </w:p>
    <w:p>
      <w:pPr>
        <w:spacing w:after="0" w:line="10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exercise of all or any number of outstanding warrants or the issuance of stock-based awards may dilute your holding of shares of our common stock.</w:t>
      </w:r>
    </w:p>
    <w:p>
      <w:pPr>
        <w:spacing w:after="0" w:line="7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have issued several securities providing for the right to purchase our common stock. Investors could be subject to increased dilution upon the exercise of our warrants. A total of 1,495,011 warrants were issued and outstanding as of February 14, 2024.</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14,865 shares of common stock were reserved for issuance of currently outstanding equity-based awards to employees, directors and certain other individuals under our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Investors may experience dilution in the value of their investment upon the exercise of the warrants and any equity awards that may be granted or issued pursuant to the 2022 Omnibus Equity Incentive Plan.</w:t>
      </w:r>
    </w:p>
    <w:p>
      <w:pPr>
        <w:spacing w:after="0" w:line="151"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6"/>
          <w:szCs w:val="16"/>
          <w:i w:val="1"/>
          <w:iCs w:val="1"/>
          <w:color w:val="auto"/>
        </w:rPr>
        <w:t>.</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97" w:lineRule="exact"/>
        <w:rPr>
          <w:sz w:val="20"/>
          <w:szCs w:val="20"/>
          <w:color w:val="auto"/>
        </w:rPr>
      </w:pPr>
    </w:p>
    <w:p>
      <w:pPr>
        <w:ind w:left="1680" w:hanging="389"/>
        <w:spacing w:after="0"/>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stockholders to call special meetings; and</w:t>
      </w:r>
    </w:p>
    <w:p>
      <w:pPr>
        <w:spacing w:after="0" w:line="116" w:lineRule="exact"/>
        <w:rPr>
          <w:rFonts w:ascii="Times New Roman" w:cs="Times New Roman" w:eastAsia="Times New Roman" w:hAnsi="Times New Roman"/>
          <w:sz w:val="16"/>
          <w:szCs w:val="16"/>
          <w:color w:val="auto"/>
        </w:rPr>
      </w:pPr>
    </w:p>
    <w:p>
      <w:pPr>
        <w:jc w:val="both"/>
        <w:ind w:left="1680" w:right="900" w:hanging="389"/>
        <w:spacing w:after="0" w:line="241"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63" w:lineRule="exact"/>
        <w:rPr>
          <w:sz w:val="20"/>
          <w:szCs w:val="20"/>
          <w:color w:val="auto"/>
        </w:rPr>
      </w:pPr>
    </w:p>
    <w:p>
      <w:pPr>
        <w:jc w:val="both"/>
        <w:ind w:left="900" w:right="9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6"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 -Oxley Act, (2) reduced disclosure obligations regarding executive compensation in this report and our periodic reports and proxy statements and</w:t>
      </w:r>
    </w:p>
    <w:p>
      <w:pPr>
        <w:spacing w:after="0" w:line="3" w:lineRule="exact"/>
        <w:rPr>
          <w:sz w:val="20"/>
          <w:szCs w:val="20"/>
          <w:color w:val="auto"/>
        </w:rPr>
      </w:pPr>
    </w:p>
    <w:p>
      <w:pPr>
        <w:jc w:val="both"/>
        <w:ind w:left="900" w:right="900" w:firstLine="6"/>
        <w:spacing w:after="0" w:line="235" w:lineRule="auto"/>
        <w:tabs>
          <w:tab w:leader="none" w:pos="115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01"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 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have not and do not expect to declare any dividends to our shareholders in the foreseeable future.</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63"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66" w:lineRule="exact"/>
        <w:rPr>
          <w:sz w:val="20"/>
          <w:szCs w:val="20"/>
          <w:color w:val="auto"/>
        </w:rPr>
      </w:pPr>
    </w:p>
    <w:p>
      <w:pPr>
        <w:jc w:val="both"/>
        <w:ind w:left="900" w:right="90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have identified the following material weaknesses:</w:t>
      </w:r>
    </w:p>
    <w:p>
      <w:pPr>
        <w:spacing w:after="0" w:line="116" w:lineRule="exact"/>
        <w:rPr>
          <w:sz w:val="20"/>
          <w:szCs w:val="20"/>
          <w:color w:val="auto"/>
        </w:rPr>
      </w:pPr>
    </w:p>
    <w:p>
      <w:pPr>
        <w:ind w:left="1680" w:hanging="389"/>
        <w:spacing w:after="0"/>
        <w:tabs>
          <w:tab w:leader="none" w:pos="1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close timely;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technical expertise;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for complex financial instruments.</w:t>
      </w:r>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a result of these material weaknesses, our management concluded that our internal control over financial reporting was not effective as of September 30, 2023.</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6"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COVID- 19 pandemic and mitigation efforts have also adversely affected our customers’ financial condition, resulting in reduced spending for the products we sell.</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72"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prolonged economic downturn, particularly in light of the COVID-19 pandemic, could adversely affect our business.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Increases in costs, disruption of supply or shortage of raw materials could harm our business.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Matters relating to the employment market and prevailing wage standards may adversely affect our business.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Litigation may adversely affect our business, financial condition and results of operations.</w:t>
      </w:r>
    </w:p>
    <w:p>
      <w:pPr>
        <w:spacing w:after="0" w:line="12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328"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 active, liquid, and orderly trading market for our common stock may not develop, the price of our stock may be volatile, and you could lose all or part of your investment.</w:t>
      </w:r>
    </w:p>
    <w:p>
      <w:pPr>
        <w:spacing w:after="0" w:line="79"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92" w:lineRule="exact"/>
        <w:rPr>
          <w:sz w:val="20"/>
          <w:szCs w:val="20"/>
          <w:color w:val="auto"/>
        </w:rPr>
      </w:pPr>
    </w:p>
    <w:p>
      <w:pPr>
        <w:ind w:left="4420" w:right="3800" w:hanging="3129"/>
        <w:spacing w:after="0" w:line="401" w:lineRule="auto"/>
        <w:tabs>
          <w:tab w:leader="none" w:pos="166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achieve our anticipated corporate objectives;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165100</wp:posOffset>
            </wp:positionV>
            <wp:extent cx="45732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hanging="389"/>
        <w:spacing w:after="0"/>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financial or operational estimates or projections;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implement our operational plans;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the lock-up agreement or other restrictions on the ability of our stockholders to sell shares;</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performance or market valuations of companies similar to ours;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or political conditions in the U.S. or elsewhere.</w:t>
      </w:r>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9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6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63" w:lineRule="exact"/>
        <w:rPr>
          <w:sz w:val="20"/>
          <w:szCs w:val="20"/>
          <w:color w:val="auto"/>
        </w:rPr>
      </w:pPr>
    </w:p>
    <w:p>
      <w:pPr>
        <w:jc w:val="both"/>
        <w:ind w:left="900" w:right="9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Concerns about our practices with regard to the collection, use, disclosure, or security of personal information or other data-privacy- 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98"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We may experience cyber- 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6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operations may be impaired if our information technology systems fail to perform adequately or if we are the subject of a data breach or cyber-attack.</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01"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328"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shares of common stock become subject to the penny stock rules, it would become more difficult to trade our shares.</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 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financial and operational projections that we may make from time to time are subject to inherent risks.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If we were to dissolve, the holders of our securities may lose all or substantial amounts of their investments.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65"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Risks Relating to This Offering</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You will experience immediate and substantial dilution.</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The exercise of our outstanding stock options and warrants could result in further dilution of your investment. See the section titled “Dilution” below for a more detailed illustration of the dilution you would incur if you participate in this offering.</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stockholders may be subject to dilution resulting from future offerings of common stock by us.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will have broad discretion with respect to the use of any net proceeds of this offering.</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There are risks, including stock market volatility, inherent in owning our common stock.</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Pre-Funded Warrants are speculative in nature.</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 Funded Warrants, if any, is uncertain and there can be no assurance that the market price of our common stock will ever equal or exceed their imputed offering price.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expect that the liquidity of the Pre-Funded Warrants will be limited.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being offered in this offering, and we do not expect a market to develop. In addition, we do not intend to apply to list the Pre- Funded Warrants on any national securities exchange or other nationally recognized trading system, including The Nasdaq Capital Market. Without an active market, the liquidity of the Pre-Funded Warrants will be limited.</w:t>
      </w:r>
    </w:p>
    <w:p>
      <w:pPr>
        <w:spacing w:after="0" w:line="16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Holders of the Pre-Funded Warrants purchased in this offering will have no rights as stockholders until such holders exercise such warrants and acquire our common stock.</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Until holders of the Pre-Funded Warrants acquire shares of our common stock upon exercise thereof, holders of such Pre-Funded Warrants will have no rights with respect to the shares of our common stock underlying such Pre-Funded Warrants. Upon exercise of the Pre-Funded Warrants, such holders will be entitled to exercise the rights of a common stockholder only as to matters for which the record date occurs after the exercise date.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86" w:lineRule="exact"/>
        <w:rPr>
          <w:sz w:val="20"/>
          <w:szCs w:val="20"/>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opportunity;</w:t>
      </w:r>
    </w:p>
    <w:p>
      <w:pPr>
        <w:spacing w:after="0" w:line="104"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increased competition as well as innovations by new and existing competitors in our market;</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our existing customers and to increase our number of customers;</w:t>
      </w:r>
    </w:p>
    <w:p>
      <w:pPr>
        <w:spacing w:after="0" w:line="104"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revenue from our customers pursuant to existing total turn-key (TTK) solution implementations;</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growth of the indoor agriculture industry and demands of our customers;</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manage or sustain our growth;</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of complementary businesses and technologies;</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or strengthen awareness of, our brand;</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revenue, hiring plans, expenses, capital expenditures, and capital requirements;</w:t>
      </w:r>
    </w:p>
    <w:p>
      <w:pPr>
        <w:spacing w:after="0" w:line="104"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new or modified laws and regulations that currently apply or become applicable to our business;</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key employees or management personnel;</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capital requirements; and</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protect, and enhance our intellectual property.</w:t>
      </w:r>
    </w:p>
    <w:p>
      <w:pPr>
        <w:spacing w:after="0" w:line="116"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 -term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26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 -looking statements by these cautionary statements.</w:t>
      </w:r>
    </w:p>
    <w:p>
      <w:pPr>
        <w:spacing w:after="0" w:line="95" w:lineRule="exact"/>
        <w:rPr>
          <w:sz w:val="20"/>
          <w:szCs w:val="20"/>
          <w:color w:val="auto"/>
        </w:rPr>
      </w:pPr>
    </w:p>
    <w:p>
      <w:pPr>
        <w:jc w:val="both"/>
        <w:ind w:left="900" w:right="880" w:firstLine="384"/>
        <w:spacing w:after="0" w:line="284"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FOR COMMON STOCK</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“AGFY”. On February 13, 2024, the last reported sale price of our common stock as reported by The Nasdaq Capital Market was $0.6005 per share. As of such date, we had approximately 62 stockholders of record.</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certain information about our executive officers, key employees and directors as of the date of this prospectus.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2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8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Chief Science Officer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Brian Towns</w:t>
            </w:r>
          </w:p>
        </w:tc>
        <w:tc>
          <w:tcPr>
            <w:tcW w:w="540" w:type="dxa"/>
            <w:vAlign w:val="bottom"/>
            <w:gridSpan w:val="2"/>
            <w:shd w:val="clear" w:color="auto" w:fill="CCEEFF"/>
          </w:tcPr>
          <w:p>
            <w:pPr>
              <w:jc w:val="center"/>
              <w:ind w:left="22"/>
              <w:spacing w:after="0" w:line="167" w:lineRule="exact"/>
              <w:rPr>
                <w:sz w:val="20"/>
                <w:szCs w:val="20"/>
                <w:color w:val="auto"/>
              </w:rPr>
            </w:pPr>
            <w:r>
              <w:rPr>
                <w:rFonts w:ascii="Times New Roman" w:cs="Times New Roman" w:eastAsia="Times New Roman" w:hAnsi="Times New Roman"/>
                <w:sz w:val="16"/>
                <w:szCs w:val="16"/>
                <w:color w:val="auto"/>
                <w:w w:val="99"/>
              </w:rPr>
              <w:t>37</w:t>
            </w:r>
          </w:p>
        </w:tc>
        <w:tc>
          <w:tcPr>
            <w:tcW w:w="8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Executive Vice President and General Manager of Extraction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Division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Max Holtzman</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I-Tseng Jenny Chan</w:t>
            </w:r>
          </w:p>
        </w:tc>
        <w:tc>
          <w:tcPr>
            <w:tcW w:w="5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50</w:t>
            </w:r>
          </w:p>
        </w:tc>
        <w:tc>
          <w:tcPr>
            <w:tcW w:w="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Mahoney</w:t>
            </w:r>
          </w:p>
        </w:tc>
        <w:tc>
          <w:tcPr>
            <w:tcW w:w="5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Krishnan Varier</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900" w:right="900" w:firstLine="384"/>
        <w:spacing w:after="0" w:line="251" w:lineRule="auto"/>
        <w:rPr>
          <w:sz w:val="20"/>
          <w:szCs w:val="20"/>
          <w:color w:val="auto"/>
        </w:rPr>
      </w:pPr>
      <w:r>
        <w:rPr>
          <w:rFonts w:ascii="Times New Roman" w:cs="Times New Roman" w:eastAsia="Times New Roman" w:hAnsi="Times New Roman"/>
          <w:sz w:val="15"/>
          <w:szCs w:val="15"/>
          <w:b w:val="1"/>
          <w:bCs w:val="1"/>
          <w:i w:val="1"/>
          <w:iCs w:val="1"/>
          <w:color w:val="auto"/>
        </w:rPr>
        <w:t xml:space="preserve">Raymond Chang. </w:t>
      </w:r>
      <w:r>
        <w:rPr>
          <w:rFonts w:ascii="Times New Roman" w:cs="Times New Roman" w:eastAsia="Times New Roman" w:hAnsi="Times New Roman"/>
          <w:sz w:val="15"/>
          <w:szCs w:val="15"/>
          <w:color w:val="auto"/>
        </w:rPr>
        <w:t>Mr. Chang has served as Chief Executive Officer and Chairman of the Board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since June 2019 and served as the Company’s President from June 2019 to November 2021.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 -five “Next Generation Global Leaders Under 40” and by Business Week Asia as one of Asia’s 20 most influential new economy leaders in the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5"/>
          <w:szCs w:val="15"/>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Mr. Chang has served as a Director of our Company since June 2019.</w:t>
      </w:r>
    </w:p>
    <w:p>
      <w:pPr>
        <w:spacing w:after="0" w:line="270" w:lineRule="exact"/>
        <w:rPr>
          <w:sz w:val="20"/>
          <w:szCs w:val="20"/>
          <w:color w:val="auto"/>
        </w:rPr>
      </w:pPr>
    </w:p>
    <w:p>
      <w:pPr>
        <w:jc w:val="both"/>
        <w:ind w:left="900" w:right="900" w:firstLine="384"/>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Kessler. </w:t>
      </w:r>
      <w:r>
        <w:rPr>
          <w:rFonts w:ascii="Times New Roman" w:cs="Times New Roman" w:eastAsia="Times New Roman" w:hAnsi="Times New Roman"/>
          <w:sz w:val="14"/>
          <w:szCs w:val="14"/>
          <w:color w:val="auto"/>
        </w:rPr>
        <w:t>Mr. Kessler has served as our Chief Science Officer since July 2022. Since 2013, he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owner and operator of Willowbrook Orchids LLC, a national award -winning boutique orchid nursery. From 2006 through 2016, Mr. Kessler served as a Horticulturist at Atlantic Hydroponics, where he oversaw project management. Mr. Kessler has over twenty years of cannabis cultivation experience including ten years of CEA (closed environmental agriculture) indoor farm design. Mr. Kessler’s focus on the application of technology to optimize process &amp; workflow while reducing operational costs are a common theme throughout his prolific industry publications having written for such companies as Sunlight Supply, Maximum Yield Magazine, Botanicare, and Hawthorne Gardening Company. Mr. Kessler also regularly lectures at many cannabis industry events and appears regularly on industry podcasts. Mr. Kessler’s decades of experience with horticultural lighting have allowed him the opportunity to be a product tester for companies such as Sharp Electronics and the Horticultural Lighting Group. He has worked with independent 3 party laboratories to provide unbiased testing data comparing product performance from a multitude of horticultural lighting manufacturers. Mr. Kessler received a Bachelor of Arts degree and undertook post graduate studies in biology at SUNY-Oswego.</w:t>
      </w:r>
    </w:p>
    <w:p>
      <w:pPr>
        <w:spacing w:after="0" w:line="25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Brian Towns. </w:t>
      </w:r>
      <w:r>
        <w:rPr>
          <w:rFonts w:ascii="Times New Roman" w:cs="Times New Roman" w:eastAsia="Times New Roman" w:hAnsi="Times New Roman"/>
          <w:sz w:val="16"/>
          <w:szCs w:val="16"/>
          <w:color w:val="auto"/>
        </w:rPr>
        <w:t>Mr. Towns has served as the Executive Vice President and General Manager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Extraction Division since May 2023, and previously served as Vice President of Operations from October 2021 through May 2023. Prior to that role, Mr. Towns 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900" w:right="920"/>
        <w:spacing w:after="0" w:line="237" w:lineRule="auto"/>
        <w:rPr>
          <w:sz w:val="20"/>
          <w:szCs w:val="20"/>
          <w:color w:val="auto"/>
        </w:rPr>
      </w:pPr>
      <w:r>
        <w:rPr>
          <w:rFonts w:ascii="Times New Roman" w:cs="Times New Roman" w:eastAsia="Times New Roman" w:hAnsi="Times New Roman"/>
          <w:sz w:val="16"/>
          <w:szCs w:val="16"/>
          <w:color w:val="auto"/>
        </w:rPr>
        <w:t>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 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98"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Max Holtzman. </w:t>
      </w:r>
      <w:r>
        <w:rPr>
          <w:rFonts w:ascii="Times New Roman" w:cs="Times New Roman" w:eastAsia="Times New Roman" w:hAnsi="Times New Roman"/>
          <w:sz w:val="14"/>
          <w:szCs w:val="14"/>
          <w:color w:val="auto"/>
        </w:rPr>
        <w:t>Mr. Holtzman has served as a member of our Board of Directors since July 14, 2022.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Mr. Holtzman has served as Operations Director at Ocean 14 Capital, a private equity impact fund focused on the Blue Economy, since December 2021. Mr. Holtzman has also served as Investments Principal at Pontos Aqua, LLC, which provides strategic advisory services in the global seafood and aquaculture space, since June 2017. Mr. Holtzman is a founding officer of Stronger America through Seafood, which strives to increase the production of healthy, sustainable, and affordable seafood in the United States. Mr. Holtzman previously served as the Vice Chairman of Capitol Peak Asset Management, which focused on infrastructure projects and companies in Rural America. Prior to Capitol Peak, Mr. Holtzman was appointed by President Obama as the Senior Advisor to the United States Secretary of Agriculture. From 2009 to 2014,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 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 Prior to this appointment, Mr. Holtzman, an attorney for over 25 years, provided strategic consulting to multi- national companies related to transportation infrastructure, project finance, public-private partnerships, health care, and government procurement. He also served as a City Attorney and Special Counsel to several municipalities. Mr. Holtzman has served as a Board Member of The Arcadia Center for Sustainable Food and Agriculture since September 2016, the Founding Chairman of Adopt-A-Classroom, and he has sat on the Global Advisory Council of Secure System since January 2018. Mr. Holtzman received his undergraduate degree in Agricultural Economics from the University of Florida’s Institute of Food and Agricultural Sciences and his law degree from the University of Miami.</w:t>
      </w:r>
    </w:p>
    <w:p>
      <w:pPr>
        <w:spacing w:after="0" w:line="200" w:lineRule="exact"/>
        <w:rPr>
          <w:sz w:val="20"/>
          <w:szCs w:val="20"/>
          <w:color w:val="auto"/>
        </w:rPr>
      </w:pPr>
    </w:p>
    <w:p>
      <w:pPr>
        <w:spacing w:after="0" w:line="244" w:lineRule="exact"/>
        <w:rPr>
          <w:sz w:val="20"/>
          <w:szCs w:val="20"/>
          <w:color w:val="auto"/>
        </w:rPr>
      </w:pPr>
    </w:p>
    <w:p>
      <w:pPr>
        <w:jc w:val="both"/>
        <w:ind w:left="900" w:right="900" w:firstLine="38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I-Tseng Jenny Chan. </w:t>
      </w:r>
      <w:r>
        <w:rPr>
          <w:rFonts w:ascii="Times New Roman" w:cs="Times New Roman" w:eastAsia="Times New Roman" w:hAnsi="Times New Roman"/>
          <w:sz w:val="16"/>
          <w:szCs w:val="16"/>
          <w:color w:val="auto"/>
        </w:rPr>
        <w:t>Ms. Chan joined Agrify’s Board of Directors in January 2024. Ms. Chan is a luxury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brand professional with more than twenty years’ expertise in selling and curating rare gems and antiques. From 2012 to 2018, Ms. Chan served as founder of Studio Rouge in Taipei, Taiwan, where she was responsible for jewelry procurement and merchandise development. Prior to that, Ms. Chan served in various roles at De Beers, Dior Joallerie, JP Collections, Nortel Networks and Thomasville Jewelry Company. Ms. Chan received a Bachelor of Engineering from McGill University and a Master of Science at the University of Illinois.</w:t>
      </w:r>
    </w:p>
    <w:p>
      <w:pPr>
        <w:spacing w:after="0" w:line="96"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Leonard J. Sokolow. </w:t>
      </w:r>
      <w:r>
        <w:rPr>
          <w:rFonts w:ascii="Times New Roman" w:cs="Times New Roman" w:eastAsia="Times New Roman" w:hAnsi="Times New Roman"/>
          <w:sz w:val="16"/>
          <w:szCs w:val="16"/>
          <w:color w:val="auto"/>
        </w:rPr>
        <w:t>Mr. Sokolow has served as a member of Agrify’s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2021. Since September 2023, Mr. Sokolow has served as co-Chief Executive Officer of SKYX Platforms Corp. (Nasdaq: SKYX). He had served as in independent director and board committee member of SKYX Platforms since 2015 and continues to serve as a board member of that company. From 2015 to August 2023, Mr. Sokolow served as Chief Executive Officer and President of Newbridge Financial, Inc., a financial services holding company. From 2015 to July 2022 Mr. Sokolow served as Chairman of Newbridge Securities Corporation, Newbridge Financial, Inc.’s full service broker -dealer. From August 2022 to August 2023 Mr. Sokolow served as CEO of Newbridge Securities Corporation and Newbridge Financial Services Group, Inc., Newbridge Financial, Inc.’s, full service registered investment adviser. From 2008 through 2012, he served as President and Vice Chairman of National Holdings Corporation, a publicly traded financial services company. From November 1999 until January 2008, Mr. Sokolow was Chief Executive Officer and President, and a member of the Board of Directors, of vFinance Inc., a publicly traded financial services company, which he cofounded. Mr. Sokolow was the Chairman of the Board of Directors and Chief Executive Officer of vFinance Inc. from January 2007 until July 2008, when it merged into National Holdings Corporation. From 1994 to 1998, Mr. Sokolow was founder, Chairman and Chief Executive Officer of the Americas Growth Fund Inc., a closed -end registered investment company. From 1988 until 1993, Mr. Sokolow was an Executive Vice President and the General Counsel of Applica Inc., a publicly traded appliance marketing and distribution</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company. From 1982 until 1988, Mr. Sokolow practiced corporate, securities and tax law and was one of the founding attorneys and a partner of an international boutique law firm. From 1980 until 1982, he worked as a Certified Public Accountant for Ernst &amp; Young and KPMG Peat Marwick. Since June 2006, Mr. Sokolow has served on the Board of Directors of Consolidated Water Company Ltd. (Nasdaq: CWCO) and as Chairman of its Audit Committee; as well as a member of its Nominations and Corporate Governance Committee since 2011. Since December 2021, Mr. Sokolow has served as a member of the Board of Directors of Agrify Corporation (Nasdaq: AGFY), where he currently serves as a member of the Audit Committee and the Compensation Committee. Mr. Sokolow received his B.A. and J.D. degrees from the University of Florida and a Masters of Law in Taxation from New York University Law School and remains a Certified Public Accountant.</w:t>
      </w:r>
    </w:p>
    <w:p>
      <w:pPr>
        <w:spacing w:after="0" w:line="94"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Timothy Mahoney. </w:t>
      </w:r>
      <w:r>
        <w:rPr>
          <w:rFonts w:ascii="Times New Roman" w:cs="Times New Roman" w:eastAsia="Times New Roman" w:hAnsi="Times New Roman"/>
          <w:sz w:val="14"/>
          <w:szCs w:val="14"/>
          <w:color w:val="auto"/>
        </w:rPr>
        <w:t>Mr. Mahoney is the owner of Caribou LLC, a strategic advisory firm he founded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Mr. Mahoney served as a U.S. Representative for Florida’s 16 congressional district from January 2007 to January 2009. From 1998 to 2007, Mr. Mahoney was a Co-Founder of vFinance, Inc., which subsequently acquired National Holdings Corporation. National Holdings Corporation has grown to become one of America’s leading middle - 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pacing w:after="0" w:line="257"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Krishnan Varier. </w:t>
      </w:r>
      <w:r>
        <w:rPr>
          <w:rFonts w:ascii="Times New Roman" w:cs="Times New Roman" w:eastAsia="Times New Roman" w:hAnsi="Times New Roman"/>
          <w:sz w:val="16"/>
          <w:szCs w:val="16"/>
          <w:color w:val="auto"/>
        </w:rPr>
        <w:t>Mr. Varier joined Agrify’s Board of Directors in June 2020, after briefly serving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board observer. He is a Managing Partner and the Chief Investment Officer of Arcadian Capital Management, a Los Angeles, California based venture capital private equity firm particularly focused on investing in ancillary businesses related to the cannabis and hemp industries. He has served in this role since joining Arcadian in 2018 to help lead its principal investing activities, bringing more than 15 years of financial services and Wall Street deal-making experience. From 2016 through 2018, Mr. Varier formed Varier Venture Consulting LLC to assist in the growth of early-stage startup companies, primarily by providing strategic advice regarding capital raising strategies. From 2014 through 2016, Mr. Varier was an investment banker with Cowen &amp; Company, where he covered corporate clients in the healthcare biotechnology industry. From 2013 through 2014, he was a Senior Investment Analyst with Health Care REIT, which has since been re -branded as Welltower REIT, and is a leading provider of real estate capital to seniors housing operators, post- acute healthcare providers and health systems. From 2011 through 2013, Mr. Varier was an investment banker in BofA -Merrill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There are no family relationships among any of our executive officers or directors.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5" w:name="page46"/>
    <w:bookmarkEnd w:id="4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Board and Board Committee Matters</w:t>
      </w:r>
    </w:p>
    <w:p>
      <w:pPr>
        <w:spacing w:after="0" w:line="106"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Board currently consists of six directors. The Board has determined that Max Holtzman, Timothy Mahoney, Leonard J. Sokolow, and Krishnan Varier are all “Independent” directors under the Nasdaq listing standards.</w:t>
      </w:r>
    </w:p>
    <w:p>
      <w:pPr>
        <w:spacing w:after="0" w:line="8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8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 xml:space="preserve"> Please note that the information contained on the Company website is not incorporated by reference in, or considered to be a part of, this proxy statement.</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current members of the Committees are identified below:</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Corporate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Mergers and</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0" w:type="dxa"/>
            <w:vAlign w:val="bottom"/>
          </w:tcPr>
          <w:p>
            <w:pPr>
              <w:spacing w:after="0"/>
              <w:rPr>
                <w:sz w:val="1"/>
                <w:szCs w:val="1"/>
                <w:color w:val="auto"/>
              </w:rPr>
            </w:pPr>
          </w:p>
        </w:tc>
      </w:tr>
      <w:tr>
        <w:trPr>
          <w:trHeight w:val="28"/>
        </w:trPr>
        <w:tc>
          <w:tcPr>
            <w:tcW w:w="17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Max Holtzman</w:t>
            </w:r>
          </w:p>
        </w:tc>
        <w:tc>
          <w:tcPr>
            <w:tcW w:w="8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10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Timothy Mahoney</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Krishnan Varier</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00" w:right="9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The current members of the Nominating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w:t>
      </w:r>
    </w:p>
    <w:p>
      <w:pPr>
        <w:spacing w:after="0" w:line="8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The current members of the Compensation Committee are directors Mahoney,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chairs the committee, Sokolow and Holtzman.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8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The current members of the Audit Committee are directors Varier, who chairs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6" w:name="page47"/>
    <w:bookmarkEnd w:id="4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0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spacing w:after="0" w:line="95" w:lineRule="exact"/>
        <w:rPr>
          <w:sz w:val="20"/>
          <w:szCs w:val="20"/>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compensating, retaining, evaluating, terminating, and overseeing our independent registered public accounting firm;</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our independent registered public accounting firm the independence of its members from our management;</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the scope and results of their audit;</w:t>
      </w:r>
    </w:p>
    <w:p>
      <w:pPr>
        <w:spacing w:after="0" w:line="139"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all audit and permissible non-audit services to be performed by our independent registered public accounting firm;</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92"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monitoring our accounting principles, accounting policies, financial and accounting controls, and compliance with legal and regulatory requirements;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by our board of directors of our code of business conduct and our disclosure controls and procedures;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and/or anonymous submission of concerns regarding accounting, internal controls or auditing matters;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related party transactions.</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Audit Committee considers whether the provisions of these services are compatible with maintaining the auditor’s independence, and it determined such services for 2023 and 2022 were compatible.</w:t>
      </w:r>
    </w:p>
    <w:p>
      <w:pPr>
        <w:spacing w:after="0" w:line="81" w:lineRule="exact"/>
        <w:rPr>
          <w:sz w:val="20"/>
          <w:szCs w:val="20"/>
          <w:color w:val="auto"/>
        </w:rPr>
      </w:pPr>
    </w:p>
    <w:p>
      <w:pPr>
        <w:jc w:val="both"/>
        <w:ind w:left="900" w:right="9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Mergers and Acquisitions Committee. </w:t>
      </w:r>
      <w:r>
        <w:rPr>
          <w:rFonts w:ascii="Times New Roman" w:cs="Times New Roman" w:eastAsia="Times New Roman" w:hAnsi="Times New Roman"/>
          <w:sz w:val="16"/>
          <w:szCs w:val="16"/>
          <w:color w:val="auto"/>
        </w:rPr>
        <w:t>The current members of the Mergers and Acquisitions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directors Varier, who chairs the committee, Mahoney and Holtzman. The purpose of the Mergers &amp; Acquisitions Committee is to assist the Board and the Audit Committee in evaluating any related party transactions that the Company may consider from time to time.</w:t>
      </w:r>
    </w:p>
    <w:p>
      <w:pPr>
        <w:spacing w:after="0" w:line="1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2023, Messrs. Mahoney, Sokolow and Holtzman each served as members of the Compensation Committee. During 2023, no member of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18"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7" w:name="page48"/>
    <w:bookmarkEnd w:id="4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0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2468 Industrial Row Drive, Troy, Michigan 48084, Attn: Corporate Secretary.</w:t>
      </w:r>
    </w:p>
    <w:p>
      <w:pPr>
        <w:spacing w:after="0" w:line="26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Diversity Matrix (As of February 14, 2024)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49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0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80" w:type="dxa"/>
            <w:vAlign w:val="bottom"/>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c>
          <w:tcPr>
            <w:tcW w:w="0" w:type="dxa"/>
            <w:vAlign w:val="bottom"/>
          </w:tcPr>
          <w:p>
            <w:pPr>
              <w:spacing w:after="0"/>
              <w:rPr>
                <w:sz w:val="1"/>
                <w:szCs w:val="1"/>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1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Asian</w:t>
            </w:r>
          </w:p>
        </w:tc>
        <w:tc>
          <w:tcPr>
            <w:tcW w:w="11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w:t>
            </w:r>
          </w:p>
        </w:tc>
        <w:tc>
          <w:tcPr>
            <w:tcW w:w="11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Hispanic or Latinx</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White</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LGBTQ+</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Did Not Disclose Demographic</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Background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board diversity matrix for 2022 can be found in our definitive proxy statement filed with the Securities and Exchange Commission on April 29, 2022.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8" w:name="page49"/>
    <w:bookmarkEnd w:id="4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Qualifications</w:t>
      </w:r>
    </w:p>
    <w:p>
      <w:pPr>
        <w:spacing w:after="0" w:line="11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7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Mr. Chang, a director since June 2019, is currently the chairman and chief executive officer of the Company. Mr. Chang has a wealth of successful experience directing, managing and/or financing early-stage agricultural- and technology -based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6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Ms. Chan, a director since January 2024,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spacing w:after="0" w:line="95"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75"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Mr. Sokolow, a director since December 2021, is currently the co-Chief Executive Officer of SKYX Platforms, a Nasdaq-listed company.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7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9" w:name="page50"/>
    <w:bookmarkEnd w:id="4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Leadership Structure</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Combining Chairman and Chief Executive Officer Roles. </w:t>
      </w:r>
      <w:r>
        <w:rPr>
          <w:rFonts w:ascii="Times New Roman" w:cs="Times New Roman" w:eastAsia="Times New Roman" w:hAnsi="Times New Roman"/>
          <w:sz w:val="16"/>
          <w:szCs w:val="16"/>
          <w:color w:val="auto"/>
        </w:rPr>
        <w:t>Our Board of Directors is committed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principle of independence from management and to the highest standards of corporate governance. All of our directors other than Mr. Chang and Ms. Chan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03"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 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spacing w:after="0" w:line="3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Board of Directors’ Oversight of Risk</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02"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Committees. </w:t>
      </w:r>
      <w:r>
        <w:rPr>
          <w:rFonts w:ascii="Times New Roman" w:cs="Times New Roman" w:eastAsia="Times New Roman" w:hAnsi="Times New Roman"/>
          <w:sz w:val="14"/>
          <w:szCs w:val="14"/>
          <w:color w:val="auto"/>
        </w:rPr>
        <w:t>The Audit Committee maintains initial oversight over risks related to the integrity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74"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Full Board. </w:t>
      </w:r>
      <w:r>
        <w:rPr>
          <w:rFonts w:ascii="Times New Roman" w:cs="Times New Roman" w:eastAsia="Times New Roman" w:hAnsi="Times New Roman"/>
          <w:sz w:val="16"/>
          <w:szCs w:val="16"/>
          <w:color w:val="auto"/>
        </w:rPr>
        <w:t>At its regularly scheduled meetings, the Board generally receives several reports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2468 Industrial Row Drive, Troy, Michigan 48084, Attn: Corporate Secretary”. Communications by e - mail should be addressed to board@agrify.com and marked “Attention: Corporate Secretary” in the “Subject” field. Requests for contact, except for those stockholder</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0" w:name="page51"/>
    <w:bookmarkEnd w:id="5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39" w:lineRule="auto"/>
        <w:rPr>
          <w:sz w:val="20"/>
          <w:szCs w:val="20"/>
          <w:color w:val="auto"/>
        </w:rPr>
      </w:pPr>
      <w:r>
        <w:rPr>
          <w:rFonts w:ascii="Times New Roman" w:cs="Times New Roman" w:eastAsia="Times New Roman" w:hAnsi="Times New Roman"/>
          <w:sz w:val="16"/>
          <w:szCs w:val="16"/>
          <w:color w:val="auto"/>
        </w:rPr>
        <w:t>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 (ii) provide copies or summaries of such communications to the other directors as he or she considers appropriate.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Code of Ethics and Business Conduct</w:t>
      </w:r>
    </w:p>
    <w:p>
      <w:pPr>
        <w:spacing w:after="0" w:line="118"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 w:name="page52"/>
    <w:bookmarkEnd w:id="5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This section describes the compensation paid, or payable, for the last two fiscal years to our named executive officers. Our named executive officers during the fiscal year ended December 31, 2023 were Raymond Chang, our Chairman and Chief Executive Officer, David Kessler, our Chief Science Officer, Brian Towns, our Executive Vice President and General Manager of Extraction, Timothy Oakes, our former Chief Financial Officer, and Stuart Wilcox, our former Chief Operating Officer. Mr. Oakes resigned as Chief Financial Officer effective as of February 28, 2023. Mr. Wilcox resigned as Chief Operating Officer effective as of May 22, 2023.</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300,070</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29,268</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Chairman and Chief</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350,479</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33,099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Officer</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David Kessler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220,521</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28,588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Chief Science Officer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177,550</w:t>
            </w:r>
          </w:p>
        </w:tc>
        <w:tc>
          <w:tcPr>
            <w:tcW w:w="80" w:type="dxa"/>
            <w:vAlign w:val="bottom"/>
          </w:tcPr>
          <w:p>
            <w:pPr>
              <w:spacing w:after="0"/>
              <w:rPr>
                <w:sz w:val="21"/>
                <w:szCs w:val="2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50,000</w:t>
            </w: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32,164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Brian Towns</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211,726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29,268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Vice President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125,655</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20,550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15,034</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14,198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and General Manager of</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Extraction</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Timothy Oakes</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51,920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Former Chief Financial</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264,454</w:t>
            </w: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247,625</w:t>
            </w:r>
          </w:p>
        </w:tc>
        <w:tc>
          <w:tcPr>
            <w:tcW w:w="80" w:type="dxa"/>
            <w:vAlign w:val="bottom"/>
          </w:tcPr>
          <w:p>
            <w:pPr>
              <w:spacing w:after="0"/>
              <w:rPr>
                <w:sz w:val="20"/>
                <w:szCs w:val="20"/>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78,022</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19,626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609,727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Stuart Wilcox</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122,061</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Former Chief Operating</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142,539</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316,000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466,727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60"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p>
      <w:pPr>
        <w:spacing w:after="0" w:line="158"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amounts earned by each Named Executive Officer under our performance -based annual incentive plan.</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payment of health plan premiums as per Company policy.</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Oakes resigned as Chief Financial Officer effective February 28, 2023.</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Wilcox resigned as Chief Operating Officer effective May 22, 2023.</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 w:name="page53"/>
    <w:bookmarkEnd w:id="5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sets forth outstanding equity awards for Named Executive Officers as of December 31,</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vMerge w:val="restart"/>
          </w:tcPr>
          <w:p>
            <w:pPr>
              <w:spacing w:after="0"/>
              <w:rPr>
                <w:sz w:val="6"/>
                <w:szCs w:val="6"/>
                <w:color w:val="auto"/>
              </w:rPr>
            </w:pPr>
          </w:p>
        </w:tc>
        <w:tc>
          <w:tcPr>
            <w:tcW w:w="6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Vesting</w:t>
            </w:r>
          </w:p>
        </w:tc>
        <w:tc>
          <w:tcPr>
            <w:tcW w:w="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680" w:type="dxa"/>
            <w:vAlign w:val="bottom"/>
            <w:gridSpan w:val="2"/>
            <w:vMerge w:val="restart"/>
          </w:tcPr>
          <w:p>
            <w:pPr>
              <w:jc w:val="center"/>
              <w:ind w:right="80"/>
              <w:spacing w:after="0" w:line="143"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700" w:type="dxa"/>
            <w:vAlign w:val="bottom"/>
            <w:gridSpan w:val="2"/>
            <w:vMerge w:val="restart"/>
          </w:tcPr>
          <w:p>
            <w:pPr>
              <w:jc w:val="center"/>
              <w:ind w:right="100"/>
              <w:spacing w:after="0" w:line="143"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6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80" w:type="dxa"/>
            <w:vAlign w:val="bottom"/>
            <w:vMerge w:val="restart"/>
          </w:tcPr>
          <w:p>
            <w:pPr>
              <w:spacing w:after="0"/>
              <w:rPr>
                <w:sz w:val="6"/>
                <w:szCs w:val="6"/>
                <w:color w:val="auto"/>
              </w:rPr>
            </w:pPr>
          </w:p>
        </w:tc>
        <w:tc>
          <w:tcPr>
            <w:tcW w:w="68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32"/>
        </w:trPr>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5/6/20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456.00</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10/19/20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972.00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10/19/30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2,768.00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11/28/23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272,659</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Kessler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10/19/20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972.00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10/19/30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2,768.00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9/30/22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167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210</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jc w:val="center"/>
              <w:spacing w:after="0" w:line="11" w:lineRule="exact"/>
              <w:rPr>
                <w:sz w:val="20"/>
                <w:szCs w:val="20"/>
                <w:color w:val="auto"/>
              </w:rPr>
            </w:pPr>
            <w:r>
              <w:rPr>
                <w:rFonts w:ascii="Times New Roman" w:cs="Times New Roman" w:eastAsia="Times New Roman" w:hAnsi="Times New Roman"/>
                <w:sz w:val="1"/>
                <w:szCs w:val="1"/>
                <w:color w:val="auto"/>
              </w:rPr>
              <w:t>11/28/23</w:t>
            </w: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203,961</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256,134</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vMerge w:val="continue"/>
          </w:tcPr>
          <w:p>
            <w:pPr>
              <w:spacing w:after="0" w:line="20" w:lineRule="exact"/>
              <w:rPr>
                <w:sz w:val="1"/>
                <w:szCs w:val="1"/>
                <w:color w:val="auto"/>
              </w:rPr>
            </w:pPr>
          </w:p>
        </w:tc>
        <w:tc>
          <w:tcPr>
            <w:tcW w:w="1520" w:type="dxa"/>
            <w:vAlign w:val="bottom"/>
            <w:gridSpan w:val="2"/>
          </w:tcPr>
          <w:p>
            <w:pPr>
              <w:spacing w:after="0" w:line="11" w:lineRule="exact"/>
              <w:rPr>
                <w:sz w:val="20"/>
                <w:szCs w:val="20"/>
                <w:color w:val="auto"/>
              </w:rPr>
            </w:pPr>
            <w:r>
              <w:rPr>
                <w:rFonts w:ascii="Times New Roman" w:cs="Times New Roman" w:eastAsia="Times New Roman" w:hAnsi="Times New Roman"/>
                <w:sz w:val="1"/>
                <w:szCs w:val="1"/>
                <w:color w:val="auto"/>
              </w:rPr>
              <w:t>Brian Towns</w:t>
            </w: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9/30/22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167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210</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jc w:val="center"/>
              <w:spacing w:after="0" w:line="11" w:lineRule="exact"/>
              <w:rPr>
                <w:sz w:val="20"/>
                <w:szCs w:val="20"/>
                <w:color w:val="auto"/>
              </w:rPr>
            </w:pPr>
            <w:r>
              <w:rPr>
                <w:rFonts w:ascii="Times New Roman" w:cs="Times New Roman" w:eastAsia="Times New Roman" w:hAnsi="Times New Roman"/>
                <w:sz w:val="1"/>
                <w:szCs w:val="1"/>
                <w:color w:val="auto"/>
              </w:rPr>
              <w:t>11/28/23</w:t>
            </w: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203,961</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256,134</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vMerge w:val="continue"/>
          </w:tcPr>
          <w:p>
            <w:pPr>
              <w:spacing w:after="0" w:line="20" w:lineRule="exact"/>
              <w:rPr>
                <w:sz w:val="1"/>
                <w:szCs w:val="1"/>
                <w:color w:val="auto"/>
              </w:rPr>
            </w:pPr>
          </w:p>
        </w:tc>
        <w:tc>
          <w:tcPr>
            <w:tcW w:w="1520" w:type="dxa"/>
            <w:vAlign w:val="bottom"/>
            <w:gridSpan w:val="2"/>
          </w:tcPr>
          <w:p>
            <w:pPr>
              <w:spacing w:after="0" w:line="11" w:lineRule="exact"/>
              <w:rPr>
                <w:sz w:val="20"/>
                <w:szCs w:val="20"/>
                <w:color w:val="auto"/>
              </w:rPr>
            </w:pPr>
            <w:r>
              <w:rPr>
                <w:rFonts w:ascii="Times New Roman" w:cs="Times New Roman" w:eastAsia="Times New Roman" w:hAnsi="Times New Roman"/>
                <w:sz w:val="1"/>
                <w:szCs w:val="1"/>
                <w:color w:val="auto"/>
              </w:rPr>
              <w:t>Stuart Wilcox</w:t>
            </w: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7/14/22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667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838</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00" w:hanging="394"/>
        <w:spacing w:after="0" w:line="256"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granted replaced previous options awards issued on December 27, 2019, which were cancelled in May 2020. A portion of the May 6, 2020 option awards re -issued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4"/>
          <w:szCs w:val="14"/>
          <w:color w:val="auto"/>
        </w:rPr>
      </w:pPr>
    </w:p>
    <w:p>
      <w:pPr>
        <w:ind w:left="1300" w:right="900" w:hanging="394"/>
        <w:spacing w:after="0" w:line="250"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options granted will vest 12 months from the date of grant with the balance vesting in 36 equal monthly installments thereafter. 50% of the options vested upon the initial public offering.</w:t>
      </w: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granted will vest in 36 equal monthly installments from the date of grant.</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of the restricted stock units vest on each of the 1-year, 2-year and 3-year anniversaries of grant.</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stock units will vest on November 28, 2024, subject to shareholder approval.</w:t>
      </w:r>
    </w:p>
    <w:p>
      <w:pPr>
        <w:spacing w:after="0" w:line="7" w:lineRule="exact"/>
        <w:rPr>
          <w:rFonts w:ascii="Times New Roman" w:cs="Times New Roman" w:eastAsia="Times New Roman" w:hAnsi="Times New Roman"/>
          <w:sz w:val="14"/>
          <w:szCs w:val="14"/>
          <w:color w:val="auto"/>
        </w:rPr>
      </w:pPr>
    </w:p>
    <w:p>
      <w:pPr>
        <w:ind w:left="1300" w:right="940" w:hanging="394"/>
        <w:spacing w:after="0" w:line="267"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his separation agreement, Mr. Wilcox’s restricted stock units will continue vesting in accordance with their original terms following the separation.</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Employment and Separation Agreements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96" w:lineRule="exact"/>
        <w:rPr>
          <w:sz w:val="20"/>
          <w:szCs w:val="20"/>
          <w:color w:val="auto"/>
        </w:rPr>
      </w:pPr>
    </w:p>
    <w:p>
      <w:pPr>
        <w:jc w:val="both"/>
        <w:ind w:left="900" w:right="9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Employment Agreement for Mr. Chang</w:t>
      </w:r>
      <w:r>
        <w:rPr>
          <w:rFonts w:ascii="Times New Roman" w:cs="Times New Roman" w:eastAsia="Times New Roman" w:hAnsi="Times New Roman"/>
          <w:sz w:val="16"/>
          <w:szCs w:val="16"/>
          <w:color w:val="auto"/>
        </w:rPr>
        <w:t>: On January 4, 2021, we entered into a three-year employment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with Mr. Chang as the Company’s Chief Executive Officer, effective February 1, 2021 (the “Mr. Chang’s Employment Agreement”). The agreement, at the end of the initial three -year term, automatically renewed for a successive three-year period.</w:t>
      </w:r>
    </w:p>
    <w:p>
      <w:pPr>
        <w:spacing w:after="0" w:line="9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signing, Mr. Chang’s Employment Agreement established a minimum annual base salary level of $300,000 and provided for a discretionary bonus of $300,000, with payment subject to Mr. Chang being employed by us at this time of payment.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3" w:name="page54"/>
    <w:bookmarkEnd w:id="5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addition to the terms of our standard invention assignment, restrictive covenants, and confidentiality agreement, Mr. Chang’s employment agreement contains confidentiality, non - solicitation and non-competition provisions, whereby Mr. Chang is subject to non -solicitation restrictions for a period of at least one year and to non-competition restrictions for a period of at least six months following his employment period.</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95"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Employment Offer Letter for Mr. Kessler</w:t>
      </w:r>
      <w:r>
        <w:rPr>
          <w:rFonts w:ascii="Times New Roman" w:cs="Times New Roman" w:eastAsia="Times New Roman" w:hAnsi="Times New Roman"/>
          <w:sz w:val="16"/>
          <w:szCs w:val="16"/>
          <w:color w:val="auto"/>
        </w:rPr>
        <w:t>: On January 20, 2020, we provided a letter of employment offer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Mr. Kessler, as amended by the updated offer letter effective as of August 9, 2022.</w:t>
      </w:r>
    </w:p>
    <w:p>
      <w:pPr>
        <w:spacing w:after="0" w:line="8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Mr. Kessler’s offer letter establishes a minimum annual base salary level of $250,000 and provides for a discretionary performance- based bonus of $150,000. Mr. Kessler is an at will employee, and there are no severance benefits if his employment is terminated.</w:t>
      </w:r>
    </w:p>
    <w:p>
      <w:pPr>
        <w:spacing w:after="0" w:line="90"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Employment Agreement for Mr. Towns</w:t>
      </w:r>
      <w:r>
        <w:rPr>
          <w:rFonts w:ascii="Times New Roman" w:cs="Times New Roman" w:eastAsia="Times New Roman" w:hAnsi="Times New Roman"/>
          <w:sz w:val="16"/>
          <w:szCs w:val="16"/>
          <w:color w:val="auto"/>
        </w:rPr>
        <w:t>: On October 22, 2021, we provided a letter of employment offer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Towns, as amended on March 1, 2023, and May 25, 2023.</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Mr. Towns’ offer letter, as amended, establishes a minimum annual base salary level of $250,000.</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Mr. Towns is an at will employee, and there are no severance benefits if his employment is terminated.</w:t>
      </w:r>
    </w:p>
    <w:p>
      <w:pPr>
        <w:spacing w:after="0" w:line="96" w:lineRule="exact"/>
        <w:rPr>
          <w:sz w:val="20"/>
          <w:szCs w:val="20"/>
          <w:color w:val="auto"/>
        </w:rPr>
      </w:pPr>
    </w:p>
    <w:p>
      <w:pPr>
        <w:jc w:val="both"/>
        <w:ind w:left="900" w:right="9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Employment Agreement for Mr. Oakes</w:t>
      </w:r>
      <w:r>
        <w:rPr>
          <w:rFonts w:ascii="Times New Roman" w:cs="Times New Roman" w:eastAsia="Times New Roman" w:hAnsi="Times New Roman"/>
          <w:sz w:val="16"/>
          <w:szCs w:val="16"/>
          <w:color w:val="auto"/>
        </w:rPr>
        <w:t>: On November 10, 2021, we entered into a two-year employment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with Mr. Massie as our Chief Financial Officer, effective November 10, 2021. The agreement, at the end of the initial one-year term, if not terminated by either Mr. Oakes or the Company, would have automatically renewed for successive one-year periods.</w:t>
      </w:r>
    </w:p>
    <w:p>
      <w:pPr>
        <w:spacing w:after="0" w:line="94"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$ 275,000 per year, and an increase in his maximum discretionary bonus opportunity from $200,000 to $250,000 per year.</w:t>
      </w:r>
    </w:p>
    <w:p>
      <w:pPr>
        <w:spacing w:after="0" w:line="7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to the terms of our standard invention assignment, restrictive covenants, and confidentiality agreement, Mr. Oakes’ employment agreement contained confidentiality, non -solicitation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4" w:name="page55"/>
    <w:bookmarkEnd w:id="5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4"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Employment Agreement for Mr. Wilcox: </w:t>
      </w:r>
      <w:r>
        <w:rPr>
          <w:rFonts w:ascii="Times New Roman" w:cs="Times New Roman" w:eastAsia="Times New Roman" w:hAnsi="Times New Roman"/>
          <w:sz w:val="14"/>
          <w:szCs w:val="14"/>
          <w:color w:val="auto"/>
        </w:rPr>
        <w:t>On July 14, 2022, we entered into an employment agreement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 (ii) 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 (ii) 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spacing w:after="0" w:line="259"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 (b) all of Mr. Wilcox’s restricted stock units will continue to vest in accordance with their original vesting terms, notwithstanding his resignation. The separation agreement also contained a general release in favor of the Company.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Potential Termination Payments and Equity Awards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Termination Payout Table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concerning termination payouts for Named Executive Officers serving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ind w:left="540"/>
              <w:spacing w:after="0"/>
              <w:rPr>
                <w:sz w:val="20"/>
                <w:szCs w:val="20"/>
                <w:color w:val="auto"/>
              </w:rPr>
            </w:pPr>
            <w:r>
              <w:rPr>
                <w:rFonts w:ascii="Times New Roman" w:cs="Times New Roman" w:eastAsia="Times New Roman" w:hAnsi="Times New Roman"/>
                <w:sz w:val="13"/>
                <w:szCs w:val="13"/>
                <w:b w:val="1"/>
                <w:bCs w:val="1"/>
                <w:color w:val="auto"/>
              </w:rPr>
              <w:t>Potential Termination Payments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9"/>
          </w:tcPr>
          <w:p>
            <w:pPr>
              <w:ind w:left="400"/>
              <w:spacing w:after="0"/>
              <w:rPr>
                <w:sz w:val="20"/>
                <w:szCs w:val="20"/>
                <w:color w:val="auto"/>
              </w:rPr>
            </w:pPr>
            <w:r>
              <w:rPr>
                <w:rFonts w:ascii="Times New Roman" w:cs="Times New Roman" w:eastAsia="Times New Roman" w:hAnsi="Times New Roman"/>
                <w:sz w:val="13"/>
                <w:szCs w:val="13"/>
                <w:b w:val="1"/>
                <w:bCs w:val="1"/>
                <w:color w:val="auto"/>
              </w:rPr>
              <w:t>Without Cause or for Good Reason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Change of Control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74"/>
              <w:spacing w:after="0" w:line="134"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Salary and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Award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Salary and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8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Acceleration</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Acceleration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2"/>
        </w:trPr>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7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$ 1,050,000</w:t>
            </w: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35,858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$ 1,087,407</w:t>
            </w:r>
          </w:p>
        </w:tc>
        <w:tc>
          <w:tcPr>
            <w:tcW w:w="7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$ 1,050,000</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35,858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6"/>
              </w:rPr>
              <w:t>1,087,407</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300" w:hanging="394"/>
        <w:spacing w:after="0"/>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circumstances involving termination without cause or for Good Reason outside of any Change in Control.</w:t>
      </w:r>
    </w:p>
    <w:p>
      <w:pPr>
        <w:spacing w:after="0" w:line="23" w:lineRule="exact"/>
        <w:rPr>
          <w:rFonts w:ascii="Times New Roman" w:cs="Times New Roman" w:eastAsia="Times New Roman" w:hAnsi="Times New Roman"/>
          <w:sz w:val="14"/>
          <w:szCs w:val="14"/>
          <w:color w:val="auto"/>
        </w:rPr>
      </w:pPr>
    </w:p>
    <w:p>
      <w:pPr>
        <w:ind w:left="1300" w:right="900" w:hanging="394"/>
        <w:spacing w:after="0" w:line="250"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circumstances involving termination without cause or for Good Reason in connection with a Change in Control.</w:t>
      </w:r>
    </w:p>
    <w:p>
      <w:pPr>
        <w:jc w:val="both"/>
        <w:ind w:left="1300" w:right="900" w:hanging="394"/>
        <w:spacing w:after="0" w:line="250"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p>
      <w:pPr>
        <w:spacing w:after="0" w:line="1" w:lineRule="exact"/>
        <w:rPr>
          <w:rFonts w:ascii="Times New Roman" w:cs="Times New Roman" w:eastAsia="Times New Roman" w:hAnsi="Times New Roman"/>
          <w:sz w:val="14"/>
          <w:szCs w:val="14"/>
          <w:color w:val="auto"/>
        </w:rPr>
      </w:pPr>
    </w:p>
    <w:p>
      <w:pPr>
        <w:jc w:val="both"/>
        <w:ind w:left="1300" w:right="900" w:hanging="394"/>
        <w:spacing w:after="0" w:line="256"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5" w:name="page56"/>
    <w:bookmarkEnd w:id="5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and Officer Indemnification and Limitation of Liability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9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We are a Nevada corporation and generally governed by the Nevada Private Corporations Code, Title 78 of the Nevada Revised Statutes, or NRS. 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7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01"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6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01"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75"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75"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6" w:name="page57"/>
    <w:bookmarkEnd w:id="5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25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7" w:name="page58"/>
    <w:bookmarkEnd w:id="5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16" w:lineRule="exact"/>
        <w:rPr>
          <w:sz w:val="20"/>
          <w:szCs w:val="20"/>
          <w:color w:val="auto"/>
        </w:rPr>
      </w:pPr>
    </w:p>
    <w:p>
      <w:pPr>
        <w:jc w:val="both"/>
        <w:ind w:left="900" w:right="90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Annual Cash Compensation. </w:t>
      </w:r>
      <w:r>
        <w:rPr>
          <w:rFonts w:ascii="Times New Roman" w:cs="Times New Roman" w:eastAsia="Times New Roman" w:hAnsi="Times New Roman"/>
          <w:sz w:val="16"/>
          <w:szCs w:val="16"/>
          <w:color w:val="auto"/>
        </w:rPr>
        <w:t>Each of the Company’s non- employee directors receives an annual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retainer of $24,000, payable in twelve monthly installments. In addition, the following Committee retainer amounts are payable to Committee members.</w:t>
      </w:r>
    </w:p>
    <w:p>
      <w:pPr>
        <w:spacing w:after="0" w:line="8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8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8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83"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Currently, there are no annual retainer fees awarded to either the Merger and Acquisitions Committee Chair or the Merger and Acquisition Committee members.</w:t>
      </w:r>
    </w:p>
    <w:p>
      <w:pPr>
        <w:spacing w:after="0" w:line="69"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Stock Options and Share-Based Awards. </w:t>
      </w:r>
      <w:r>
        <w:rPr>
          <w:rFonts w:ascii="Times New Roman" w:cs="Times New Roman" w:eastAsia="Times New Roman" w:hAnsi="Times New Roman"/>
          <w:sz w:val="16"/>
          <w:szCs w:val="16"/>
          <w:color w:val="auto"/>
        </w:rPr>
        <w:t>Following initial election to the Company’s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non-employee directors are eligible to receive restricted stock units as determined by the Board.</w:t>
      </w:r>
    </w:p>
    <w:p>
      <w:pPr>
        <w:spacing w:after="0" w:line="6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8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3"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Non-Equity Incentive Plan Compensation. </w:t>
      </w:r>
      <w:r>
        <w:rPr>
          <w:rFonts w:ascii="Times New Roman" w:cs="Times New Roman" w:eastAsia="Times New Roman" w:hAnsi="Times New Roman"/>
          <w:sz w:val="16"/>
          <w:szCs w:val="16"/>
          <w:color w:val="auto"/>
        </w:rPr>
        <w:t>We do not provide Non-Equity Incentive Compensation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w:t>
      </w:r>
    </w:p>
    <w:p>
      <w:pPr>
        <w:spacing w:after="0" w:line="66"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Pension Benefits. </w:t>
      </w:r>
      <w:r>
        <w:rPr>
          <w:rFonts w:ascii="Times New Roman" w:cs="Times New Roman" w:eastAsia="Times New Roman" w:hAnsi="Times New Roman"/>
          <w:sz w:val="16"/>
          <w:szCs w:val="16"/>
          <w:color w:val="auto"/>
        </w:rPr>
        <w:t>We do not have a pension plan and therefore, do not offer any such pension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arrangements to our directors.</w:t>
      </w:r>
    </w:p>
    <w:p>
      <w:pPr>
        <w:spacing w:after="0" w:line="6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Change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Value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Fees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Earned or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2"/>
        </w:trPr>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Guichao Hua</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14,853</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20,417</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35,000</w:t>
            </w:r>
          </w:p>
        </w:tc>
        <w:tc>
          <w:tcPr>
            <w:tcW w:w="20" w:type="dxa"/>
            <w:vAlign w:val="bottom"/>
          </w:tcPr>
          <w:p>
            <w:pPr>
              <w:spacing w:after="0"/>
              <w:rPr>
                <w:sz w:val="19"/>
                <w:szCs w:val="19"/>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Max Holtzman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75,000</w:t>
            </w:r>
          </w:p>
        </w:tc>
      </w:tr>
      <w:tr>
        <w:trPr>
          <w:trHeight w:val="32"/>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Timothy Mahoney</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23,452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82,380</w:t>
            </w:r>
          </w:p>
        </w:tc>
        <w:tc>
          <w:tcPr>
            <w:tcW w:w="20" w:type="dxa"/>
            <w:vAlign w:val="bottom"/>
          </w:tcPr>
          <w:p>
            <w:pPr>
              <w:spacing w:after="0"/>
              <w:rPr>
                <w:sz w:val="21"/>
                <w:szCs w:val="21"/>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Leonard J. Sokolow</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19,792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52,708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72,500</w:t>
            </w:r>
          </w:p>
        </w:tc>
      </w:tr>
      <w:tr>
        <w:trPr>
          <w:trHeight w:val="32"/>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Krishnan Varier</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22,500</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56,500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79,000</w:t>
            </w:r>
          </w:p>
        </w:tc>
        <w:tc>
          <w:tcPr>
            <w:tcW w:w="20" w:type="dxa"/>
            <w:vAlign w:val="bottom"/>
          </w:tcPr>
          <w:p>
            <w:pPr>
              <w:spacing w:after="0"/>
              <w:rPr>
                <w:sz w:val="21"/>
                <w:szCs w:val="21"/>
                <w:color w:val="auto"/>
              </w:rPr>
            </w:pPr>
          </w:p>
        </w:tc>
      </w:t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64" w:lineRule="exact"/>
        <w:rPr>
          <w:sz w:val="20"/>
          <w:szCs w:val="20"/>
          <w:color w:val="auto"/>
        </w:rPr>
      </w:pPr>
    </w:p>
    <w:p>
      <w:pPr>
        <w:jc w:val="both"/>
        <w:ind w:left="1300" w:right="900" w:hanging="394"/>
        <w:spacing w:after="0" w:line="270" w:lineRule="auto"/>
        <w:tabs>
          <w:tab w:leader="none" w:pos="1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8" w:name="page59"/>
    <w:bookmarkEnd w:id="5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3" w:lineRule="exact"/>
        <w:rPr>
          <w:sz w:val="20"/>
          <w:szCs w:val="20"/>
          <w:color w:val="auto"/>
        </w:rPr>
      </w:pPr>
    </w:p>
    <w:p>
      <w:pPr>
        <w:jc w:val="both"/>
        <w:ind w:left="1300" w:right="920" w:hanging="394"/>
        <w:spacing w:after="0" w:line="250" w:lineRule="auto"/>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amounts are calculated in accordance with the provisions of Financial Accounting Standards Board (“FASB”) Accounting Standard Codification Topic 718, “Compensation — Stock Compensation (“ASC Topic 718”).</w:t>
      </w:r>
    </w:p>
    <w:p>
      <w:pPr>
        <w:jc w:val="both"/>
        <w:ind w:left="1300" w:right="920" w:hanging="394"/>
        <w:spacing w:after="0" w:line="250" w:lineRule="auto"/>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p>
      <w:pPr>
        <w:spacing w:after="0" w:line="1" w:lineRule="exact"/>
        <w:rPr>
          <w:rFonts w:ascii="Times New Roman" w:cs="Times New Roman" w:eastAsia="Times New Roman" w:hAnsi="Times New Roman"/>
          <w:sz w:val="14"/>
          <w:szCs w:val="14"/>
          <w:color w:val="auto"/>
        </w:rPr>
      </w:pPr>
    </w:p>
    <w:p>
      <w:pPr>
        <w:ind w:left="1300" w:right="900" w:hanging="394"/>
        <w:spacing w:after="0" w:line="258" w:lineRule="auto"/>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aggregate number of unexercised stock option awards outstanding for each current non-employee director were as follows: 456 for Mr. Hua, 456 for Mr. Mahoney, 455 for Mr. Varier; 250 for Mr. Sokolow and none for Mr. Holtzman.</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9" w:name="page60"/>
    <w:bookmarkEnd w:id="5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following table provides information, as of January 25,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25, 2024, there were 58 record holders and 6,846,419 outstanding shares of our Company’s Common Stock.</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25,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25, 2024, are deemed outstanding for the purpose of computing the percentage ownership of the person holding those options or warrants but are not deemed outstanding for computing the percentage ownership of any other person.</w:t>
      </w:r>
    </w:p>
    <w:p>
      <w:pPr>
        <w:spacing w:after="0" w:line="10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24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8"/>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6"/>
        </w:trPr>
        <w:tc>
          <w:tcPr>
            <w:tcW w:w="4960" w:type="dxa"/>
            <w:vAlign w:val="bottom"/>
          </w:tcPr>
          <w:p>
            <w:pPr>
              <w:spacing w:after="0"/>
              <w:rPr>
                <w:sz w:val="12"/>
                <w:szCs w:val="12"/>
                <w:color w:val="auto"/>
              </w:rPr>
            </w:pPr>
          </w:p>
        </w:tc>
        <w:tc>
          <w:tcPr>
            <w:tcW w:w="1080" w:type="dxa"/>
            <w:vAlign w:val="bottom"/>
            <w:gridSpan w:val="2"/>
          </w:tcPr>
          <w:p>
            <w:pPr>
              <w:jc w:val="right"/>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right"/>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49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r>
              <w:rPr>
                <w:rFonts w:ascii="Times New Roman" w:cs="Times New Roman" w:eastAsia="Times New Roman" w:hAnsi="Times New Roman"/>
                <w:sz w:val="19"/>
                <w:szCs w:val="19"/>
                <w:color w:val="auto"/>
                <w:vertAlign w:val="superscript"/>
              </w:rPr>
              <w:t>(2)</w:t>
            </w: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Raymond Chang</w:t>
            </w:r>
            <w:r>
              <w:rPr>
                <w:rFonts w:ascii="Times New Roman" w:cs="Times New Roman" w:eastAsia="Times New Roman" w:hAnsi="Times New Roman"/>
                <w:sz w:val="19"/>
                <w:szCs w:val="1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11,966,841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r>
              <w:rPr>
                <w:rFonts w:ascii="Times New Roman" w:cs="Times New Roman" w:eastAsia="Times New Roman" w:hAnsi="Times New Roman"/>
                <w:sz w:val="19"/>
                <w:szCs w:val="19"/>
                <w:color w:val="auto"/>
                <w:vertAlign w:val="superscript"/>
              </w:rPr>
              <w:t>(5)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1,038</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I-Tseng Jenny Chan</w:t>
            </w:r>
            <w:r>
              <w:rPr>
                <w:rFonts w:ascii="Times New Roman" w:cs="Times New Roman" w:eastAsia="Times New Roman" w:hAnsi="Times New Roman"/>
                <w:sz w:val="19"/>
                <w:szCs w:val="19"/>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11,609,789</w:t>
            </w:r>
          </w:p>
        </w:tc>
        <w:tc>
          <w:tcPr>
            <w:tcW w:w="80" w:type="dxa"/>
            <w:vAlign w:val="bottom"/>
          </w:tcPr>
          <w:p>
            <w:pPr>
              <w:spacing w:after="0"/>
              <w:rPr>
                <w:sz w:val="22"/>
                <w:szCs w:val="22"/>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Max Holtzman</w:t>
            </w:r>
            <w:r>
              <w:rPr>
                <w:rFonts w:ascii="Times New Roman" w:cs="Times New Roman" w:eastAsia="Times New Roman" w:hAnsi="Times New Roman"/>
                <w:sz w:val="19"/>
                <w:szCs w:val="19"/>
                <w:color w:val="auto"/>
                <w:vertAlign w:val="superscript"/>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52,724</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Timothy Mahoney</w:t>
            </w:r>
            <w:r>
              <w:rPr>
                <w:rFonts w:ascii="Times New Roman" w:cs="Times New Roman" w:eastAsia="Times New Roman" w:hAnsi="Times New Roman"/>
                <w:sz w:val="19"/>
                <w:szCs w:val="1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Krishnan Varier</w:t>
            </w:r>
            <w:r>
              <w:rPr>
                <w:rFonts w:ascii="Times New Roman" w:cs="Times New Roman" w:eastAsia="Times New Roman" w:hAnsi="Times New Roman"/>
                <w:sz w:val="19"/>
                <w:szCs w:val="19"/>
                <w:color w:val="auto"/>
                <w:vertAlign w:val="superscript"/>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r>
              <w:rPr>
                <w:rFonts w:ascii="Times New Roman" w:cs="Times New Roman" w:eastAsia="Times New Roman" w:hAnsi="Times New Roman"/>
                <w:sz w:val="19"/>
                <w:szCs w:val="1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(7 persons)</w:t>
            </w:r>
            <w:r>
              <w:rPr>
                <w:rFonts w:ascii="Times New Roman" w:cs="Times New Roman" w:eastAsia="Times New Roman" w:hAnsi="Times New Roman"/>
                <w:sz w:val="19"/>
                <w:szCs w:val="19"/>
                <w:color w:val="auto"/>
                <w:vertAlign w:val="superscript"/>
              </w:rPr>
              <w:t>(3)(5)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13,480,221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r>
      <w:tr>
        <w:trPr>
          <w:trHeight w:val="22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64" w:lineRule="exact"/>
        <w:rPr>
          <w:sz w:val="20"/>
          <w:szCs w:val="20"/>
          <w:color w:val="auto"/>
        </w:rPr>
      </w:pPr>
    </w:p>
    <w:p>
      <w:pPr>
        <w:ind w:left="1300" w:hanging="394"/>
        <w:spacing w:after="0"/>
        <w:tabs>
          <w:tab w:leader="none" w:pos="1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3" w:lineRule="exact"/>
        <w:rPr>
          <w:sz w:val="20"/>
          <w:szCs w:val="20"/>
          <w:color w:val="auto"/>
        </w:rPr>
      </w:pPr>
    </w:p>
    <w:p>
      <w:pPr>
        <w:ind w:left="1300" w:hanging="394"/>
        <w:spacing w:after="0"/>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shown with respect to any identified individual or group are calculated by dividing: (i) the sum of</w:t>
      </w:r>
    </w:p>
    <w:p>
      <w:pPr>
        <w:spacing w:after="0" w:line="7" w:lineRule="exact"/>
        <w:rPr>
          <w:rFonts w:ascii="Times New Roman" w:cs="Times New Roman" w:eastAsia="Times New Roman" w:hAnsi="Times New Roman"/>
          <w:sz w:val="14"/>
          <w:szCs w:val="14"/>
          <w:color w:val="auto"/>
        </w:rPr>
      </w:pPr>
    </w:p>
    <w:p>
      <w:pPr>
        <w:jc w:val="both"/>
        <w:ind w:left="1300" w:right="920" w:hanging="9"/>
        <w:spacing w:after="0" w:line="250" w:lineRule="auto"/>
        <w:tabs>
          <w:tab w:leader="none" w:pos="150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actually owned as of January 25,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6,846,419 shares of Common Stock outstanding as of January 25, 2024, plus the amount referenced in clause (i)(b) for such individual or group.</w:t>
      </w:r>
    </w:p>
    <w:p>
      <w:pPr>
        <w:spacing w:after="0" w:line="1" w:lineRule="exact"/>
        <w:rPr>
          <w:rFonts w:ascii="Times New Roman" w:cs="Times New Roman" w:eastAsia="Times New Roman" w:hAnsi="Times New Roman"/>
          <w:sz w:val="14"/>
          <w:szCs w:val="14"/>
          <w:color w:val="auto"/>
        </w:rPr>
      </w:pPr>
    </w:p>
    <w:p>
      <w:pPr>
        <w:ind w:left="1300" w:right="920" w:hanging="394"/>
        <w:spacing w:after="0" w:line="250" w:lineRule="auto"/>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the directors and executive officers listed above is c/o Agrify Corporation, 2468 Industrial Row Dr., Troy, MI 48084.</w:t>
      </w:r>
    </w:p>
    <w:p>
      <w:pPr>
        <w:jc w:val="both"/>
        <w:ind w:left="1300" w:right="900" w:hanging="394"/>
        <w:spacing w:after="0" w:line="252" w:lineRule="auto"/>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6,334 shares of Common Stock that are exercisable within 60 days of January 25, 2024, (ii) 575 shares of Common Stock owned by Mr. Chang, (iii) 1,453,894 shares of common stock held by RTC3 2020 Irrevocable Family Trust, of which Mr. Chang retains the authority to remove the independent trustee, (iv) 648 shares of common stock held by NXT3J Capital, LLC, an entity controlled by Mr. Chang, (v) warrants to purchase 317 shares of common stock associated with our 2020 convertible promissory notes held by RTC3 2020 Irrevocable Family Trust, (vi) options to purchase 194 shares of common stock held by Mr. Chang’s son that are exercisable within 60 days of January 25, 2024, (vii) warrants to purchase 230,906 shares of Common Stock that are held by RTC3 2020 Irrevocable Family Trust, but only to the extent exercisable due to a 9.99% beneficial ownership limitation, and (viii) 10,273,973 shares of common stock that may be issued upon conversion of a secured convertible note held by CP Acquisitions, LLC (“CP”), over which Mr. Chang has shared voting and investment control, subject to a beneficial ownership limitation of 49.99% with respect to CP and/or Mr. Chang.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0" w:name="page61"/>
    <w:bookmarkEnd w:id="6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3" w:lineRule="exact"/>
        <w:rPr>
          <w:sz w:val="20"/>
          <w:szCs w:val="20"/>
          <w:color w:val="auto"/>
        </w:rPr>
      </w:pPr>
    </w:p>
    <w:p>
      <w:pPr>
        <w:jc w:val="both"/>
        <w:ind w:left="1300" w:right="900" w:hanging="394"/>
        <w:spacing w:after="0" w:line="250" w:lineRule="auto"/>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1,335,816 shares of common stock owned in equal proportions by M. Zion Capital, LLC, M Olivet Capital, LLC and M Cannan Capital, LLC, over which Ms. Chan has voting and investment control, and (ii) 10,273,973 shares of common stock that may be issued upon conversion of a secured convertible note held by CP, over which Ms. Chan has shared voting and investment control, subject to a beneficial ownership limitation of 49.99% with respect to CP and/or Ms. Chan.</w:t>
      </w:r>
    </w:p>
    <w:p>
      <w:pPr>
        <w:spacing w:after="0" w:line="1" w:lineRule="exact"/>
        <w:rPr>
          <w:rFonts w:ascii="Times New Roman" w:cs="Times New Roman" w:eastAsia="Times New Roman" w:hAnsi="Times New Roman"/>
          <w:sz w:val="14"/>
          <w:szCs w:val="14"/>
          <w:color w:val="auto"/>
        </w:rPr>
      </w:pPr>
    </w:p>
    <w:p>
      <w:pPr>
        <w:jc w:val="both"/>
        <w:ind w:left="1300" w:right="920" w:hanging="394"/>
        <w:spacing w:after="0" w:line="256" w:lineRule="auto"/>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shares subject to options that are exercisable within 60 days of January 25, 2024: Mr. Kessler, 788; Mr. Mahoney, 456; Mr. Varier, 454; and Mr. Sokolow, 188. Includes the following shares subject to Restricted Stock Units that vest within 60 days of January 25, 2024: Mr. Holtzman, 52,635; Mr. Mahoney, 44,526; Mr. Varier, 41, 450; and Mr. Sokolow, 36,461.</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1" w:name="page62"/>
    <w:bookmarkEnd w:id="6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MARKET, INDUSTRY AND OTHER DATA</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and symbols, but we will assert, to the fullest extent under applicable law, our rights to our copyrights, trade names and trademarks. All other trademarks are the property of their respective owners.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2" w:name="page63"/>
    <w:bookmarkEnd w:id="6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We estimate the net proceeds from this offering will be approximately $2.6 million, after deducting estimated placement agent fees and commissions and our estimated offering expenses, and based on the assumed public offering price of $0.6555 per share of common stock (the last reported sale price of our common stock on The Nasdaq Capital Market on February 12, 2024).</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$0.10 increase (decrease) in the assumed public offering price of $0.6555 per share of common stock would increase (decrease) the net proceeds to us from this offering by approximately $0.4 million, assuming that the number of shares offered by us, as set forth on the cover page of this prospectus, remains the same and after deducting the estimated placement agent fees and commissions and estimated offering expenses payable by us.</w:t>
      </w:r>
    </w:p>
    <w:p>
      <w:pPr>
        <w:spacing w:after="0" w:line="6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Similarly, a 1,000,000 share increase (decrease) in the number of shares of common stock and/or Pre-Funded Warrants, as set forth on the cover page of this prospectus, would increase (decrease) the net proceeds to us by $0.6 million, assuming the assumed public offering price of $0.6555 per share of common stock remains the same, and after deducting estimated placement agent fees and commissions and estimated offering expenses payable by us.</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intend to use the net proceeds of this offering for working capital and general corporate purposes, which may include capital expenditures and repayment of debt. We have not yet determined the amount of net proceeds to be used specifically for any of the foregoing purposes.</w:t>
      </w:r>
    </w:p>
    <w:p>
      <w:pPr>
        <w:spacing w:after="0" w:line="92"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Pending use of the proceeds as described above, we intend to invest the net proceeds of this offering in short-term interest-bearing investment grade instruments.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amounts and timing of our actual expenditures will depend on numerous factors, including the amount of cash used in our operations.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3" w:name="page64"/>
    <w:bookmarkEnd w:id="6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DILUTION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If you invest in this offering, you will experience immediate and substantial dilution to the extent of the difference between the offering price per share paid in this offering (or the offering price per Pre-Funded Warrant, as applicable), in each case excluding shares of common stock issuable upon exercise of the Pre -Funded Warrants being offered in this offering and the payment of the exercise price therefor, and the adjusted net tangible book value per share of our common stock as of September 30, 2023, as adjusted to give effect to this offering.</w:t>
      </w:r>
    </w:p>
    <w:p>
      <w:pPr>
        <w:spacing w:after="0" w:line="6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2023 was approximately $(21.2) million, or $(12.86) per share, based on 1,651,281 shares of common stock outstanding at September 30, 2023.</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After giving effect to the sale of 2,288,330 shares of our common stock in this offering (excluding shares of common stock issuable upon exercise of the Pre-Funded Warrants being offered in this offering) at an assumed offering price of $0.6555 per share (or the assumed offering price per Pre-Funded Warrant of $ 0.6545) and after deducting estimated offering expenses payable by us and placement agent fees), our as adjusted net tangible book value as of September 30, 2023 would have been approximately $(18.7) million, or $(4.74) per share of common stock. This represents an immediate increase in net tangible book value of $8.13 per share to existing stockholders and immediate dilution of $5.39 per share to investors purchasing securities in this offering at the assumed offering price. The final combined public offering price will be determined between us and the placement agent in the offering and may be at a discount to the current market price. Therefore, the assumed combined public offering price used throughout this prospectus may not be indicative of the final combined public offering price. The following table illustrates this dilution on a per share basis: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offering price per share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0.6555</w:t>
            </w:r>
          </w:p>
        </w:tc>
      </w:t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tangible book value per share as of September 30, 2023</w:t>
            </w: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(12.86)</w:t>
            </w:r>
          </w:p>
        </w:tc>
        <w:tc>
          <w:tcPr>
            <w:tcW w:w="800" w:type="dxa"/>
            <w:vAlign w:val="bottom"/>
          </w:tcPr>
          <w:p>
            <w:pPr>
              <w:spacing w:after="0"/>
              <w:rPr>
                <w:sz w:val="20"/>
                <w:szCs w:val="20"/>
                <w:color w:val="auto"/>
              </w:rPr>
            </w:pPr>
          </w:p>
        </w:tc>
      </w:tr>
      <w:tr>
        <w:trPr>
          <w:trHeight w:val="26"/>
        </w:trPr>
        <w:tc>
          <w:tcPr>
            <w:tcW w:w="4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net tangible book value per share attributable to this offering</w:t>
            </w:r>
          </w:p>
        </w:tc>
        <w:tc>
          <w:tcPr>
            <w:tcW w:w="5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8.13</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As adjusted net tangible book value per share after giving effect</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this offering based</w:t>
            </w:r>
          </w:p>
        </w:tc>
        <w:tc>
          <w:tcPr>
            <w:tcW w:w="52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w:t>
            </w:r>
          </w:p>
        </w:tc>
      </w:tr>
      <w:tr>
        <w:trPr>
          <w:trHeight w:val="26"/>
        </w:trPr>
        <w:tc>
          <w:tcPr>
            <w:tcW w:w="4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to new investors</w:t>
            </w: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5.39</w:t>
            </w:r>
          </w:p>
        </w:tc>
      </w:tr>
      <w:tr>
        <w:trPr>
          <w:trHeight w:val="26"/>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discussion and table above assume no exercise of the Pre-Funded Warrants sold in this offering.</w:t>
      </w:r>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Each $0.10 increase (decrease) in the assumed public offering price of $0.6555 per share of common stock (or $0.6545 per Pre-Funded Warrant) would increase (decrease) the as adjusted net tangible book value by $0.11 per share of common stock and the dilution to new investors by $0.008 per share, assuming that the number of shares and/or Pre-Funded Warrants offered by us, as set forth on the cover page of this prospectus, remains the same, after deducting the estimated placement agent fees and commissions and estimated offering expenses payable by us.</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We may also increase or decrease the number of shares we are offering. An increase of 1,000,000 shares in the number of shares of common stock and/or Pre-Funded Warrants offered by us, as set forth on the cover page of this prospectus, would increase our as adjusted net tangible book value by approximately $ 0.6 million, or approximately $0.67 per share of common stock, and decrease the dilution per share to investors in this offering by approximately $ 0.67 per share, assuming that the assumed public offering price per share of common stock and per Pre-Funded Warrant remains the same, and after deducting the estimated placement agent fees and commissions and estimated offering expenses payable by us. Similarly, a decrease of 1,000,000 shares in the number of shares of common stock and/or Pre-Funded Warrants offered by us, as set forth on the cover page of this prospectus, would decrease our as adjusted net tangible book value by approximately $0.6 million, or approximately $ 0.87 per share, and increase the dilution per share to investors in this offering by approximately $0.87 per share, assuming that the assumed public offering price per share of common stock and per Pre-Funded Warrant remains the same, and after deducting the estimated placement agent fees and commissions and estimated offering expenses payable by us. The information discussed above is illustrative only and will adjust based on the actual public offering price, the actual number of shares of common stock and Pre-Funded Warrants that we offer in this offering, and other terms of this offering determined at pricing.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4" w:name="page65"/>
    <w:bookmarkEnd w:id="6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above discussion and table do not take into account further dilution to investors purchasing our common stock in this offering that could occur upon the exercise of outstanding options and warrants, or the conversion of convertible securities, having a per share exercise or conversion price less than the public offering price per share in this offering. To the extent that outstanding options or warrants or other shares are issued, investors purchasing our common stock and/or Pre- Funded Warrants in this offering will experience further dilution. In addition, we may choose to raise additional capital due to market conditions or strategic considerations even if we believe that we have sufficient funds for our current or future operating plans. To the extent that additional capital is raised through the sale of our common stock, including through the sale of securities convertible into or exchangeable or exercisable for common stock, the issuance of these securities could result in further dilution to our stockholders, including investors purchasing our common stock in this offering.</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table and discussion above are based on 1,651,281 shares of our common stock outstanding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 but does not include, as of such date:</w:t>
      </w:r>
    </w:p>
    <w:p>
      <w:pPr>
        <w:spacing w:after="0" w:line="98" w:lineRule="exact"/>
        <w:rPr>
          <w:sz w:val="20"/>
          <w:szCs w:val="20"/>
          <w:color w:val="auto"/>
        </w:rPr>
      </w:pPr>
    </w:p>
    <w:p>
      <w:pPr>
        <w:ind w:left="1680" w:right="92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1,495,001 shares of our common stock issuable upon the exercise of warrants outstanding, at a weighted average exercise price of $38.07 per share;</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13,439 shares of our common stock issuable upon the exercise of stock options outstanding, at a weighted average exercise price of $1,518.05 per share;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4,580 shares of our common stock issuable upon the vesting of restricted stock units;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8,437 shares of our common stock reserved for future issuance under our 2022 Omnibus Equity Incentive Plan;</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our common stock reserved for future issuance under our 2022 Employee Stock Purchase Plan;</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588 shares of our common stock reserved for future issuance in connection with completed acquisitions; and</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1,157,068 shares of our common stock reserved for future issuance in connection with the conversion of a secured convertible note held as of September 30, 2023 by the Former Lender.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5" w:name="page66"/>
    <w:bookmarkEnd w:id="6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01" w:lineRule="exact"/>
        <w:rPr>
          <w:sz w:val="20"/>
          <w:szCs w:val="20"/>
          <w:color w:val="auto"/>
        </w:rPr>
      </w:pPr>
    </w:p>
    <w:p>
      <w:pPr>
        <w:ind w:left="1680" w:hanging="389"/>
        <w:spacing w:after="0"/>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Cultivation Solutions;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Extraction Solutions.</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Cultivation Solutions</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6" w:name="page67"/>
    <w:bookmarkEnd w:id="6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Agrify Vertical Farming Unit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93" w:lineRule="exact"/>
        <w:rPr>
          <w:sz w:val="20"/>
          <w:szCs w:val="20"/>
          <w:color w:val="auto"/>
        </w:rPr>
      </w:pPr>
    </w:p>
    <w:p>
      <w:pPr>
        <w:jc w:val="both"/>
        <w:ind w:left="1680" w:right="920" w:hanging="389"/>
        <w:spacing w:after="0" w:line="244"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Superior Floor Space Utilization</w:t>
      </w:r>
      <w:r>
        <w:rPr>
          <w:rFonts w:ascii="Times New Roman" w:cs="Times New Roman" w:eastAsia="Times New Roman" w:hAnsi="Times New Roman"/>
          <w:sz w:val="16"/>
          <w:szCs w:val="16"/>
          <w:color w:val="auto"/>
        </w:rPr>
        <w:t>. Each VFU provides two tiers of growing canopy. Our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2"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Precise Environmental Controls</w:t>
      </w:r>
      <w:r>
        <w:rPr>
          <w:rFonts w:ascii="Times New Roman" w:cs="Times New Roman" w:eastAsia="Times New Roman" w:hAnsi="Times New Roman"/>
          <w:sz w:val="16"/>
          <w:szCs w:val="16"/>
          <w:color w:val="auto"/>
        </w:rPr>
        <w:t>. Each VFU has an Environmental Control Unit that is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92" w:lineRule="exact"/>
        <w:rPr>
          <w:rFonts w:ascii="Times New Roman" w:cs="Times New Roman" w:eastAsia="Times New Roman" w:hAnsi="Times New Roman"/>
          <w:sz w:val="16"/>
          <w:szCs w:val="16"/>
          <w:color w:val="auto"/>
        </w:rPr>
      </w:pPr>
    </w:p>
    <w:p>
      <w:pPr>
        <w:jc w:val="both"/>
        <w:ind w:left="1680" w:right="920" w:hanging="389"/>
        <w:spacing w:after="0" w:line="24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Modular Scalability</w:t>
      </w:r>
      <w:r>
        <w:rPr>
          <w:rFonts w:ascii="Times New Roman" w:cs="Times New Roman" w:eastAsia="Times New Roman" w:hAnsi="Times New Roman"/>
          <w:sz w:val="16"/>
          <w:szCs w:val="16"/>
          <w:color w:val="auto"/>
        </w:rPr>
        <w:t>. The VFU is designed to stack up to three units tall, sextupling production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volume over the same traditional footprint. Each unit is designed to easily integrate with a mezzanine catwalk system providing unparalleled access to all levels of cultivation.</w:t>
      </w:r>
    </w:p>
    <w:p>
      <w:pPr>
        <w:spacing w:after="0" w:line="87"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Worker Safety &amp; Efficiency</w:t>
      </w:r>
      <w:r>
        <w:rPr>
          <w:rFonts w:ascii="Times New Roman" w:cs="Times New Roman" w:eastAsia="Times New Roman" w:hAnsi="Times New Roman"/>
          <w:sz w:val="16"/>
          <w:szCs w:val="16"/>
          <w:color w:val="auto"/>
        </w:rPr>
        <w:t>. The VFU’s design was thoughtful and intentional; from the ergonomic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Biosecurity and Risk Mitigation</w:t>
      </w:r>
      <w:r>
        <w:rPr>
          <w:rFonts w:ascii="Times New Roman" w:cs="Times New Roman" w:eastAsia="Times New Roman" w:hAnsi="Times New Roman"/>
          <w:sz w:val="16"/>
          <w:szCs w:val="16"/>
          <w:color w:val="auto"/>
        </w:rPr>
        <w:t>. The VFU has a motorized curtain on both sides of the unit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Agrify Insights™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VFUs are designed to work in conjunction with our Agrify Insights™ software. Each VFU sold includes</w:t>
      </w:r>
    </w:p>
    <w:p>
      <w:pPr>
        <w:spacing w:after="0" w:line="37" w:lineRule="exact"/>
        <w:rPr>
          <w:sz w:val="20"/>
          <w:szCs w:val="20"/>
          <w:color w:val="auto"/>
        </w:rPr>
      </w:pPr>
    </w:p>
    <w:p>
      <w:pPr>
        <w:jc w:val="both"/>
        <w:ind w:left="900" w:right="900" w:firstLine="6"/>
        <w:spacing w:after="0" w:line="236" w:lineRule="auto"/>
        <w:tabs>
          <w:tab w:leader="none" w:pos="103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 -year term, with an annual auto-renewal.</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Insights™ is a SaaS- 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Agrify Insights™ is focused on optimizing four key components:</w:t>
      </w:r>
    </w:p>
    <w:p>
      <w:pPr>
        <w:spacing w:after="0" w:line="116" w:lineRule="exact"/>
        <w:rPr>
          <w:sz w:val="20"/>
          <w:szCs w:val="20"/>
          <w:color w:val="auto"/>
        </w:rPr>
      </w:pPr>
    </w:p>
    <w:p>
      <w:pPr>
        <w:ind w:left="1680" w:hanging="389"/>
        <w:spacing w:after="0"/>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plant level;</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VFU unit level;</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facility level;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business level.</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7" w:name="page68"/>
    <w:bookmarkEnd w:id="6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Plant-Level Optimization</w:t>
      </w:r>
    </w:p>
    <w:p>
      <w:pPr>
        <w:spacing w:after="0" w:line="118" w:lineRule="exact"/>
        <w:rPr>
          <w:sz w:val="20"/>
          <w:szCs w:val="20"/>
          <w:color w:val="auto"/>
        </w:rPr>
      </w:pPr>
    </w:p>
    <w:p>
      <w:pPr>
        <w:jc w:val="both"/>
        <w:ind w:left="900" w:right="920" w:firstLine="384"/>
        <w:spacing w:after="0" w:line="274" w:lineRule="auto"/>
        <w:rPr>
          <w:sz w:val="20"/>
          <w:szCs w:val="20"/>
          <w:color w:val="auto"/>
        </w:rPr>
      </w:pPr>
      <w:r>
        <w:rPr>
          <w:rFonts w:ascii="Times New Roman" w:cs="Times New Roman" w:eastAsia="Times New Roman" w:hAnsi="Times New Roman"/>
          <w:sz w:val="14"/>
          <w:szCs w:val="14"/>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259"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Individual VFU Level Optimization</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Our VFU hardware provides cultivation environmental control within the grow chamber. This hardware and its component valves, motors and sensors are directed and controlled by Agrify Insights™.</w:t>
      </w:r>
    </w:p>
    <w:p>
      <w:pPr>
        <w:spacing w:after="0" w:line="79" w:lineRule="exact"/>
        <w:rPr>
          <w:sz w:val="20"/>
          <w:szCs w:val="20"/>
          <w:color w:val="auto"/>
        </w:rPr>
      </w:pPr>
    </w:p>
    <w:p>
      <w:pPr>
        <w:jc w:val="both"/>
        <w:ind w:left="1680" w:right="920" w:hanging="389"/>
        <w:spacing w:after="0" w:line="249" w:lineRule="auto"/>
        <w:tabs>
          <w:tab w:leader="none" w:pos="16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Monitor and Control Agrify Hardware</w:t>
      </w:r>
      <w:r>
        <w:rPr>
          <w:rFonts w:ascii="Times New Roman" w:cs="Times New Roman" w:eastAsia="Times New Roman" w:hAnsi="Times New Roman"/>
          <w:sz w:val="16"/>
          <w:szCs w:val="16"/>
          <w:color w:val="auto"/>
        </w:rPr>
        <w:t>. Agrify Insights™ can either automatically or manually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our hardware. For example, the water-chilled fan coil can keep the temperature in a range accurate to 1.5 degrees Fahrenheit.</w:t>
      </w:r>
    </w:p>
    <w:p>
      <w:pPr>
        <w:spacing w:after="0" w:line="87" w:lineRule="exact"/>
        <w:rPr>
          <w:rFonts w:ascii="Times New Roman" w:cs="Times New Roman" w:eastAsia="Times New Roman" w:hAnsi="Times New Roman"/>
          <w:sz w:val="16"/>
          <w:szCs w:val="16"/>
          <w:color w:val="auto"/>
        </w:rPr>
      </w:pPr>
    </w:p>
    <w:p>
      <w:pPr>
        <w:jc w:val="both"/>
        <w:ind w:left="1680" w:right="900" w:hanging="389"/>
        <w:spacing w:after="0" w:line="278" w:lineRule="auto"/>
        <w:tabs>
          <w:tab w:leader="none" w:pos="16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Cultivation Environmental Control</w:t>
      </w:r>
      <w:r>
        <w:rPr>
          <w:rFonts w:ascii="Times New Roman" w:cs="Times New Roman" w:eastAsia="Times New Roman" w:hAnsi="Times New Roman"/>
          <w:sz w:val="14"/>
          <w:szCs w:val="14"/>
          <w:color w:val="auto"/>
        </w:rPr>
        <w:t>. Using Agrify Insights™, users can view environmental charts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Facility Level Optimization</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88" w:lineRule="exact"/>
        <w:rPr>
          <w:sz w:val="20"/>
          <w:szCs w:val="20"/>
          <w:color w:val="auto"/>
        </w:rPr>
      </w:pPr>
    </w:p>
    <w:p>
      <w:pPr>
        <w:jc w:val="both"/>
        <w:ind w:left="1680" w:right="900" w:hanging="379"/>
        <w:spacing w:after="0"/>
        <w:tabs>
          <w:tab w:leader="none" w:pos="1660" w:val="left"/>
        </w:tabs>
        <w:rPr>
          <w:sz w:val="20"/>
          <w:szCs w:val="20"/>
          <w:color w:val="auto"/>
        </w:rPr>
      </w:pPr>
      <w:r>
        <w:rPr>
          <w:rFonts w:ascii="Times New Roman" w:cs="Times New Roman" w:eastAsia="Times New Roman" w:hAnsi="Times New Roman"/>
          <w:sz w:val="16"/>
          <w:szCs w:val="16"/>
          <w:b w:val="1"/>
          <w:bCs w:val="1"/>
          <w:i w:val="1"/>
          <w:iCs w:val="1"/>
          <w:color w:val="auto"/>
        </w:rPr>
        <w:t>•</w:t>
      </w:r>
      <w:r>
        <w:rPr>
          <w:sz w:val="20"/>
          <w:szCs w:val="20"/>
          <w:color w:val="auto"/>
        </w:rPr>
        <w:tab/>
      </w:r>
      <w:r>
        <w:rPr>
          <w:rFonts w:ascii="Times New Roman" w:cs="Times New Roman" w:eastAsia="Times New Roman" w:hAnsi="Times New Roman"/>
          <w:sz w:val="16"/>
          <w:szCs w:val="16"/>
          <w:b w:val="1"/>
          <w:bCs w:val="1"/>
          <w:i w:val="1"/>
          <w:iCs w:val="1"/>
          <w:color w:val="auto"/>
        </w:rPr>
        <w:t xml:space="preserve">Production Planning. </w:t>
      </w:r>
      <w:r>
        <w:rPr>
          <w:rFonts w:ascii="Times New Roman" w:cs="Times New Roman" w:eastAsia="Times New Roman" w:hAnsi="Times New Roman"/>
          <w:sz w:val="16"/>
          <w:szCs w:val="16"/>
          <w:color w:val="auto"/>
        </w:rPr>
        <w:t>The production planning feature is designed to maximize a facility’s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8" w:name="page69"/>
    <w:bookmarkEnd w:id="6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2" w:lineRule="exact"/>
        <w:rPr>
          <w:sz w:val="20"/>
          <w:szCs w:val="20"/>
          <w:color w:val="auto"/>
        </w:rPr>
      </w:pPr>
    </w:p>
    <w:p>
      <w:pPr>
        <w:jc w:val="both"/>
        <w:ind w:left="1680" w:right="900" w:hanging="389"/>
        <w:spacing w:after="0" w:line="244" w:lineRule="auto"/>
        <w:tabs>
          <w:tab w:leader="none" w:pos="1680" w:val="left"/>
        </w:tabs>
        <w:numPr>
          <w:ilvl w:val="0"/>
          <w:numId w:val="4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Workforce Management. </w:t>
      </w:r>
      <w:r>
        <w:rPr>
          <w:rFonts w:ascii="Times New Roman" w:cs="Times New Roman" w:eastAsia="Times New Roman" w:hAnsi="Times New Roman"/>
          <w:sz w:val="16"/>
          <w:szCs w:val="16"/>
          <w:color w:val="auto"/>
        </w:rPr>
        <w:t>Agrify Insights™ includes a workforce planning feature to assign tasks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staff. These tasks can be automatically assigned based on the user role or their knowledge, skills, and abilities. The calendar displays the estimated time required to complete plant-touching tasks on any given day.</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680" w:right="900" w:hanging="389"/>
        <w:spacing w:after="0" w:line="244" w:lineRule="auto"/>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Automatic Notification System</w:t>
      </w:r>
      <w:r>
        <w:rPr>
          <w:rFonts w:ascii="Times New Roman" w:cs="Times New Roman" w:eastAsia="Times New Roman" w:hAnsi="Times New Roman"/>
          <w:sz w:val="16"/>
          <w:szCs w:val="16"/>
          <w:color w:val="auto"/>
        </w:rPr>
        <w:t>. Users can select to subscribe to anomalous events, and users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92" w:lineRule="exact"/>
        <w:rPr>
          <w:rFonts w:ascii="Times New Roman" w:cs="Times New Roman" w:eastAsia="Times New Roman" w:hAnsi="Times New Roman"/>
          <w:sz w:val="16"/>
          <w:szCs w:val="16"/>
          <w:color w:val="auto"/>
        </w:rPr>
      </w:pPr>
    </w:p>
    <w:p>
      <w:pPr>
        <w:ind w:left="1680" w:right="920" w:hanging="389"/>
        <w:spacing w:after="0" w:line="264" w:lineRule="auto"/>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Preventative Maintenance</w:t>
      </w:r>
      <w:r>
        <w:rPr>
          <w:rFonts w:ascii="Times New Roman" w:cs="Times New Roman" w:eastAsia="Times New Roman" w:hAnsi="Times New Roman"/>
          <w:sz w:val="16"/>
          <w:szCs w:val="16"/>
          <w:color w:val="auto"/>
        </w:rPr>
        <w:t>. Our equipment and facility preventative maintenance schedules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tasks are contained, tracked, and monitored within Agrify Insights™.</w:t>
      </w:r>
    </w:p>
    <w:p>
      <w:pPr>
        <w:spacing w:after="0" w:line="75" w:lineRule="exact"/>
        <w:rPr>
          <w:rFonts w:ascii="Times New Roman" w:cs="Times New Roman" w:eastAsia="Times New Roman" w:hAnsi="Times New Roman"/>
          <w:sz w:val="16"/>
          <w:szCs w:val="16"/>
          <w:color w:val="auto"/>
        </w:rPr>
      </w:pPr>
    </w:p>
    <w:p>
      <w:pPr>
        <w:jc w:val="both"/>
        <w:ind w:left="1680" w:right="920" w:hanging="389"/>
        <w:spacing w:after="0" w:line="249" w:lineRule="auto"/>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Facility Infrastructure Controls</w:t>
      </w:r>
      <w:r>
        <w:rPr>
          <w:rFonts w:ascii="Times New Roman" w:cs="Times New Roman" w:eastAsia="Times New Roman" w:hAnsi="Times New Roman"/>
          <w:sz w:val="16"/>
          <w:szCs w:val="16"/>
          <w:color w:val="auto"/>
        </w:rPr>
        <w:t>. Agrify Insights™ controls the irrigation on a facility level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connects with the water chilled HVAC system and ambient lighting system, providing our customers with a central piece of software for facility management.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Optimization at the Business Level</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88" w:lineRule="exact"/>
        <w:rPr>
          <w:sz w:val="20"/>
          <w:szCs w:val="20"/>
          <w:color w:val="auto"/>
        </w:rPr>
      </w:pPr>
    </w:p>
    <w:p>
      <w:pPr>
        <w:jc w:val="both"/>
        <w:ind w:left="1680" w:right="920" w:hanging="389"/>
        <w:spacing w:after="0" w:line="302" w:lineRule="auto"/>
        <w:tabs>
          <w:tab w:leader="none" w:pos="16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Consumables Procurement Integration</w:t>
      </w:r>
      <w:r>
        <w:rPr>
          <w:rFonts w:ascii="Times New Roman" w:cs="Times New Roman" w:eastAsia="Times New Roman" w:hAnsi="Times New Roman"/>
          <w:sz w:val="14"/>
          <w:szCs w:val="14"/>
          <w:color w:val="auto"/>
        </w:rPr>
        <w:t>. Each task can also be assigned a set of consumables whose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inventory will be reduced when the task is started. This feature can help customers manage supply levels and can automatically create purchase orders so that they never run out of required supplies.</w:t>
      </w:r>
    </w:p>
    <w:p>
      <w:pPr>
        <w:spacing w:after="0" w:line="52" w:lineRule="exact"/>
        <w:rPr>
          <w:rFonts w:ascii="Times New Roman" w:cs="Times New Roman" w:eastAsia="Times New Roman" w:hAnsi="Times New Roman"/>
          <w:sz w:val="14"/>
          <w:szCs w:val="14"/>
          <w:color w:val="auto"/>
        </w:rPr>
      </w:pPr>
    </w:p>
    <w:p>
      <w:pPr>
        <w:jc w:val="both"/>
        <w:ind w:left="1680" w:right="920" w:hanging="389"/>
        <w:spacing w:after="0" w:line="244"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Online Standard Operating Procedures (“SOPs’’) and Safety Datasheets</w:t>
      </w:r>
      <w:r>
        <w:rPr>
          <w:rFonts w:ascii="Times New Roman" w:cs="Times New Roman" w:eastAsia="Times New Roman" w:hAnsi="Times New Roman"/>
          <w:sz w:val="16"/>
          <w:szCs w:val="16"/>
          <w:color w:val="auto"/>
        </w:rPr>
        <w:t>. Agrify Insights™ hosts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digital copies of our included Standard Operating Procedures and datasheets, or users can upload their own via our content management system, ensuring that the most recent version of SOPs and forms are available to users.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Roles-Based Dashboards</w:t>
      </w:r>
      <w:r>
        <w:rPr>
          <w:rFonts w:ascii="Times New Roman" w:cs="Times New Roman" w:eastAsia="Times New Roman" w:hAnsi="Times New Roman"/>
          <w:sz w:val="16"/>
          <w:szCs w:val="16"/>
          <w:color w:val="auto"/>
        </w:rPr>
        <w:t>. Ability to obtain access to information specifically suited to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96"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Data Collection</w:t>
      </w:r>
      <w:r>
        <w:rPr>
          <w:rFonts w:ascii="Times New Roman" w:cs="Times New Roman" w:eastAsia="Times New Roman" w:hAnsi="Times New Roman"/>
          <w:sz w:val="16"/>
          <w:szCs w:val="16"/>
          <w:color w:val="auto"/>
        </w:rPr>
        <w:t>. Agrify Insights™ is a centralized repository for all data relating to the cultivation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aspects of our clients’ business, including research and development testing data, and the ability to capture and compare test results. By doing so, Agrify Insights™ becomes a customers’ cultivation statement of record.</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4"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Financial Simulator/What If Scenarios</w:t>
      </w:r>
      <w:r>
        <w:rPr>
          <w:rFonts w:ascii="Times New Roman" w:cs="Times New Roman" w:eastAsia="Times New Roman" w:hAnsi="Times New Roman"/>
          <w:sz w:val="16"/>
          <w:szCs w:val="16"/>
          <w:color w:val="auto"/>
        </w:rPr>
        <w:t>. Our operating expenses (“OpEx”) calculator enables users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evaluate impacts to profitability by changing hundreds of attributes including, but not limited to, changes to costs in labor, electric, water, CO, and growing media as well as potential volatility in yields and pricing.</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9"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Regulatory Reporting Integration. </w:t>
      </w:r>
      <w:r>
        <w:rPr>
          <w:rFonts w:ascii="Times New Roman" w:cs="Times New Roman" w:eastAsia="Times New Roman" w:hAnsi="Times New Roman"/>
          <w:sz w:val="16"/>
          <w:szCs w:val="16"/>
          <w:color w:val="auto"/>
        </w:rPr>
        <w:t>We have integrated our software with Metrc, a leading seed-to-harvest compliance management and tracking solution, which will enable our customers to handle most regulatory reporting directly through Agrify Insights™.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Cultivation Deployment Options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Rapid Deployment Pack (“RDP”) Program</w:t>
      </w:r>
    </w:p>
    <w:p>
      <w:pPr>
        <w:spacing w:after="0" w:line="11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9" w:name="page70"/>
    <w:bookmarkEnd w:id="6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TTK Solution</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While we do not intend to enter into any new TTK Solutions for the foreseeable future, we have deployed this program with certain key customers. We also believe that our data -driven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04" w:lineRule="exact"/>
        <w:rPr>
          <w:sz w:val="20"/>
          <w:szCs w:val="20"/>
          <w:color w:val="auto"/>
        </w:rPr>
      </w:pPr>
    </w:p>
    <w:p>
      <w:pPr>
        <w:jc w:val="both"/>
        <w:ind w:left="900" w:right="880" w:firstLine="384"/>
        <w:spacing w:after="0" w:line="241" w:lineRule="auto"/>
        <w:rPr>
          <w:sz w:val="20"/>
          <w:szCs w:val="20"/>
          <w:color w:val="auto"/>
        </w:rPr>
      </w:pPr>
      <w:r>
        <w:rPr>
          <w:rFonts w:ascii="Times New Roman" w:cs="Times New Roman" w:eastAsia="Times New Roman" w:hAnsi="Times New Roman"/>
          <w:sz w:val="16"/>
          <w:szCs w:val="16"/>
          <w:color w:val="auto"/>
        </w:rPr>
        <w:t>We believe Agrify’s proprietary TTK Solution is the key to resolving many of the challenges our customers encounter.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spacing w:after="0" w:line="97" w:lineRule="exact"/>
        <w:rPr>
          <w:sz w:val="20"/>
          <w:szCs w:val="20"/>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design, lab design, and engineering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and lab build-out project management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VFUs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data driven Agrify Insights™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extraction products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Expert horticulturist training and ongoing support</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Extraction Solutions</w:t>
      </w:r>
    </w:p>
    <w:p>
      <w:pPr>
        <w:spacing w:after="0" w:line="12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6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Cannabis represents a potential cornucopia of medicinal and pharmaceutical advancement. Cannabis produces over 550 different phytochemicals, over 120 of which are cannabinoids like tetrahydrocannabinol (“THC”) and cannabidiol (“CBD”) .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0" w:name="page71"/>
    <w:bookmarkEnd w:id="7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Cannabis Market Opportunity</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2"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26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$47.2 billion in 2023, with annual growth rate of 12.69%, with a projected global market volume of $76.1 billion by 2027.</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1" w:name="page72"/>
    <w:bookmarkEnd w:id="7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Competitive Landscape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believe our full suite of product offerings forms an unmatched ecosystem for indoor growing and extraction. At this time, our VFUs, Agrify Insights™, extraction solutions, our facility design and build services, and our engineering/installation services are highly differentiated from anything else on the market.</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costs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97" w:lineRule="exact"/>
        <w:rPr>
          <w:sz w:val="20"/>
          <w:szCs w:val="20"/>
          <w:color w:val="auto"/>
        </w:rPr>
      </w:pPr>
    </w:p>
    <w:p>
      <w:pPr>
        <w:ind w:left="168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Semi-Integrated Vertical Cultivation Systems </w:t>
      </w:r>
      <w:r>
        <w:rPr>
          <w:rFonts w:ascii="Times New Roman" w:cs="Times New Roman" w:eastAsia="Times New Roman" w:hAnsi="Times New Roman"/>
          <w:sz w:val="16"/>
          <w:szCs w:val="16"/>
          <w:color w:val="auto"/>
        </w:rPr>
        <w:t>— Sprout AI</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Aeroponic Systems </w:t>
      </w:r>
      <w:r>
        <w:rPr>
          <w:rFonts w:ascii="Times New Roman" w:cs="Times New Roman" w:eastAsia="Times New Roman" w:hAnsi="Times New Roman"/>
          <w:sz w:val="16"/>
          <w:szCs w:val="16"/>
          <w:color w:val="auto"/>
        </w:rPr>
        <w:t>— AEssenceGrows and Thrive Growing</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64"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Horticultural Lighting </w:t>
      </w:r>
      <w:r>
        <w:rPr>
          <w:rFonts w:ascii="Times New Roman" w:cs="Times New Roman" w:eastAsia="Times New Roman" w:hAnsi="Times New Roman"/>
          <w:sz w:val="16"/>
          <w:szCs w:val="16"/>
          <w:color w:val="auto"/>
        </w:rPr>
        <w:t>— Gavita, Fluence, VividGro, Hydrofarm, GrowGeneration, Hawthorne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Heliospectra</w:t>
      </w:r>
    </w:p>
    <w:p>
      <w:pPr>
        <w:spacing w:after="0" w:line="75" w:lineRule="exact"/>
        <w:rPr>
          <w:rFonts w:ascii="Times New Roman" w:cs="Times New Roman" w:eastAsia="Times New Roman" w:hAnsi="Times New Roman"/>
          <w:sz w:val="16"/>
          <w:szCs w:val="16"/>
          <w:color w:val="auto"/>
        </w:rPr>
      </w:pPr>
    </w:p>
    <w:p>
      <w:pPr>
        <w:ind w:left="1680" w:right="940" w:hanging="389"/>
        <w:spacing w:after="0" w:line="264"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Extraction Solutions </w:t>
      </w:r>
      <w:r>
        <w:rPr>
          <w:rFonts w:ascii="Times New Roman" w:cs="Times New Roman" w:eastAsia="Times New Roman" w:hAnsi="Times New Roman"/>
          <w:sz w:val="16"/>
          <w:szCs w:val="16"/>
          <w:color w:val="auto"/>
        </w:rPr>
        <w:t>— ExtractionTek Solutions, Mach Technologies, Decimal Engineering, 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Temp Plates, Whistler Technologies, Maratek and Hashatron</w:t>
      </w:r>
    </w:p>
    <w:p>
      <w:pPr>
        <w:spacing w:after="0" w:line="75"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Monitoring Software </w:t>
      </w:r>
      <w:r>
        <w:rPr>
          <w:rFonts w:ascii="Times New Roman" w:cs="Times New Roman" w:eastAsia="Times New Roman" w:hAnsi="Times New Roman"/>
          <w:sz w:val="16"/>
          <w:szCs w:val="16"/>
          <w:color w:val="auto"/>
        </w:rPr>
        <w:t>— Grownetics and Trym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Cultivation Software </w:t>
      </w:r>
      <w:r>
        <w:rPr>
          <w:rFonts w:ascii="Times New Roman" w:cs="Times New Roman" w:eastAsia="Times New Roman" w:hAnsi="Times New Roman"/>
          <w:sz w:val="16"/>
          <w:szCs w:val="16"/>
          <w:color w:val="auto"/>
        </w:rPr>
        <w:t>— Quantum Leaf, Flourish, and Grow Link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Vertical Cultivation Racking Systems </w:t>
      </w:r>
      <w:r>
        <w:rPr>
          <w:rFonts w:ascii="Times New Roman" w:cs="Times New Roman" w:eastAsia="Times New Roman" w:hAnsi="Times New Roman"/>
          <w:sz w:val="16"/>
          <w:szCs w:val="16"/>
          <w:color w:val="auto"/>
        </w:rPr>
        <w:t>— Pipp Horticulture and Montel</w:t>
      </w:r>
    </w:p>
    <w:p>
      <w:pPr>
        <w:spacing w:after="0" w:line="12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 is our ability to offer an unrivaled level of precision through a total end-to-end turnkey solution that sets us apart from existing competitors and potential new market entrants.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believe our business has, and our future success will be driven by, the following competitive strengths:</w:t>
      </w:r>
    </w:p>
    <w:p>
      <w:pPr>
        <w:spacing w:after="0" w:line="135" w:lineRule="exact"/>
        <w:rPr>
          <w:sz w:val="20"/>
          <w:szCs w:val="20"/>
          <w:color w:val="auto"/>
        </w:rPr>
      </w:pPr>
    </w:p>
    <w:p>
      <w:pPr>
        <w:jc w:val="both"/>
        <w:ind w:left="1680" w:right="900" w:hanging="389"/>
        <w:spacing w:after="0" w:line="239" w:lineRule="auto"/>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Innovative Technology in an Attractive Growing Industry</w:t>
      </w:r>
      <w:r>
        <w:rPr>
          <w:rFonts w:ascii="Times New Roman" w:cs="Times New Roman" w:eastAsia="Times New Roman" w:hAnsi="Times New Roman"/>
          <w:sz w:val="16"/>
          <w:szCs w:val="16"/>
          <w:color w:val="auto"/>
        </w:rPr>
        <w:t>. Our innovative solutions are aimed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94" w:lineRule="exact"/>
        <w:rPr>
          <w:rFonts w:ascii="Times New Roman" w:cs="Times New Roman" w:eastAsia="Times New Roman" w:hAnsi="Times New Roman"/>
          <w:sz w:val="16"/>
          <w:szCs w:val="16"/>
          <w:color w:val="auto"/>
        </w:rPr>
      </w:pPr>
    </w:p>
    <w:p>
      <w:pPr>
        <w:jc w:val="both"/>
        <w:ind w:left="1680" w:right="900" w:hanging="389"/>
        <w:spacing w:after="0" w:line="249" w:lineRule="auto"/>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Integrated Proprietary Components</w:t>
      </w:r>
      <w:r>
        <w:rPr>
          <w:rFonts w:ascii="Times New Roman" w:cs="Times New Roman" w:eastAsia="Times New Roman" w:hAnsi="Times New Roman"/>
          <w:sz w:val="16"/>
          <w:szCs w:val="16"/>
          <w:color w:val="auto"/>
        </w:rPr>
        <w:t>. We design and create our own hardware, software, and SOPs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the ground up rather than buying piecemeal from third parties. We take a systems-engineered integrated approach that we believe has inherent advantages over other, ad-hoc systems.</w:t>
      </w:r>
    </w:p>
    <w:p>
      <w:pPr>
        <w:spacing w:after="0" w:line="87"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5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Emphasis on Precision and Consistency Through Our Proprietary Grow Solutions</w:t>
      </w:r>
      <w:r>
        <w:rPr>
          <w:rFonts w:ascii="Times New Roman" w:cs="Times New Roman" w:eastAsia="Times New Roman" w:hAnsi="Times New Roman"/>
          <w:sz w:val="16"/>
          <w:szCs w:val="16"/>
          <w:color w:val="auto"/>
        </w:rPr>
        <w:t>. While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2" w:name="page73"/>
    <w:bookmarkEnd w:id="7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2" w:lineRule="exact"/>
        <w:rPr>
          <w:sz w:val="20"/>
          <w:szCs w:val="20"/>
          <w:color w:val="auto"/>
        </w:rPr>
      </w:pPr>
    </w:p>
    <w:p>
      <w:pPr>
        <w:jc w:val="both"/>
        <w:ind w:left="1680" w:right="900" w:hanging="389"/>
        <w:spacing w:after="0" w:line="242" w:lineRule="auto"/>
        <w:tabs>
          <w:tab w:leader="none" w:pos="1680" w:val="left"/>
        </w:tabs>
        <w:numPr>
          <w:ilvl w:val="0"/>
          <w:numId w:val="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Emphasis on Precision and Consistency Through Our Extraction Division. </w:t>
      </w:r>
      <w:r>
        <w:rPr>
          <w:rFonts w:ascii="Times New Roman" w:cs="Times New Roman" w:eastAsia="Times New Roman" w:hAnsi="Times New Roman"/>
          <w:sz w:val="16"/>
          <w:szCs w:val="16"/>
          <w:color w:val="auto"/>
        </w:rPr>
        <w:t>In addition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680" w:right="90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Market Knowledge and Understanding</w:t>
      </w:r>
      <w:r>
        <w:rPr>
          <w:rFonts w:ascii="Times New Roman" w:cs="Times New Roman" w:eastAsia="Times New Roman" w:hAnsi="Times New Roman"/>
          <w:sz w:val="16"/>
          <w:szCs w:val="16"/>
          <w:color w:val="auto"/>
        </w:rPr>
        <w:t>. We have extensive experience with controlled agriculture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96" w:lineRule="exact"/>
        <w:rPr>
          <w:rFonts w:ascii="Times New Roman" w:cs="Times New Roman" w:eastAsia="Times New Roman" w:hAnsi="Times New Roman"/>
          <w:sz w:val="16"/>
          <w:szCs w:val="16"/>
          <w:color w:val="auto"/>
        </w:rPr>
      </w:pPr>
    </w:p>
    <w:p>
      <w:pPr>
        <w:jc w:val="both"/>
        <w:ind w:left="1680" w:right="920" w:hanging="389"/>
        <w:spacing w:after="0" w:line="239" w:lineRule="auto"/>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Differentiated Business Model</w:t>
      </w:r>
      <w:r>
        <w:rPr>
          <w:rFonts w:ascii="Times New Roman" w:cs="Times New Roman" w:eastAsia="Times New Roman" w:hAnsi="Times New Roman"/>
          <w:sz w:val="16"/>
          <w:szCs w:val="16"/>
          <w:color w:val="auto"/>
        </w:rPr>
        <w:t>. Unlike many of our competitors, we offer a diversified mix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primarily market and sell our products to newly licensed, well- funded producers in a single market as well as multi-state operators. Our customers choose us for several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environments, and also provides consistent standard operating procedures across different facilities, helping every facility to achieve the highest Good Manufacturing Processes standards. Our ability to provide a “one- stop shop” experience allows us to be the preferred vendor to many of these customers by streamlining their entry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26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the data that we are collecting from our existing customer base to make continuous improvements to our offerings and better serve our current and new customers in the future.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 date, we have customers across the U.S. and internationally in the cannabis and hemp industry and are of all sizes, ranging from small, single location businesses to multi-state enterprise operations that use Agrify’s solutions. For each of the fiscal years ended December 31, 2022 and December 31, 2021, we had two customers that represented more than 10% of total revenues.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1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3" w:name="page74"/>
    <w:bookmarkEnd w:id="7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Rigorous Sales Process and Strong Infrastructure in Place to Drive Revenue Growth</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utilize a highly structured sales process to evaluate potential new opportunities and then advance vetted prospects through the different phases of our qualified pipeline. Our salespeople spend most of their time building relationships and qualifying opportunities to make closing new business more streamlined, collaborative, and organic in nature. There are specific requirements, milestones, and events that we have identified along the sales process that must be met to move prospects through and convert them from vetted opportunities into committed sales orders within a 12-month period. At each phase of the pipeline, a prospect opportunity is assigned a probability value for closing, providing management production forecast ability.</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Our sales team works to convert our qualified pipeline of opportunities into confirmed contractual bookings. Given our emphasis on enterprise sales opportunities, we believe we are able to significantly scale our business in the coming year without significant increases in our headcount. At the time of this report, our sales team was comprised of one Sales Vice President, Directors of Business Development, Account Managers, Channel Partner Managers, Customer Support and Success Manager, Customer Service Support Reps, and a Sales Support Admin. Additionally, we take measures to ensure that all members of the sales organization are cross-trained on cultivation and extraction products.</w:t>
      </w:r>
    </w:p>
    <w:p>
      <w:pPr>
        <w:spacing w:after="0" w:line="98"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We believe our business has, and our future success will be driven by, the following sales and marketing strategy:</w:t>
      </w:r>
    </w:p>
    <w:p>
      <w:pPr>
        <w:spacing w:after="0" w:line="79" w:lineRule="exact"/>
        <w:rPr>
          <w:sz w:val="20"/>
          <w:szCs w:val="20"/>
          <w:color w:val="auto"/>
        </w:rPr>
      </w:pPr>
    </w:p>
    <w:p>
      <w:pPr>
        <w:jc w:val="both"/>
        <w:ind w:left="1680" w:right="900" w:hanging="389"/>
        <w:spacing w:after="0" w:line="244" w:lineRule="auto"/>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Direct Marketing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capitalize on our direct marketing efforts by utilizing our internal CRM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database, as well as the external help of trusted industry databases to target the right audience. Emails go out on a weekly basis and are subdivided by product focus and state, depending on the campaign. We use A/B testing in our email campaign strategy to harness meaningful messages.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79" w:lineRule="auto"/>
        <w:tabs>
          <w:tab w:leader="none" w:pos="16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Social Media and Thought Leadership. </w:t>
      </w:r>
      <w:r>
        <w:rPr>
          <w:rFonts w:ascii="Times New Roman" w:cs="Times New Roman" w:eastAsia="Times New Roman" w:hAnsi="Times New Roman"/>
          <w:sz w:val="14"/>
          <w:szCs w:val="14"/>
          <w:color w:val="auto"/>
        </w:rPr>
        <w:t>Through the creation and promotion of engaging content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positions us as a thought leader, we continue to organically grow our social media audience. We share original videos, photography, industry-related articles, and blog content on a consistent basis. By developing strong relationships with our customers and sharing testimonials as well as live footage of our products being in action, we are better positioning ourselves on social. Furthermore, we promote our social media in our email communications, on our website, and through paid advertising. We also keep our finger on the pulse of trends and competitors in the market, remaining in the know.</w:t>
      </w:r>
    </w:p>
    <w:p>
      <w:pPr>
        <w:spacing w:after="0" w:line="70"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Trade Shows. </w:t>
      </w:r>
      <w:r>
        <w:rPr>
          <w:rFonts w:ascii="Times New Roman" w:cs="Times New Roman" w:eastAsia="Times New Roman" w:hAnsi="Times New Roman"/>
          <w:sz w:val="16"/>
          <w:szCs w:val="16"/>
          <w:color w:val="auto"/>
        </w:rPr>
        <w:t>Trade shows and events related to the cannabis industry have proven to be highly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effective. When attending trade shows and events, we typically position ourselves front and center, with high-level sponsorships, outstanding booth placement, and speaking opportunities. Our product and subject matter experts take advantage of speaking opportunities, positioning Agrify as an industry thought leader. We expect to continue to grow our industry presence by generating leads using conferences as a platform. The trade show plan has been carefully vetted to ensure that these shows are reputable, have a strong business-to-business focus, high foot-traffic rates, as well as hosted in a desirable market.</w:t>
      </w:r>
    </w:p>
    <w:p>
      <w:pPr>
        <w:spacing w:after="0" w:line="94" w:lineRule="exact"/>
        <w:rPr>
          <w:rFonts w:ascii="Times New Roman" w:cs="Times New Roman" w:eastAsia="Times New Roman" w:hAnsi="Times New Roman"/>
          <w:sz w:val="16"/>
          <w:szCs w:val="16"/>
          <w:color w:val="auto"/>
        </w:rPr>
      </w:pPr>
    </w:p>
    <w:p>
      <w:pPr>
        <w:jc w:val="both"/>
        <w:ind w:left="1680" w:right="900" w:hanging="389"/>
        <w:spacing w:after="0"/>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Paid Advertising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utilize paid advertising such as banner ads on high-trafficked media sites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largely focus on cannabis and other relevant topics. We provide content offers and other downloadable materials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96"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Public Relations Campaigns. </w:t>
      </w:r>
      <w:r>
        <w:rPr>
          <w:rFonts w:ascii="Times New Roman" w:cs="Times New Roman" w:eastAsia="Times New Roman" w:hAnsi="Times New Roman"/>
          <w:sz w:val="16"/>
          <w:szCs w:val="16"/>
          <w:color w:val="auto"/>
        </w:rPr>
        <w:t>We have actively utilized press releases, industry and investor events,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interviews and speaking engagements to increase awareness of our brand, solutions, customer engagements, and other relevant company developments. With our industry positioning using thought leadership and ongoing participation in industry conferences, we have been highlighted through the Newswire and featured in a variety of media outlets. We will continue to sponsor and present keynotes at industry-related events including technology and agriculture conferences, podcasts, radio shows and more to continue to gain press and ultimately more exposure.</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4" w:name="page75"/>
    <w:bookmarkEnd w:id="7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Scale-Up Manufacturing Capabilities in Order to Meet the Increasing Demand for Our Grow Solutions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currently use both internal and external manufacturing to support our increasing demand. Internal production is primarily at our Michigan, Colorado, and Georgia facilities. Externally, we use a variety of contract manufacturers (“CMs”) in the U.S. and in Asia for prototyping and volume manufacturing, and we plan to expand our capabilities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 As demand increases beyond our internal capacities additional volume can be shifted to external manufacturing to ensure market demands are met.</w:t>
      </w:r>
    </w:p>
    <w:p>
      <w:pPr>
        <w:spacing w:after="0" w:line="101"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Overall, our approach to manufacturing is to use both internal and external manufacturing capabilities to prototype, iterate, and begin initial production, then transition to volume production. As volumes increase, this will also include increasing production in lower -cost geographies, which results in both rapid time-to-market and low production costs. As we grow, we intend to continually analyze and evolve our manufacturing capabilities to best meet our customers’ needs while always focusing on ways to maximize operating margins.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18"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Patents</w:t>
      </w:r>
    </w:p>
    <w:p>
      <w:pPr>
        <w:spacing w:after="0" w:line="118" w:lineRule="exact"/>
        <w:rPr>
          <w:sz w:val="20"/>
          <w:szCs w:val="20"/>
          <w:color w:val="auto"/>
        </w:rPr>
      </w:pPr>
    </w:p>
    <w:p>
      <w:pPr>
        <w:jc w:val="both"/>
        <w:ind w:left="900" w:right="940" w:firstLine="384"/>
        <w:spacing w:after="0" w:line="331" w:lineRule="auto"/>
        <w:rPr>
          <w:sz w:val="20"/>
          <w:szCs w:val="20"/>
          <w:color w:val="auto"/>
        </w:rPr>
      </w:pPr>
      <w:r>
        <w:rPr>
          <w:rFonts w:ascii="Times New Roman" w:cs="Times New Roman" w:eastAsia="Times New Roman" w:hAnsi="Times New Roman"/>
          <w:sz w:val="14"/>
          <w:szCs w:val="14"/>
          <w:color w:val="auto"/>
        </w:rPr>
        <w:t>We hold 20 patents in the U.S. We also have one pending patent application. These patents and patents applications are directed to, among other things, extraction and processing of botanicals and particular compounds.</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Trademarks and Copyrights</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We own or have applications for numerous national and state trademarks which are essential to our businesses, including Agrify, Precision, PurePressure, PressWare, Lab Society and Elitelab, among others. In addition, we recognize common-law trademark rights AGRIFY INSIGHTS and AGRINAMICS for SaaS products.</w:t>
      </w:r>
    </w:p>
    <w:p>
      <w:pPr>
        <w:spacing w:after="0" w:line="5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open-source software for integration into our applications.</w:t>
      </w:r>
    </w:p>
    <w:p>
      <w:pPr>
        <w:spacing w:after="0" w:line="6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5" w:name="page76"/>
    <w:bookmarkEnd w:id="7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of February 14, 2024, we had a total of 57 employees, of which 56 are full-time employees, with 9 located in the New England area, 13 in Colorado, 23 in Michigan, 2 in Georgia, and 10 located in other states. None of our employees are subject to collective bargaining agreements. We consider our relationship with our employees to be good.</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strive to attract and retain diverse, high-caliber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In addition to our competitive salaries, to enhance our employees’ sense of participation in the company and to further align their interests with those of our stockholders, we offer equity packages to a majority of our employees. The principal purposes of our equity incentive plan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26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We strive to hire, develop, and retain talent that continuously raises the performance bar. We encourage, support, and compensate our employees based on our philosophy of recognizing and rewarding exceptional performance. We believe that performance and development is an ongoing process in which all employees should be active participants. Individual and company key performance goals are linked to employee compensation.</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Our headquarters is currently located in Troy, Michigan and consists of approximately 15,825 square feet of office and warehouse space under a lease that expires in March 2026 with an option to extend for an additional three years. We lease properties located within various geographic regions in which we conduct business, including Colorado, Georgia, and Michigan. Our properties include office spaces, showrooms, and warehouses used for research and development, operational, sales, management, and administrative purposes. All of our facilities are leased. We believe our facilities are adequate for our needs and believe that we should be able to renew any of our existing leases or secure similar property without an adverse impact on our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Regulatory Implications of Providing Equipment and Services in the Cannabis and Hemp Industry</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256"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6" w:name="page77"/>
    <w:bookmarkEnd w:id="7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880"/>
        <w:spacing w:after="0" w:line="243" w:lineRule="auto"/>
        <w:rPr>
          <w:sz w:val="20"/>
          <w:szCs w:val="20"/>
          <w:color w:val="auto"/>
        </w:rPr>
      </w:pPr>
      <w:r>
        <w:rPr>
          <w:rFonts w:ascii="Times New Roman" w:cs="Times New Roman" w:eastAsia="Times New Roman" w:hAnsi="Times New Roman"/>
          <w:sz w:val="16"/>
          <w:szCs w:val="16"/>
          <w:color w:val="auto"/>
        </w:rPr>
        <w:t>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 -licensed cannabis operators, state and local taxation of regulated cannabis products, local municipality bans on operations and operator licensing processes and renewals.</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Smaller Reporting Company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95" w:lineRule="exact"/>
        <w:rPr>
          <w:sz w:val="20"/>
          <w:szCs w:val="20"/>
          <w:color w:val="auto"/>
        </w:rPr>
      </w:pPr>
    </w:p>
    <w:p>
      <w:pPr>
        <w:ind w:left="1680" w:right="900" w:hanging="389"/>
        <w:spacing w:after="0" w:line="259"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 auditor to report on our internal controls over financial reporting pursuant to Section 404(b) of the Sarbanes-Oxley Act of 2002, or the Sarbanes-Oxley Act;</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certain executive compensation matters to shareholder advisory votes, such as “say-on-pay,” “say-on-frequency,” and “say-on-golden parachutes;” or</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92"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addition, the JOBS Act provides that an “emerging growth company” can use the extended transition period for complying with new or revised accounting standards.</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16" w:lineRule="exact"/>
        <w:rPr>
          <w:sz w:val="20"/>
          <w:szCs w:val="20"/>
          <w:color w:val="auto"/>
        </w:rPr>
      </w:pPr>
    </w:p>
    <w:p>
      <w:pPr>
        <w:ind w:left="1680" w:hanging="389"/>
        <w:spacing w:after="0"/>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reporting $1 billion or more in annual gross revenues;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issuance, in a three-year period, of more than $1 billion in non-convertible debt;</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 of the fiscal year in which the market value of our common stock held by non-affiliates exceeds $700 million on the last business day of our second fiscal quarter;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w:t>
      </w:r>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7" w:name="page78"/>
    <w:bookmarkEnd w:id="7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Acquisition and Warrant Issuance</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98"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7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The Former Lender exercised the Exchange Warrant and Abeyance Warrant in full during January and February 2024.</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Consolidation and Conversion</w:t>
      </w:r>
    </w:p>
    <w:p>
      <w:pPr>
        <w:spacing w:after="0" w:line="118" w:lineRule="exact"/>
        <w:rPr>
          <w:sz w:val="20"/>
          <w:szCs w:val="20"/>
          <w:color w:val="auto"/>
        </w:rPr>
      </w:pPr>
    </w:p>
    <w:p>
      <w:pPr>
        <w:jc w:val="both"/>
        <w:ind w:left="900" w:right="880" w:firstLine="384"/>
        <w:spacing w:after="0" w:line="237"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8" w:name="page79"/>
    <w:bookmarkEnd w:id="7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6"/>
        <w:spacing w:after="0" w:line="238" w:lineRule="auto"/>
        <w:tabs>
          <w:tab w:leader="none" w:pos="116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Mack Molding Settlement and Warrant Issuance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Nasdaq Notices and Hearing</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8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9" w:name="page80"/>
    <w:bookmarkEnd w:id="7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2024 to evidence compliance with Rule 5550(b)(1), which represents the full extent of the Panel’s discretion to grant continued listing. As a result, there can be no assurance that we can regain compliance by the end of the extension period.</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 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From time to time, we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90"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Bud &amp; Mary’s Litigation. </w:t>
      </w:r>
      <w:r>
        <w:rPr>
          <w:rFonts w:ascii="Times New Roman" w:cs="Times New Roman" w:eastAsia="Times New Roman" w:hAnsi="Times New Roman"/>
          <w:sz w:val="14"/>
          <w:szCs w:val="14"/>
          <w:color w:val="auto"/>
        </w:rPr>
        <w:t>On September 15, 2022, the Company provided a notice of default to Bud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200" w:lineRule="exact"/>
        <w:rPr>
          <w:sz w:val="20"/>
          <w:szCs w:val="20"/>
          <w:color w:val="auto"/>
        </w:rPr>
      </w:pPr>
    </w:p>
    <w:p>
      <w:pPr>
        <w:spacing w:after="0" w:line="23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Bowdoin Construction Corp. Litigation. </w:t>
      </w:r>
      <w:r>
        <w:rPr>
          <w:rFonts w:ascii="Times New Roman" w:cs="Times New Roman" w:eastAsia="Times New Roman" w:hAnsi="Times New Roman"/>
          <w:sz w:val="16"/>
          <w:szCs w:val="16"/>
          <w:color w:val="auto"/>
        </w:rPr>
        <w:t>On February 22, 2023, Bowdoin Construction Corp. (“Bowdoin”)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Agrify Corporation, Bud &amp; Mary’s Cultivation, Inc. and BMLC2, LLC </w:t>
      </w:r>
      <w:r>
        <w:rPr>
          <w:rFonts w:ascii="Times New Roman" w:cs="Times New Roman" w:eastAsia="Times New Roman" w:hAnsi="Times New Roman"/>
          <w:sz w:val="16"/>
          <w:szCs w:val="16"/>
          <w:color w:val="auto"/>
        </w:rPr>
        <w:t>, case no. 2382CV00173. The Bowdoin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Mack Molding Co. </w:t>
      </w:r>
      <w:r>
        <w:rPr>
          <w:rFonts w:ascii="Times New Roman" w:cs="Times New Roman" w:eastAsia="Times New Roman" w:hAnsi="Times New Roman"/>
          <w:sz w:val="16"/>
          <w:szCs w:val="16"/>
          <w:color w:val="auto"/>
        </w:rPr>
        <w:t>In December 2020, the Company entered into a five-year supply agreement with Mack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0" w:name="page81"/>
    <w:bookmarkEnd w:id="8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5" w:lineRule="auto"/>
        <w:rPr>
          <w:sz w:val="20"/>
          <w:szCs w:val="20"/>
          <w:color w:val="auto"/>
        </w:rPr>
      </w:pPr>
      <w:r>
        <w:rPr>
          <w:rFonts w:ascii="Times New Roman" w:cs="Times New Roman" w:eastAsia="Times New Roman" w:hAnsi="Times New Roman"/>
          <w:sz w:val="14"/>
          <w:szCs w:val="14"/>
          <w:color w:val="auto"/>
        </w:rPr>
        <w:t>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 moving inventory. As of December 31, 2022, the Company owed Mack $8.4 million for purchased inventory on behalf of the Company to produce VFUs, which is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with respect to the dispute.</w:t>
      </w:r>
    </w:p>
    <w:p>
      <w:pPr>
        <w:spacing w:after="0" w:line="254"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i w:val="1"/>
          <w:iCs w:val="1"/>
          <w:color w:val="auto"/>
        </w:rPr>
        <w:t xml:space="preserve">TRC Electronics Litigation. </w:t>
      </w:r>
      <w:r>
        <w:rPr>
          <w:rFonts w:ascii="Times New Roman" w:cs="Times New Roman" w:eastAsia="Times New Roman" w:hAnsi="Times New Roman"/>
          <w:sz w:val="14"/>
          <w:szCs w:val="14"/>
          <w:color w:val="auto"/>
        </w:rPr>
        <w:t>The Company was named as a defendant in a complaint filed by TRC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Electronics, Inc. (“TRC”) on April 13, 2023 in the United States District Court for the Eastern District of Pennsylvania. In the Complaint, TRC asserts two causes of action against the Company: (1) breach of contract, and</w:t>
      </w:r>
    </w:p>
    <w:p>
      <w:pPr>
        <w:spacing w:after="0" w:line="1" w:lineRule="exact"/>
        <w:rPr>
          <w:sz w:val="20"/>
          <w:szCs w:val="20"/>
          <w:color w:val="auto"/>
        </w:rPr>
      </w:pPr>
    </w:p>
    <w:p>
      <w:pPr>
        <w:jc w:val="both"/>
        <w:ind w:left="900" w:right="920" w:firstLine="6"/>
        <w:spacing w:after="0" w:line="236" w:lineRule="auto"/>
        <w:tabs>
          <w:tab w:leader="none" w:pos="113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Agrify Corporation was incorporated in the state of Nevada on June 6, 2016, originally incorporated as Agrinamics, Inc. (or Agrinamics). On September 16, 2019, Agrinamics amended its articles of incorporation to reflect a name change to Agrify Corporation. Our executive offices are located at 2468 Industrial Row, Dr., Troy, Michigan 48084. Our telephone number at our executive offices is (855) 420-0020. Our website address is </w:t>
      </w:r>
      <w:r>
        <w:rPr>
          <w:rFonts w:ascii="Times New Roman" w:cs="Times New Roman" w:eastAsia="Times New Roman" w:hAnsi="Times New Roman"/>
          <w:sz w:val="16"/>
          <w:szCs w:val="16"/>
          <w:i w:val="1"/>
          <w:iCs w:val="1"/>
          <w:color w:val="auto"/>
        </w:rPr>
        <w:t xml:space="preserve">www.agrify.com. </w:t>
      </w:r>
      <w:r>
        <w:rPr>
          <w:rFonts w:ascii="Times New Roman" w:cs="Times New Roman" w:eastAsia="Times New Roman" w:hAnsi="Times New Roman"/>
          <w:sz w:val="16"/>
          <w:szCs w:val="16"/>
          <w:color w:val="auto"/>
        </w:rPr>
        <w:t>Our website and the information contained in, or accessible through, our website will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to be incorporated by reference into this prospectus and does not constitute part of this prospectus. You should not rely on any such information in making your decision whether to purchase our securities.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1" w:name="page82"/>
    <w:bookmarkEnd w:id="8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96"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financial statements and related notes thereto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 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“Special Note Regarding Forward-Looking Statements.”</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are a developer of proprietary precision hardware and software grow solutions for the indoor commercial agriculture industry and provide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Our corporate headquarters are located in Troy, Michigan. We also lease properties located within various geographic regions in which we conduct business, including Colorado, Georgia, Massachusetts, Michigan, and Oregon.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 Business Developments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March 14, 2022, we entered into a Securities Purchase Agreement (the “Securities Purchase Agreement”) with High Trail Special Situations LLC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August 18, 2022, we reached an agreement with the Former Lender to amend the existing SPA Note and entered into a Securities Exchange Agreement (the “August 2022 Exchange Agreement”) . Pursuant to the August 2022 Exchange Agreement, we partially paid $35.2 million along with approximately $ 300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2" w:name="page83"/>
    <w:bookmarkEnd w:id="8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new warrant for the same number of underlying shares but with a reduced exercise price (the “Modified Warrant” and, collectively with the Note Exchange Warrant, the “August 2022 Warrants”). The Exchange Note would mature on the three-year anniversary of its issuance.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$ 10.0 million in principal amount under the Exchange Note for a new senior convertible note (the “Convertible Note” and, together with the Exchange Note, the “Notes”) with an original principal amount of $10.0 million. The Convertible Note had an original maturity date of August 19, 2025.</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92" w:lineRule="exact"/>
        <w:rPr>
          <w:sz w:val="20"/>
          <w:szCs w:val="20"/>
          <w:color w:val="auto"/>
        </w:rPr>
      </w:pPr>
    </w:p>
    <w:p>
      <w:pPr>
        <w:jc w:val="both"/>
        <w:ind w:left="900" w:right="880" w:firstLine="384"/>
        <w:spacing w:after="0" w:line="273" w:lineRule="auto"/>
        <w:rPr>
          <w:sz w:val="20"/>
          <w:szCs w:val="20"/>
          <w:color w:val="auto"/>
        </w:rPr>
      </w:pPr>
      <w:r>
        <w:rPr>
          <w:rFonts w:ascii="Times New Roman" w:cs="Times New Roman" w:eastAsia="Times New Roman" w:hAnsi="Times New Roman"/>
          <w:sz w:val="14"/>
          <w:szCs w:val="14"/>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w:t>
      </w:r>
    </w:p>
    <w:p>
      <w:pPr>
        <w:spacing w:after="0" w:line="164" w:lineRule="exact"/>
        <w:rPr>
          <w:sz w:val="20"/>
          <w:szCs w:val="20"/>
          <w:color w:val="auto"/>
        </w:rPr>
      </w:pPr>
    </w:p>
    <w:p>
      <w:pPr>
        <w:jc w:val="both"/>
        <w:ind w:left="900" w:right="920" w:firstLine="6"/>
        <w:spacing w:after="0" w:line="236" w:lineRule="auto"/>
        <w:tabs>
          <w:tab w:leader="none" w:pos="109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At The Marketing Offering</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$ 50.85 per share, resulting in gross proceeds of $15.6 million, and net proceeds of $15.0 million after commissions and fees to the Agent totaling $ 0.5 million and legal fees totaling $0.1 million. $3.0 million of the proceeds under the ATM Program were used to repay amounts due to the Lender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the Company’s 2022 Annual Report on Form 10 -K, the Company is no longer eligible to utilize the registration statement on Form S-3 relating to the ATM Program, and does not anticipate any further sales under the ATM Program in the foreseeable future.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Confidentially Marketed Public Offering</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3" w:name="page84"/>
    <w:bookmarkEnd w:id="8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our Common Stock.</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Raymond Chang, our Chairman and CEO, participated in the Offering and purchased 115,385 shares of Common Stock and 230,769 warrants for an aggregate purchase price of approximately $1.5 million.</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received aggregate gross proceeds to us from the Offering of approximately $8.7 million including offering costs of approximately $ 0.5 million for broker fees and legal expenses, for net proceeds of $8.2 million. We intend to use the net proceeds from the Offering, together with our existing cash resources, for working capital and general corporate purposes, which may include capital expenditures and repayment of debt.</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 -Funded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gross proceeds to us from the private placement were approximately $27.3 million, before deducting the placement agent’s fees and other offering expenses.</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Acquisition of Lab Society</w:t>
      </w:r>
    </w:p>
    <w:p>
      <w:pPr>
        <w:spacing w:after="0" w:line="120"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4" w:name="page85"/>
    <w:bookmarkEnd w:id="8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92"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 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9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amortize our intangible assets assuming no residual value over periods in which the economic benefit of these assets is consumed.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Amendment and Secured Promissory Note</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Amendment, Consolidation and Conversion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5" w:name="page86"/>
    <w:bookmarkEnd w:id="8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3" w:lineRule="auto"/>
        <w:rPr>
          <w:sz w:val="20"/>
          <w:szCs w:val="20"/>
          <w:color w:val="auto"/>
        </w:rPr>
      </w:pPr>
      <w:r>
        <w:rPr>
          <w:rFonts w:ascii="Times New Roman" w:cs="Times New Roman" w:eastAsia="Times New Roman" w:hAnsi="Times New Roman"/>
          <w:sz w:val="14"/>
          <w:szCs w:val="14"/>
          <w:color w:val="auto"/>
        </w:rPr>
        <w:t>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3" w:lineRule="exact"/>
        <w:rPr>
          <w:sz w:val="20"/>
          <w:szCs w:val="20"/>
          <w:color w:val="auto"/>
        </w:rPr>
      </w:pPr>
    </w:p>
    <w:p>
      <w:pPr>
        <w:jc w:val="both"/>
        <w:ind w:left="900" w:right="900" w:firstLine="6"/>
        <w:spacing w:after="0" w:line="236" w:lineRule="auto"/>
        <w:tabs>
          <w:tab w:leader="none" w:pos="114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Mack Molding Settlement and Warrant Issuance</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Impact of coronavirus pandemic (“COVID-19”)</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01"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73"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6" w:name="page87"/>
    <w:bookmarkEnd w:id="8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Nasdaq Notices and Hearing</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8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 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Policies and Significant Judgments and Estimates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7" w:name="page88"/>
    <w:bookmarkEnd w:id="8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1" w:lineRule="auto"/>
        <w:rPr>
          <w:sz w:val="20"/>
          <w:szCs w:val="20"/>
          <w:color w:val="auto"/>
        </w:rPr>
      </w:pPr>
      <w:r>
        <w:rPr>
          <w:rFonts w:ascii="Times New Roman" w:cs="Times New Roman" w:eastAsia="Times New Roman" w:hAnsi="Times New Roman"/>
          <w:sz w:val="16"/>
          <w:szCs w:val="16"/>
          <w:color w:val="auto"/>
        </w:rPr>
        <w:t>On an ongoing basis, we evaluate estimates, which include estimates related to accruals, stock-based compensation expense, and reported amounts of revenues and expenses during the reported period. We base our estimates on historical experience and other market- specific or other relevant assumptions that we believe to be reasonable under the circumstances. Actual results may differ materially from those estimates or assumptions. There have been no material changes to our critical accounting policies and estimates during the relevant period.</w:t>
      </w:r>
    </w:p>
    <w:p>
      <w:pPr>
        <w:spacing w:after="0" w:line="165"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generate revenue from the following sources: (1) equipment sales, (2) providing services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we recognize revenue from contracts with customers using a five-step model, which is described below:</w:t>
      </w:r>
    </w:p>
    <w:p>
      <w:pPr>
        <w:spacing w:after="0" w:line="83" w:lineRule="exact"/>
        <w:rPr>
          <w:sz w:val="20"/>
          <w:szCs w:val="20"/>
          <w:color w:val="auto"/>
        </w:rPr>
      </w:pPr>
    </w:p>
    <w:p>
      <w:pPr>
        <w:ind w:left="1680" w:hanging="38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12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8" w:name="page89"/>
    <w:bookmarkEnd w:id="8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74"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606-10-32 -33.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determine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September 30, 2023 and 2022, we did not have any such financial income.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01"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9" w:name="page90"/>
    <w:bookmarkEnd w:id="8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606-10-50 -13,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450-20 -25, we accrue for product warranties when the loss is probable and can be reasonably estimated. The reserve for warranty returns is included in accrued expenses and other current liabilities in our consolidated balance sheets.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Accounting for Business Combinations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allocated the purchase price of acquired companies to the tangible and intangible assets acquired, including in- 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01"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Examples of critical estimates in valuing certain of the intangible assets we have acquired or may acquire in the future include but are not limited to:</w:t>
      </w:r>
    </w:p>
    <w:p>
      <w:pPr>
        <w:spacing w:after="0" w:line="83" w:lineRule="exact"/>
        <w:rPr>
          <w:sz w:val="20"/>
          <w:szCs w:val="20"/>
          <w:color w:val="auto"/>
        </w:rPr>
      </w:pPr>
    </w:p>
    <w:p>
      <w:pPr>
        <w:ind w:left="1680" w:right="920" w:hanging="389"/>
        <w:spacing w:after="0" w:line="259" w:lineRule="auto"/>
        <w:tabs>
          <w:tab w:leader="none" w:pos="16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expected cash flows from software license sales, support agreements, consulting contracts, other customer contracts, and acquired developed technologies;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costs to develop in-process research and development into commercially viable products and estimated cash flows from the projects when completed;</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company’s brand and competitive position, as well as assumptions about the period of time the acquired brand will continue to be used in the combined company’s product portfolio;</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capital and discount rates; and</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estimating the useful lives of acquired assets as well as the pattern or manner in which the assets will amortize.</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0" w:name="page91"/>
    <w:bookmarkEnd w:id="9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 During the three and nine months ended September 30, 2023, no impairment charges were recorded.</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evaluate our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we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We reassess the classification of our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0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If we determine that an instrument is not a derivative liability, we then evaluate whether there is a beneficial conversion feature (“BCF”), by comparing the commitment date fair value to the effective current conversion price of the instrument. We record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20" w:firstLine="384"/>
        <w:spacing w:after="0" w:line="276" w:lineRule="auto"/>
        <w:rPr>
          <w:sz w:val="20"/>
          <w:szCs w:val="20"/>
          <w:color w:val="auto"/>
        </w:rPr>
      </w:pPr>
      <w:r>
        <w:rPr>
          <w:rFonts w:ascii="Times New Roman" w:cs="Times New Roman" w:eastAsia="Times New Roman" w:hAnsi="Times New Roman"/>
          <w:sz w:val="14"/>
          <w:szCs w:val="14"/>
          <w:color w:val="auto"/>
        </w:rPr>
        <w:t>We do not use derivative instruments to hedge exposures to cash flow, market, or foreign currency risks. We evaluate all of our financial instruments, including issued private placement stock purchase warrants, to determine if such instruments are derivatives or contain features that qualify as embedded derivatives, pursuant to ASC Topic 480, Distinguishing Liabilities from Equity (“ASC 480”) and ASC 815. We account for warrants as either equity-classified or liability-classified instruments based on an assessment of the warrant’s specific terms and applicable authoritative guidance in ASC 480 and ASC 815. Our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condensed consolidated statements of operations.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1" w:name="page92"/>
    <w:bookmarkEnd w:id="9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 use software is amortized on a straight-line basis over the estimated useful life of the asset, which ranges from two to five years.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follow the provisions of ASC 740-10-25 -5,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 -than-not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We recognize the benefit of a tax position when it is effectively settled. ASC 740-10-25- 10, “Basic Recognition Threshold” provides guidance on how an entity should determine whether a tax position is effectively settled for the purpose of recognizing previously unrecognized tax benefits. ASC 740- 10-25-10 clarifies that a tax position can be effectively settled upon the completion of an examination by a taxing authority. For tax positions considered effectively settled, we recognize the full amount of the tax benefit.</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Accounting for Stock-Based Compensation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2" w:name="page93"/>
    <w:bookmarkEnd w:id="9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84" w:lineRule="auto"/>
        <w:rPr>
          <w:sz w:val="20"/>
          <w:szCs w:val="20"/>
          <w:color w:val="auto"/>
        </w:rPr>
      </w:pPr>
      <w:r>
        <w:rPr>
          <w:rFonts w:ascii="Times New Roman" w:cs="Times New Roman" w:eastAsia="Times New Roman" w:hAnsi="Times New Roman"/>
          <w:sz w:val="14"/>
          <w:szCs w:val="14"/>
          <w:color w:val="auto"/>
        </w:rPr>
        <w:t>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6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It is important that the discussion of our operating results that follows be read in conjunction with the critical accounting policies disclosed above.</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Our continuation as a going concern is dependent upon our ability to obtain the necessary debt or equity financing to continue operations until we begin generating sufficient cash flows from operations to meet our obligations. If we are unable raise additional funds, we may be forced to cease operations.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Years Ended December 31, 2022 and 2021</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years ended December 31, 2022 and 2021:</w:t>
      </w:r>
    </w:p>
    <w:p>
      <w:pPr>
        <w:spacing w:after="0" w:line="234"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(including $2,417 and $31,439 from related parties, respectively)</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(loss) profit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161,531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(35,073)</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(188,284)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(32,300)</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(32,325)</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52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9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93" w:name="page94"/>
    <w:bookmarkEnd w:id="9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Our goal is to provide our customers with a variety of products to address their entire indoor agriculture needs. Our core product offering includes our VFUs and Agrify Integrated Grow Racks with our Agrify Insights™, which are supplemented with environmental control products, grow lights, facility build-out services, and extraction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generate revenue from sales of cultivation solutions, including ancillary products and services, Agrify Insights™,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provides a breakdown of our revenue for the years ended December 31, 2022 and 2021:</w:t>
      </w:r>
    </w:p>
    <w:p>
      <w:pPr>
        <w:spacing w:after="0" w:line="234"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w w:val="99"/>
              </w:rPr>
              <w:t>Cultivation solutions, including ancillary</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(10,643)</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6"/>
        </w:trPr>
        <w:tc>
          <w:tcPr>
            <w:tcW w:w="2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(13,064)</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120" w:type="dxa"/>
            <w:vAlign w:val="bottom"/>
          </w:tcPr>
          <w:p>
            <w:pPr>
              <w:spacing w:after="0"/>
              <w:rPr>
                <w:sz w:val="22"/>
                <w:szCs w:val="22"/>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Revenues decreased by $1.6 million, or 3%, for the year ended December 31, 2022, as compared to the same period in 2021. The comparative decrease in revenue was primarily driven by a $13.1 million reduction in facility build-outs due to completion of one construction project and $7.0 million of revenue for Bud &amp; Mary’s that was deferred due to pending litigation. Additionally, there was a $10.6 million decrease in cultivation solutions due to the migration to a VFU leasing model. This was partially offset by revenue generated by our extraction solutions sales of equipment and services from our acquisition of Lab Society in 2022 and Precision, Cascade, and PurePressure in 2021, which contributed $22.0 million.</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a breakdown of our cost of goods sold for the years ended December 31, 2022 and 2021:</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w w:val="99"/>
              </w:rPr>
              <w:t>Cultivation solutions, including ancillary</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10,855</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35,012</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(3,424)</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8,758</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22,195</w:t>
            </w:r>
          </w:p>
        </w:tc>
        <w:tc>
          <w:tcPr>
            <w:tcW w:w="120" w:type="dxa"/>
            <w:vAlign w:val="bottom"/>
          </w:tcPr>
          <w:p>
            <w:pPr>
              <w:spacing w:after="0"/>
              <w:rPr>
                <w:sz w:val="22"/>
                <w:szCs w:val="22"/>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goods sold</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54,625</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35,429</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Cost of goods sold increased $35.4 million, or 65%, for the year ended December 31, 2022, as compared to the same period in 2021. The year-over-year increase in cost of goods sold is primarily associated with increased inventory reserves due to the overall decline in the market and obsolescence. The decline in facility build-outs was the result of the completion of one construction project and the cessation of construction on the Bud and Mary’s project due to pending litigation.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4" w:name="page95"/>
    <w:bookmarkEnd w:id="9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Gross (Loss) Profit</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(loss) profit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(31,795)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5,234</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6"/>
        </w:trPr>
        <w:tc>
          <w:tcPr>
            <w:tcW w:w="2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Gross loss totaled $31.8 million, or (54.6)%, of total revenue during the year ended December 31, 2022 compared to a gross profit of $5.2 million, or 8.7% of total revenue during the year ended December 31, 2021. The comparative $37.0 million year-over -year decline in gross profit, as well as the comparative decline in gross profit margin, is primarily attributable to reserves for inventory and facility build-outs. The Bud &amp; Mary’s project was the main contributor to the gross margin decline in facility build-outs due to the pending litigation. The gross profit decline was partially offset by increased Extraction solutions revenue in 2022.</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5"/>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30,807</w:t>
            </w: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4,163</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5,175</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3,925</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4,254</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1,412</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(3,568)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Impairment of goodwill and 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161,531</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40,307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121,224</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General and administrative (“G&amp;A”) expenses consist principally of salaries and related costs, including stock-based compensation and travel expenses, for personnel associated with executive and other administrative functions. Other G&amp;A expenses include, but are not limited to, professional fees for legal, consulting, depreciation and amortization, and accounting services, as well as facility-related costs.</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G&amp;A expenses increased by $42.5 million, or 138%, for the year ended December 31, 2022, compared to the same period in 2021. The primary drivers of the year-over-year increase of G&amp;A expenses were largely attributable to an increase in trade and loan receivable allowances of $33.1 million, primarily related to our TTK projects, and an increase of $6.3 million in employee related expenses and severance expense.</w:t>
      </w:r>
    </w:p>
    <w:p>
      <w:pPr>
        <w:spacing w:after="0" w:line="95"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During the second, third, and fourth quarters of 2022, we increased our loan receivable reserve by approximately $7.1 million, $14.7 million, and $11.3 million, respectively. The $7.1 million increase during the second quarter of 2022 was specifically related to Greenstone Holdings (“Greenstone”). Greenstone is a related party because one of our former Agrify Brands employees and our VP of Engineering had a minority ownership. We specifically established the loan reserve related to Greenstone based on our review of Greenstone’s financial stability, which would impact collectability and is primarily the result of unfavorable market conditions within the Colorado market. We wrote off the entire Greenstone loan receivable as of June 30, 2023. Additional information regarding recent developments with Greenstone may be found in Note 5 — Loans Receivable, included in the notes to the consolidated financial statements. The $14.7 million increase during the third quarter of 2022 specifically related to Bud &amp; Mary’s. We deemed it necessary to fully reserve Bud &amp; Mary’s loan receivable balance due to the current litigation and the uncertainty of the customer’s ability to repay the outstanding balance. We believe the litigation is without merit and will continue to vigorously defend ourselves. The $11.3 million increase during the fourth quarter of 2022 related to three customer balances that were fully or partially reserved.</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Selling and marketing</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Selling and marketing expenses consist primarily of salaries and related costs of personnel, travel expenses, trade shows, and advertising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5" w:name="page96"/>
    <w:bookmarkEnd w:id="9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Selling and marketing expenses increased by $5.2 million, or 124%, for the year ended December 31, 2022, compared to the same period in 2021. The comparative period increase was primarily related to our acquisition of Lab Society in 2022 and the acquisitions of Precision, Cascade, and PurePressure in 2021, which contributed $3.7 million of increased selling and marketing expenses, an increase in payroll, severance, and related expenses of $957 thousand, and an increase in advertising, trade shows, and other expenses of $558 thousand.</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Research and development (“R&amp;D”) expenses consisted primarily of costs incurred for the development of our Agrify Insights™ and next-generation VFUs, which includes:</w:t>
      </w:r>
    </w:p>
    <w:p>
      <w:pPr>
        <w:spacing w:after="0" w:line="83" w:lineRule="exact"/>
        <w:rPr>
          <w:sz w:val="20"/>
          <w:szCs w:val="20"/>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and travel;</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subcontractor expenses incurred under agreements to provide engineering work related to the development of our next-generation VFUs; and</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our facilities, depreciation, and other expenses, which include direct and allocated expenses for rent and maintenance of facilities, insurance, and other supplies.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R&amp;D expenses increased by $4.3 million, or 108%, for the year ended December 31, 2022, compared to the same period in 2021. The comparative period increase is primarily related to our acquisition of Lab Society in 2022 and the acquisitions of Precision, Cascade, and PurePressure in 2021, which increased research and development expenses by $1.8 million, an increase in consulting and other cost of $ 1.8 million, and an increase in payroll, severance, and related expenses of $736 thousand. As a percentage of net revenue, R&amp;D expenses were 14.0% of total revenue for the year ended December 31, 2022, compared to 6.6% for same period in 2021.</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expect to continue to invest in future developments for our VFUs, Agrify Insights™, and extraction products. Although we continue to invest in R&amp;D activities, we expect R&amp;D expenses to decrease as a percentage of revenue as our revenue grows.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Change in contingent consideration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Contingent consideration decreased $2.2 million for the year ended December 31, 2022, compared to an increase of $1.4 million for the same period in 2021. The change in contingent consideration, which was recognized by us during the second and third quarters of 2022, primarily related to the reduction in the projected earn-out achievement associated with Lab Society’s and PurePressure’s first twelve-month earn-out period, for which revenue projections were trending below our original earn-out estimates used in calculating the fair value of the contingent consideration.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Impairment of property and equipment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Results from a 50% reserve on equipment to be leased to Hannah Industries due to uncertainty of the project.</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Impairment of goodwill and intangible assets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During the three months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our interim testing, we noted that the current carrying value of equity significantly exceeded the calculated fair value of equity,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our interim impairment testing may be found in Note 7 — Goodwill and Intangible Assets, Net, included in the notes to the consolidated financial statements.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6" w:name="page97"/>
    <w:bookmarkEnd w:id="9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(8,824)</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(Loss) gain on extinguishment of notes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(41,670)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2,269</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Interest (expense) income, net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Interest expense was approximately $8.8 million for the year ended December 31, 2022 compared to interest income of approximately $74 thousand for the same period in 2021. The interest expense in 2022 is primarily attributable to modification of our debt facilities related to our SPA Note and Exchange Note.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Other expense, net</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expense, net increased by $1.3 million, or 4,345%, for the year ended December 31, 2022, compared to the same period in 2021.</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Change in fair value of warrant liability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Change in fair value of warrant liability was $51.5 million for the year ended December 31, 2022. There was no change in fair value of warrant liability in 2021. During the year ended December 31, 2022, we recorded a non-cash gain of $51.5 million related to changes in the valuation of our liability-classified warrants issued in August and December 2022, which was primarily driven by movements in our stock price. Additional information regarding the fair value of our liability-classified warrants may be found in Note 4 — Fair Value Measures, included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Gain on forgiveness of PPP loan</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September 2021, the PPP loan for $45 thousand was forgiven by the U.S. Small Business Administration.</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a result, we recorded a gain of $45 thousand on the forgiveness of the loan and the associated accrued interest.</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There was no associated forgiveness in the year ended December 31, 2022.</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(Loss) gain on extinguishment of notes payable</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Loss on extinguishment of notes payable was $ 39.0 million for the year ended December 31, 2022, compared to a gain of $2.7 million for the same period in 2021. The loss on extinguishment of notes payable, which was recognized by us during the third quarter of 2022, related to the extinguishment of the SPA Note dated March 14, 2022. We recognized a loss on extinguishment of $39.0 million (inclusive of $ 13.1 million of unamortized warrants, $5.0 million for a default penalty on the principal amount, $2.3 million of unamortized issuance costs, and $1.2 million for the incremental fair value of warrants modified in exchange of debt). Additional information relating to our SPA Note may be found in Note 9 — Debt, included in the notes to the consolidated financial statements.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gain on extinguishment of $2.7 million for the year ended December 31, 2021 related to the derecognition of the net carrying amount of extinguished debt of $19.7 million (inclusive of $13.1 million of principal, $7.1 million of derivative liabilities, less $587 thousand of debt discount) and the recognition of the $17.0 million fair value of a new convertible note (including the same principal amount of $13.1 million plus the $3.9 million fair value of the beneficial conversion feature). Additional information relating to our gain on extinguishment of notes payable may be found in Note 11 — Convertible Promissory Notes, included in the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7" w:name="page98"/>
    <w:bookmarkEnd w:id="9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(Loss) Attributable to Non-Controlling Interest</w:t>
      </w:r>
    </w:p>
    <w:p>
      <w:pPr>
        <w:spacing w:after="0" w:line="96"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consolidate the results of operations of two less than wholly-owned entities into our consolidated statements of operations. On December 8, 2019, we formed Agrify-Valiant, LLC (“Agrify-Valiant”), a joint-venture limited liability company in which we are the 60% majority owner and Valiant-America, LLC owns 40%. Agrify-Valiant started its operations during the second quarter of 2020. On October 27, 2022, we provided notice to Valiant-America of our intention to begin the winding up of Agrify-Valiant. On January 22, 2020, as part of the acquisition of TriGrow, we received TriGrow’s 75% interest in Agrify Brands, LLC (formerly TriGrow Brands, LLC), a licensor of an established portfolio of consumer brands that utilize our grow technology. The license for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7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Income (loss) attributable to non- controlling interest represents the portion of profit (or loss) that is attributable to the non-controlling interest calculated as a product of the net income of the entity multiplied by the percentage of ownership held by the non-controlling interest.</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2023 and 2022</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three and nine months ended September 30,</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Revenue (including $0, $0, $46, and</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$1,763 from related parties,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6,582</w:t>
            </w: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27,431</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134,509</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(7,404)</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(25,865)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3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(Loss) income attributable to non-controlling</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Borders>
              <w:top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loss per share attributable to Common</w:t>
            </w: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(429.98)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spacing w:after="0" w:line="172" w:lineRule="exact"/>
              <w:rPr>
                <w:sz w:val="20"/>
                <w:szCs w:val="20"/>
                <w:color w:val="auto"/>
              </w:rPr>
            </w:pPr>
            <w:r>
              <w:rPr>
                <w:rFonts w:ascii="Times New Roman" w:cs="Times New Roman" w:eastAsia="Times New Roman" w:hAnsi="Times New Roman"/>
                <w:sz w:val="16"/>
                <w:szCs w:val="16"/>
                <w:color w:val="auto"/>
              </w:rPr>
              <w:t>Weighted average common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Pr>
          <w:p>
            <w:pPr>
              <w:ind w:left="140"/>
              <w:spacing w:after="0" w:line="217" w:lineRule="exact"/>
              <w:rPr>
                <w:sz w:val="20"/>
                <w:szCs w:val="20"/>
                <w:color w:val="auto"/>
              </w:rPr>
            </w:pPr>
            <w:r>
              <w:rPr>
                <w:rFonts w:ascii="Times New Roman" w:cs="Times New Roman" w:eastAsia="Times New Roman" w:hAnsi="Times New Roman"/>
                <w:sz w:val="16"/>
                <w:szCs w:val="16"/>
                <w:color w:val="auto"/>
              </w:rPr>
              <w:t>outstanding – basic and diluted</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40" w:orient="portrait"/>
          <w:cols w:equalWidth="0" w:num="1">
            <w:col w:w="9020"/>
          </w:cols>
          <w:pgMar w:left="1440" w:top="557" w:right="1440"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98" w:name="page99"/>
    <w:bookmarkEnd w:id="9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generate revenue from sales of cultivation solutions, including ancillary products and services, Agrify Insights software, facility build-outs and extraction equipment and solutions. We believe that our product mix forms an integrated ecosystem which allows us to be engaged with our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9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a breakdown of our revenue for the three and nine months ended September 30, 2023 and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4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Cultivation solutions,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0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including ancillary</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(10)%</w:t>
            </w:r>
          </w:p>
        </w:tc>
        <w:tc>
          <w:tcPr>
            <w:tcW w:w="0" w:type="dxa"/>
            <w:vAlign w:val="bottom"/>
          </w:tcPr>
          <w:p>
            <w:pPr>
              <w:spacing w:after="0"/>
              <w:rPr>
                <w:sz w:val="1"/>
                <w:szCs w:val="1"/>
                <w:color w:val="auto"/>
              </w:rPr>
            </w:pPr>
          </w:p>
        </w:tc>
      </w:tr>
      <w:tr>
        <w:trPr>
          <w:trHeight w:val="238"/>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Agrify Insights software</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6"/>
        </w:trPr>
        <w:tc>
          <w:tcPr>
            <w:tcW w:w="1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(1,334)</w:t>
            </w:r>
          </w:p>
        </w:tc>
        <w:tc>
          <w:tcPr>
            <w:tcW w:w="7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(22,669)</w:t>
            </w:r>
          </w:p>
        </w:tc>
        <w:tc>
          <w:tcPr>
            <w:tcW w:w="7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(96)%</w:t>
            </w:r>
          </w:p>
        </w:tc>
        <w:tc>
          <w:tcPr>
            <w:tcW w:w="0" w:type="dxa"/>
            <w:vAlign w:val="bottom"/>
          </w:tcPr>
          <w:p>
            <w:pPr>
              <w:spacing w:after="0"/>
              <w:rPr>
                <w:sz w:val="1"/>
                <w:szCs w:val="1"/>
                <w:color w:val="auto"/>
              </w:rPr>
            </w:pPr>
          </w:p>
        </w:tc>
      </w:tr>
      <w:tr>
        <w:trPr>
          <w:trHeight w:val="257"/>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1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5,680</w:t>
            </w:r>
          </w:p>
        </w:tc>
        <w:tc>
          <w:tcPr>
            <w:tcW w:w="8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(2,737)</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(15,694)</w:t>
            </w: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4"/>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(3,880)</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(38,360)</w:t>
            </w: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Revenues decreased by less than $3.9 million, or 55% for the three months ended September 30, 2023 compared to the same period in 2022. Revenues decreased by $ 38.4 million, or 73% for the nine months ended September 30, 2023 compared to the same period in 2022. The comparative decrease in revenue was generated primarily from decreases in revenue from facility build-outs and extraction solutions. Extraction division revenues totaled $2.9 million and $12.4 million for the three and nine months ended September 30, 2023, respectively. Additionally, design and build revenues decreased by $1.3 million and $22.7 million for the three and nine months ended September 30, 2023, respectively, due to the continued build-out of facilities under our TTK Solutions.</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a breakdown of our cost of goods sold for the three and nine months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Cultivation solutions,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including ancillary</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1,579</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2,312</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(733)</w:t>
            </w:r>
          </w:p>
        </w:tc>
        <w:tc>
          <w:tcPr>
            <w:tcW w:w="78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3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6,429</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(6,426)</w:t>
            </w:r>
          </w:p>
        </w:tc>
        <w:tc>
          <w:tcPr>
            <w:tcW w:w="10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(27,246)</w:t>
            </w: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26"/>
        </w:trPr>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1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1,606</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4,134</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(2,528)</w:t>
            </w: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8,897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5"/>
              </w:rPr>
              <w:t>(11,277)</w:t>
            </w:r>
          </w:p>
        </w:tc>
        <w:tc>
          <w:tcPr>
            <w:tcW w:w="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8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6"/>
                <w:szCs w:val="16"/>
                <w:color w:val="auto"/>
              </w:rPr>
              <w:t>Total cost of goods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sold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2,165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(8,970)</w:t>
            </w: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11,447</w:t>
            </w:r>
          </w:p>
        </w:tc>
        <w:tc>
          <w:tcPr>
            <w:tcW w:w="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(39,256)</w:t>
            </w: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99" w:name="page100"/>
    <w:bookmarkEnd w:id="9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Cost of goods sold decreased by $9.0 million, or 81%, for the three months ended September 30, 2023 compared to the same period in 2022. Cost of goods sold decreased by $39.3 million, or 77%, for the nine months ended September 30, 2023 compared to the same period in 2022. The comparative quarterly decrease in cost of goods sold is associated with the decreased amount of subcontractor construction costs related to our facility build-outs, internal and outsourced labor and materials costs for the extraction solutions sales, and cultivation solutions, including ancillary products and services.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Gross Profit (Loss)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974 $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5,090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2,562 $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6"/>
        </w:trPr>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Gross profit totaled $1.0 million, or 31.0% of total revenue during the three months ended September 30, 2023 compared to a gross loss of $4.1 million, or 58.6% of total revenue during the three months ended September 30, 2022. Gross profit totaled $2.6 million, or 18.3% of total revenue during the nine months ended September 30, 2023 compared to a gross profit of $1.7 million, or 3.2% of total revenue during the nine months ended September 30, 2022. The $5.1 million three-month and $ 0.9 million nine-month comparative decrease in gross profit is primarily attributable to a smaller decrease in costs of goods sold relative to the decrease in revenue for the period. We realized a gross profit margin of 45% and 28% associated with our extraction solutions revenue for the three and nine months ended September 30, 2023, respectively, while we realized a gross loss margin of approximately 303% and 149% on our cultivation-related revenues for the three and nine months ended September 30, 2023, respectively.</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General and</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4,321 $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(19,805)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$ 16,066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$ 53,263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(37,197)</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General and administrative (“G&amp;A”) expenses consist principally of salaries and related costs for personnel, including stock- 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G&amp;A expense decreased by $19.8 million, or 82%, for the three months ended September 30, 2023, compared to the same period in 2022. G&amp;A expense decreased by $37.2 million, or 70%, for the nine months ended September 30, 2023, compared to the same period in 2022. The decrease for the three months ended September 30, 2023 was primarily attributable to a decrease in bad debt expenses, of approximately $15.6 million, a decrease in depreciation expense, of approximately $1 million, a decrease in stock based compensation, of approximately $1.1 million, a decrease in salaries and related costs for personnel, of approximately $0.8 million, a decrease in insurance expenses of approximately $0.3 million.</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486 $</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(1,261)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1,864 $</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6,269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(4,405)</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Research and development (“R&amp;D”) expenses consisted primarily of costs incurred for development of our</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Agrify Insights software, next generation VFUs and new Extraction products, which includes:</w:t>
      </w:r>
    </w:p>
    <w:p>
      <w:pPr>
        <w:spacing w:after="0" w:line="98" w:lineRule="exact"/>
        <w:rPr>
          <w:sz w:val="20"/>
          <w:szCs w:val="20"/>
          <w:color w:val="auto"/>
        </w:rPr>
      </w:pPr>
    </w:p>
    <w:p>
      <w:pPr>
        <w:ind w:left="1680" w:hanging="389"/>
        <w:spacing w:after="0"/>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and travel;</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by the subcontractor under agreements to provide engineering work related to the development of our next generation VFUs and new extraction equipment;</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our facilities, depreciation, and other expenses, which include direct and allocated expenses for rent and maintenance of facilities, insurance and other supplies.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0" w:name="page101"/>
    <w:bookmarkEnd w:id="10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R&amp;D expense decreased by $1.3 million, or 72%, for the three months ended September 30, 2023, compared to the same period in 2022. R&amp;D expense decreased by $4.4 million, or 70%, for the nine months ended September 30, 2023, compared to the same period in 2022. The decrease for the three months ended September 30, 2023, compared to the same period in 2022 is primarily attributable to decreased personnel and facility costs associated with the continued development of our VFUs.</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expect to continue to invest in future developments of our VFUs, Agrify Insights software and our extraction products. As a percentage of net revenue, R&amp;D expenses were 15.5% and 13.3% of total revenue for the three and nine months ended September 30, 2023, respectively, compared to 24.9% and 12.0% for the three and nine months ended September 30, 2022.</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812 $</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(1,348)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3,522 $</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6,582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(3,060)</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6"/>
        </w:trPr>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Selling and marketing expenses consist primarily of salaries and related costs of personnel, travel expenses, trade shows and advertising expenses.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Selling and marketing expenses decreased by $1.3 million, or 62%, for the three months ended September 30, 2023, compared to the same period in 2022. Selling and marketing expenses decreased by $3.1 million, or 46%, for the nine months ended September 30, 2023, compared to the same period in 2022. The decrease for the three months ended September 30, 2023 was primarily attributable to a reduction in salaries and related costs of personnel, of approximately $0.8 million, and a reduction in trade show and advertising costs, of approximately $0.5 million.</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4,291</w:t>
            </w:r>
          </w:p>
        </w:tc>
        <w:tc>
          <w:tcPr>
            <w:tcW w:w="132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 $ (1,562)</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(7,404)</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5,842</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(14,293)</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(43,635)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Gain on</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extinguishment of</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(38,985)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34,354</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57"/>
        </w:trPr>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(632)</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00" w:type="dxa"/>
            <w:vAlign w:val="bottom"/>
            <w:tcBorders>
              <w:top w:val="single" w:sz="8" w:color="CCEEFF"/>
            </w:tcBorders>
            <w:gridSpan w:val="2"/>
            <w:shd w:val="clear" w:color="auto" w:fill="CCEEFF"/>
          </w:tcPr>
          <w:p>
            <w:pPr>
              <w:ind w:left="140"/>
              <w:spacing w:after="0" w:line="154" w:lineRule="exact"/>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2,486</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w:t>
            </w:r>
          </w:p>
        </w:tc>
        <w:tc>
          <w:tcPr>
            <w:tcW w:w="10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 $ (1,720)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Interest income (expense), net decreased by $4.3 million, or 92%, for the three months ended September 30, 2023, compared to the same period in 2022. Interest income (expense), net decreased by $5.8 million, or 79%, for the nine months ended September 30, 2023, compared to the same period in 2022.The decrease in interest income is attributable mainly to interest from marketable securities and interest income from TTK Solutions.</w:t>
      </w:r>
    </w:p>
    <w:p>
      <w:pPr>
        <w:spacing w:after="0" w:line="6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change in fair value of warrant liabilities decreased by $14.3 million, or 88% during the three months ended September 30, 2023, compared to the same period in 2022. The change in fair value of warrant liabilities decreased by $43.6 million, or 92% during the nine months ended September 30, 2023, compared to the same period in 2022.The decrease is related to the fair value remeasurement of warrants discussed in Note 4.</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1" w:name="page102"/>
    <w:bookmarkEnd w:id="10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(Loss) Attributable to Non-Controlling Interest</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consolidate the results of operations of two less than wholly-owned entities into our consolidated results of operations. On December 8, 2019, we formed Agrify Valiant LLC, a joint -venture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0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As of September 30, 2023, our principal sources of liquidity were cash and cash equivalents and marketable securities totaling $0.2 million. Our current working capital needs are to support revenue growth, to fund construction and equipment financing commitments associated with our TTK Solutions, manage inventory to meet demand forecasts and support operational growth. Our long -term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25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consolidated financial statements have been prepared based on the assumption that we will continue as a going concern for the next twelve-months from the date these consolidated financial statements are available to be issued. However, we have incurred operating losses since our inception and have negative cash flows from operations, and our significant operating losses raise substantial doubt about our ability to continue as a going concern. Our continuation as a going concern is dependent upon our ability to obtain the necessary debt or equity financing to continue operations until we begin generating sufficient cash flows from operations to meet our obligations. If we are unable to raise additional funds, we may be forced to cease operations.</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There is no assurance that we will ever be profitable. The consolidated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$0.8 million from the unsecured PPP Loan which was originally scheduled to mature in May 2022. We applied for forgiveness on the $ 0.8 million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2" w:name="page103"/>
    <w:bookmarkEnd w:id="10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March 14, 2022, we entered into a Securities Purchase Agreement with the Lender.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August 18, 2022, we entered into a Securities Exchange Agreement. Pursuant to the August 2022 Exchange Agreement, we partially paid $35.2 million along with approximately $0.3 million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Convertible Note is a senior secured obligation and ranks senior to all of our indebtedness. As of September 30, 2023, the Convertible Note had a maturity date of August 19, 2025 (the “Maturity Date”) and had a 9.0% annualized interest rate, with interest to be paid monthly, in cash. The principal amount of the Convertible Note will be payable on the maturity date, provided that the holder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 The Convertible Note was subsequently amended, restated and consolidated as described in “— Recent Business Developments” above.</w:t>
      </w:r>
    </w:p>
    <w:p>
      <w:pPr>
        <w:spacing w:after="0" w:line="260"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major components of net cash flows from and used in operating, investing, and financing activities for the nine months ended September 30, 2023, and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(25,940)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(58,020)</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(4,135)</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52,292</w:t>
            </w:r>
          </w:p>
        </w:tc>
        <w:tc>
          <w:tcPr>
            <w:tcW w:w="120" w:type="dxa"/>
            <w:vAlign w:val="bottom"/>
          </w:tcPr>
          <w:p>
            <w:pPr>
              <w:spacing w:after="0"/>
              <w:rPr>
                <w:sz w:val="22"/>
                <w:szCs w:val="22"/>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(10,303)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(9,863)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Operating Activities</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2023, we incurred a net loss of $19.2 million, which included $3.6 million related to the change in fair value of warrant liabilities, $1.5 million of depreciation and amortization, $2.1 million of stock based compensation expense, and $24 thousand of debt issuance costs. Net cash was increased by changes in operating assets and liabilities of $6.4 million.</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2022, 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3" w:name="page104"/>
    <w:bookmarkEnd w:id="10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Our primary uses of cash from our operating activities include payments for employee- related expenditures, payments for inventory due to increased demand forecasts, construction costs related to TTK Solutions, acquisition-related costs and the payment of other operating expenses incurred in the ordinary course of business.</w:t>
      </w:r>
    </w:p>
    <w:p>
      <w:pPr>
        <w:spacing w:after="0" w:line="1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Investing Activities</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2023, net cash provided by investing activities was $25.2 million, which included cash inflows of $10.5 million in proceeds from sale of securities and $15.3 million in proceeds from repayment of loan receivable, and cash outflows of $0.6 million related to a certain loan issuance of loan and $0.1 million in purchases of property and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For the nine months ended September 30, 2022, cash provided by investing activities consists primarily of maturities and sales of investments in marketable securities. Cash used in investing activities consists primarily of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The capital expenditures support growth and investment in property and equipment, to expand research, development, and testing capabilities and, to a lesser extent, the replacement of existing equipment.</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Financing Activities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the nine months ended September 30, 2023, net cash used in financing activities was $9.6 million. Net cash used in financing activities was primarily driven by the repayment of certain of our debt instruments of $10.3 million, and payments on insurance financing loans of $1.2 million, offset by proceeds generated from the sale of securities pursuant to our “at the market” program, net, of $1.5 million and proceeds from issuance of a related party note of $0.5 million.</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2022, cash provided by financing activities consists primarily of proceeds from the issuance of Common Stock, debt, and warrants in private placements and proceeds from the initial and secondary public offerings. Cash used in financing activities consists primarily of repayment of debt.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Adopted</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For more information on recently issued accounting pronouncements are included within Note 1 — Overview, Basis of Presentation and Significant Accounting Policies, included elsewhere in the notes to consolidated financial statements elsewhere in this prospectus.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4" w:name="page105"/>
    <w:bookmarkEnd w:id="10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order to identify and address concerns regarding related party transactions and their disclosures, the Company uses Director and Officer Questionnaires and its conduct and ethics policies. The Company also considers the independence of its directors. The discussion of the independence of the directors is included under “</w:t>
      </w:r>
      <w:r>
        <w:rPr>
          <w:rFonts w:ascii="Times New Roman" w:cs="Times New Roman" w:eastAsia="Times New Roman" w:hAnsi="Times New Roman"/>
          <w:sz w:val="16"/>
          <w:szCs w:val="16"/>
          <w:i w:val="1"/>
          <w:iCs w:val="1"/>
          <w:color w:val="auto"/>
        </w:rPr>
        <w:t>Corporate Governance — Board and Board Committee Matters</w:t>
      </w:r>
      <w:r>
        <w:rPr>
          <w:rFonts w:ascii="Times New Roman" w:cs="Times New Roman" w:eastAsia="Times New Roman" w:hAnsi="Times New Roman"/>
          <w:sz w:val="16"/>
          <w:szCs w:val="16"/>
          <w:color w:val="auto"/>
        </w:rPr>
        <w:t>” elsewhere in this proxy statement.</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26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6"/>
          <w:szCs w:val="16"/>
          <w:i w:val="1"/>
          <w:iCs w:val="1"/>
          <w:color w:val="auto"/>
        </w:rPr>
        <w:t>https://ir.agrify.com</w:t>
      </w:r>
      <w:r>
        <w:rPr>
          <w:rFonts w:ascii="Times New Roman" w:cs="Times New Roman" w:eastAsia="Times New Roman" w:hAnsi="Times New Roman"/>
          <w:sz w:val="16"/>
          <w:szCs w:val="16"/>
          <w:color w:val="auto"/>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spacing w:after="0" w:line="98" w:lineRule="exact"/>
        <w:rPr>
          <w:sz w:val="20"/>
          <w:szCs w:val="20"/>
          <w:color w:val="auto"/>
        </w:rPr>
      </w:pPr>
    </w:p>
    <w:p>
      <w:pPr>
        <w:jc w:val="both"/>
        <w:ind w:left="1680" w:right="920" w:hanging="389"/>
        <w:spacing w:after="0" w:line="247" w:lineRule="auto"/>
        <w:tabs>
          <w:tab w:leader="none" w:pos="1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92" w:lineRule="exact"/>
        <w:rPr>
          <w:rFonts w:ascii="Times New Roman" w:cs="Times New Roman" w:eastAsia="Times New Roman" w:hAnsi="Times New Roman"/>
          <w:sz w:val="16"/>
          <w:szCs w:val="16"/>
          <w:color w:val="auto"/>
        </w:rPr>
      </w:pPr>
    </w:p>
    <w:p>
      <w:pPr>
        <w:ind w:left="1680" w:right="940" w:hanging="389"/>
        <w:spacing w:after="0" w:line="259" w:lineRule="auto"/>
        <w:tabs>
          <w:tab w:leader="none" w:pos="1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serving on the board of directors of, or being employed in any capacity by, a vendor, competitor or customer of the Company.</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Audit Committee is authorized to review all potential conflicts of interest involving directors and executive officers.</w:t>
      </w:r>
    </w:p>
    <w:p>
      <w:pPr>
        <w:spacing w:after="0" w:line="8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95" w:lineRule="exact"/>
        <w:rPr>
          <w:sz w:val="20"/>
          <w:szCs w:val="20"/>
          <w:color w:val="auto"/>
        </w:rPr>
      </w:pPr>
    </w:p>
    <w:p>
      <w:pPr>
        <w:jc w:val="both"/>
        <w:ind w:left="1680" w:right="900" w:hanging="389"/>
        <w:spacing w:after="0" w:line="243" w:lineRule="auto"/>
        <w:tabs>
          <w:tab w:leader="none" w:pos="1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95" w:lineRule="exact"/>
        <w:rPr>
          <w:rFonts w:ascii="Times New Roman" w:cs="Times New Roman" w:eastAsia="Times New Roman" w:hAnsi="Times New Roman"/>
          <w:sz w:val="16"/>
          <w:szCs w:val="16"/>
          <w:color w:val="auto"/>
        </w:rPr>
      </w:pPr>
    </w:p>
    <w:p>
      <w:pPr>
        <w:jc w:val="both"/>
        <w:ind w:left="1680" w:right="900" w:hanging="389"/>
        <w:spacing w:after="0" w:line="299" w:lineRule="auto"/>
        <w:tabs>
          <w:tab w:leader="none" w:pos="16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58"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are prohibited from directly or indirectly competing or performing services for any person or entity in competition with, the Company.</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5" w:name="page106"/>
    <w:bookmarkEnd w:id="10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9"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should comply with the policies set forth in this Code of Conduct and Business Ethics regarding the receipt or giving of gifts, favors or entertainment.</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may not sell or lease equipment, materials or property to the Company without appropriate corporate authority.</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should purchase Company equipment, materials or property only on terms available to the general public.</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Any employee or director who becomes aware of a conflict is required to bring it to the attention of a supervisor, management or other appropriate personnel.</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Directors are expected and required to uphold the same dedication to corporate ethics as the Company’s employees.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 -by-case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6"/>
          <w:szCs w:val="16"/>
          <w:i w:val="1"/>
          <w:iCs w:val="1"/>
          <w:color w:val="auto"/>
        </w:rPr>
        <w:t>https://ir.agrify.com</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Convertible Note Amendment, Restatement and Consolidation</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On October 27, 2023,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w:t>
      </w:r>
    </w:p>
    <w:p>
      <w:pPr>
        <w:spacing w:after="0" w:line="167" w:lineRule="exact"/>
        <w:rPr>
          <w:sz w:val="20"/>
          <w:szCs w:val="20"/>
          <w:color w:val="auto"/>
        </w:rPr>
      </w:pPr>
    </w:p>
    <w:p>
      <w:pPr>
        <w:jc w:val="both"/>
        <w:ind w:left="900" w:right="900" w:firstLine="6"/>
        <w:spacing w:after="0" w:line="235" w:lineRule="auto"/>
        <w:tabs>
          <w:tab w:leader="none" w:pos="116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6" w:name="page107"/>
    <w:bookmarkEnd w:id="10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 Agreement with Enozo</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Guichao Hua, a member of our board of directors, and Raymond Chang, our Chairman of the Board and Chief Executive Officer, each have ownership interests and are board members of Enozo Technologies Inc. (“Enozo”).</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Securities Purchase Agreement with RTC3 2020 Irrevocable Family Trust and Stuart Wilcox</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20, 2022, as part of our public offering of shares of Common Stock and warrants, the RTC3 2020 Irrevocable Family Trust purchased 115,385 shares of Common Stock and warrants to purchase 230,770 shares of Common Stock. The purchase price per share of Common Stock and warrant was $13.00.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Public Offering Purchases by RTC3 2020 Irrevocable Family Trust</w:t>
      </w:r>
    </w:p>
    <w:p>
      <w:pPr>
        <w:spacing w:after="0" w:line="118"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On January 28, 2022, as part of our private placement financing, we entered into a Securities Purchase Agreement with parties including the RTC3 2020 Irrevocable Family Trust and Stuart Wilcox. Pursuant to that agreement, we sold 181 shares of Common Stock and warrants to purchase 136 shares of Common Stock to each of the RTC3 2020 Irrevocable Family Trust and Mr. Wilcox. The purchase price per share of Common Stock and partial warrant was $1,496.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Greenstone Holdings (“Greenstone”)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Greenstone is a related party because one of our former Agrify Brands employees and our VP of Engineering had a minority ownership, and is a customer of Agrify’s that is in the process of installing Vertical Farming Units (“VFUs”) in its indoor growing facility in Denver, Colorado. The Company has generated revenues from Greenstone through both construction services and the sale of VFUs. A current and former non - 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$648,000 during the year ended December 31, 2022 and $9,429,000 during the year ended December 31, 2021. Additionally, the Company made purchases from Greenstone totaling approximately $1.0 million in 2022.</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7" w:name="page108"/>
    <w:bookmarkEnd w:id="10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8" w:lineRule="exact"/>
        <w:rPr>
          <w:sz w:val="20"/>
          <w:szCs w:val="20"/>
          <w:color w:val="auto"/>
        </w:rPr>
      </w:pPr>
    </w:p>
    <w:p>
      <w:pPr>
        <w:jc w:val="both"/>
        <w:ind w:left="900" w:right="860" w:firstLine="384"/>
        <w:spacing w:after="0" w:line="239" w:lineRule="auto"/>
        <w:rPr>
          <w:sz w:val="20"/>
          <w:szCs w:val="20"/>
          <w:color w:val="auto"/>
        </w:rPr>
      </w:pPr>
      <w:r>
        <w:rPr>
          <w:rFonts w:ascii="Times New Roman" w:cs="Times New Roman" w:eastAsia="Times New Roman" w:hAnsi="Times New Roman"/>
          <w:sz w:val="16"/>
          <w:szCs w:val="16"/>
          <w:color w:val="auto"/>
        </w:rPr>
        <w:t>Our authorized capital stock consists of 35,000,000 shares of common stock, par value $0.001 per share, and 3,000,000 shares of preferred stock, par value $0.001 per share. The only equity securities currently outstanding are shares of common stock. As of February 14, 2024, there were 7,056,005 shares of common stock outstanding, warrants outstanding to purchase 1,495,011 shares of our common stock, 10,334 shares of common stock subject to outstanding stock options, 4,531 shares of common stock subject to unvested restricted stock units, and 10,273,973 shares of common stock underlying convertible notes.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Anti-takeover Effects of Our Articles of Incorporation and By-laws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Our articles of incorporation and bylaws contain certain provisions that may have anti- 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Anti-takeover Effects of Nevada Law</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Business Combinations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8" w:name="page109"/>
    <w:bookmarkEnd w:id="10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1"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74"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w:t>
      </w:r>
    </w:p>
    <w:p>
      <w:pPr>
        <w:spacing w:after="0" w:line="4" w:lineRule="exact"/>
        <w:rPr>
          <w:sz w:val="20"/>
          <w:szCs w:val="20"/>
          <w:color w:val="auto"/>
        </w:rPr>
      </w:pPr>
    </w:p>
    <w:p>
      <w:pPr>
        <w:jc w:val="both"/>
        <w:ind w:left="900" w:right="900" w:firstLine="6"/>
        <w:spacing w:after="0" w:line="271" w:lineRule="auto"/>
        <w:tabs>
          <w:tab w:leader="none" w:pos="11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w:t>
      </w:r>
    </w:p>
    <w:p>
      <w:pPr>
        <w:spacing w:after="0" w:line="163"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liquidation value. With respect to (i) and (ii) above, the interest is compounded at the rate for one - year United States Treasury obligations from time to time in effect.</w:t>
      </w:r>
    </w:p>
    <w:p>
      <w:pPr>
        <w:spacing w:after="0" w:line="9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business combination provisions do not apply to a person after the expiration of four years after the person first became an interested stockholder.</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Control Share Acquisitions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9" w:name="page110"/>
    <w:bookmarkEnd w:id="10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75" w:lineRule="auto"/>
        <w:rPr>
          <w:sz w:val="20"/>
          <w:szCs w:val="20"/>
          <w:color w:val="auto"/>
        </w:rPr>
      </w:pPr>
      <w:r>
        <w:rPr>
          <w:rFonts w:ascii="Times New Roman" w:cs="Times New Roman" w:eastAsia="Times New Roman" w:hAnsi="Times New Roman"/>
          <w:sz w:val="14"/>
          <w:szCs w:val="14"/>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w:t>
      </w:r>
    </w:p>
    <w:p>
      <w:pPr>
        <w:jc w:val="both"/>
        <w:ind w:left="900" w:right="900" w:firstLine="6"/>
        <w:spacing w:after="0" w:line="235" w:lineRule="auto"/>
        <w:tabs>
          <w:tab w:leader="none" w:pos="111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Transfer Agent</w:t>
      </w:r>
    </w:p>
    <w:p>
      <w:pPr>
        <w:spacing w:after="0" w:line="118"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The transfer agent for our common stock is Broadridge Corporate Issuer Solutions, Inc., 51 Mercedes Way, Edgewood, New York 11717.</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Our shares of common stock are listed on The Nasdaq Capital Market under the symbol “AGFY.”</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Pre-Funded Warrants to be Issued in this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following is a summary of the material terms and provisions of the Pre- Funded Warrants that are being offered hereby. This summary is subject to and qualified in its entirety by the form of Pre-Funded Warrants, which has been provided to the investors in this offering and which has been filed with the SEC as an exhibit to the registration statement of which this prospectus forms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General Terms of the Pre-Funded Warrants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Exercisability</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 A holder (together with its affiliates) may not exercise any portion of the Pre-Funded Warrant to the extent that the holder would own more than 4.99%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0" w:name="page111"/>
    <w:bookmarkEnd w:id="1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shares of our common stock outstanding immediately after giving effect to the exercise, as such percentage ownership is determined in accordance with the terms of the Pre- Funded Warrants. Purchasers of Pre-Funded Warrants in this offering may also elect prior to the issuance of the Pre -Funded Warrants to those purchasers to have the initial exercise limitation set at 9.99% of our outstanding common stock.</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Cashless Exercise</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Certain Adjustments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Rights Upon Distribution of Assets; Purchase Rights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distribute assets, including cash dividends, any securities (other than a stock dividend described under “— Certain Adjustments”) or other property, to our stockholders, holders of Pre -Funded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grant, issue or sell pro rata to our stockholders, any options, convertible securities or rights to purchase stock, warrants, securities or other property, the Pre -Funded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Transferability</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 Listing</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Rights as a Stockholder</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1" w:name="page112"/>
    <w:bookmarkEnd w:id="1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Fundamental Transactions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Amendments and Waivers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provisions of each Pre- Funded Warrant may be modified or amended or the provisions thereof waived with the written consent of us and the holder.</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 Fractional Shares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2" w:name="page113"/>
    <w:bookmarkEnd w:id="1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w:t>
      </w:r>
    </w:p>
    <w:p>
      <w:pPr>
        <w:spacing w:after="0" w:line="118"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The following discussion is a summary of certain material U.S. federal income tax consequences of (i) the purchase, ownership and disposition of shares of our common stock issued pursuant to this offering, or the Shares and (ii) the purchase, ownership and disposition of the pre-funded warrants. The Shares and pre-funded warrants are referred to collectively herein as our securities. This summary does not purport to be a complete analysis of all potential tax consequences relating to the purchase, ownership, exercise, lapse and disposition of our securities. The effects of other U.S. federal tax laws, such as estate and gift tax laws, and any applicable U.S. state or local or non-U.S. tax laws are not discussed, nor is the potential application of the alternative minimum tax, the Medicare contribution tax on net investment income, or the special tax accounting rules under Section 451(b) of the U.S. Internal Revenue Code of 1986, as amended, or the Code.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exercise, lapse and disposition (as applicable) of our securities.</w:t>
      </w:r>
    </w:p>
    <w:p>
      <w:pPr>
        <w:spacing w:after="0" w:line="10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This discussion is limited to holders that hold our securities as “capital assets” within the meaning of Section 1221 of the Code (generally, property held for investment). This discussion does not address all U.S. federal income tax consequences relevant to a holder’s particular circumstances. In addition, it does not address consequences relevant to holders subject to special rules, including, without limitation:</w:t>
      </w:r>
    </w:p>
    <w:p>
      <w:pPr>
        <w:spacing w:after="0" w:line="95" w:lineRule="exact"/>
        <w:rPr>
          <w:sz w:val="20"/>
          <w:szCs w:val="20"/>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that own or are deemed to own more than 5% of our capital stock;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United States;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for whom shares of our common stock or pre-funded warrants constitute “qualified small business stock” within the meaning of Section 1202 of the Code;</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our securities as part of a hedge, straddle or other risk reduction strategy or as part of a conversion transaction or other integrated investment;</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to sell our securities under the constructive sale provisions of the Code;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and other financial institutions;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dealers or traders in securities or currencies;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foreign corporations,” “passive foreign investment companies,” and corporations that accumulate earnings to avoid U.S. federal income tax;</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corporations, partnerships or other entities or arrangements treated as partnerships for U.S. federal income tax purposes (and investors therein);</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 or governmental organizations;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tax-qualified retirement plans;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who hold or receive our securities pursuant to the exercise of employee stock options or otherwise as compensation; and</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foreign pension funds” as defined in Section 897(l)(2) of the Code and entities all of the interests of which are held by one or more qualified foreign pension funds.</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an entity or arrangement treated as a partnership for U.S. federal income tax purposes holds our securities, the tax treatment of a partner in such partnership will depend on the status of the partner, the activities of the partnership and certain determinations made at the partner level. Accordingly, partnerships holding securities and the partners in such partnerships should consult their tax advisors regarding the U.S. federal income tax consequences to them.</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3" w:name="page114"/>
    <w:bookmarkEnd w:id="1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4" w:lineRule="exact"/>
        <w:rPr>
          <w:sz w:val="20"/>
          <w:szCs w:val="20"/>
          <w:color w:val="auto"/>
        </w:rPr>
      </w:pPr>
    </w:p>
    <w:p>
      <w:pPr>
        <w:jc w:val="both"/>
        <w:ind w:left="900" w:right="940" w:firstLine="384"/>
        <w:spacing w:after="0" w:line="239" w:lineRule="auto"/>
        <w:rPr>
          <w:sz w:val="20"/>
          <w:szCs w:val="20"/>
          <w:color w:val="auto"/>
        </w:rPr>
      </w:pPr>
      <w:r>
        <w:rPr>
          <w:rFonts w:ascii="Times New Roman" w:cs="Times New Roman" w:eastAsia="Times New Roman" w:hAnsi="Times New Roman"/>
          <w:sz w:val="16"/>
          <w:szCs w:val="16"/>
          <w:b w:val="1"/>
          <w:bCs w:val="1"/>
          <w:color w:val="auto"/>
        </w:rPr>
        <w:t>THIS DISCUSSION IS NOT TAX ADVICE. INVESTORS SHOULD CONSULT THEIR TAX ADVISORS WITH RESPECT TO THE APPLICATION OF THE U.S. FEDERAL INCOME TAX LAWS TO THEIR PARTICULAR SITUATIONS AS WELL AS ANY TAX CONSEQUENCES OF THE PURCHASE, OWNERSHIP, EXERCISE, LAPSE AND DISPOSITION OF OUR SECURITIES ARISING UNDER THE U.S. FEDERAL ESTATE OR GIFT TAX LAWS OR UNDER THE LAWS OF ANY U.S. STATE OR LOCAL OR NON -U.S. TAXING JURISDICTION OR UNDER ANY APPLICABLE INCOME TAX TREATY.</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Treatment of Pre-Funded Warrants</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Although it is not entirely free from doubt, a pre-funded warrant should be treated as a share of our common stock for U.S. federal income tax purposes and a holder of pre-funded warrants should generally be taxed in the same manner as a holder of such shares, as described below. Accordingly, no gain or loss should be recognized upon the exercise of a pre-funded warrant and, upon exercise, the holding period of a pre-funded warrant should carry over to the share received. Similarly, the tax basis of the pre-funded warrant should carry over to the share received upon exercise, increased by the exercise price of $0.001 per share. If a pre-funded warrant expires without being exercised, the holder should recognize a capital loss in an amount equal to such holder’s tax basis in the pre-funded warrant. This loss will be long- term capital loss if, at the time of the expiration, the holder’s holding period in the pre-funded warrant is more than one year. The deductibility of capital losses is subject to limitations.</w:t>
      </w:r>
    </w:p>
    <w:p>
      <w:pPr>
        <w:spacing w:after="0" w:line="7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Our characterization is not binding on the IRS, and the IRS may treat our pre- funded warrants as warrants to acquire shares of our common stock. In that case, the amount and character of your gain with respect to an investment in our pre-funded warrants could be materially different than the discussion set forth below. Accordingly, each holder should consult his, her or its tax advisor regarding the risks associated with the acquisition of pre-funded warrants pursuant to this offering (including potential alternative characterizations). The balance of this discussion generally assumes that a pre-funded warrant is treated as a share of our common stock for U.S. federal income tax purposes.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Tax Considerations Applicable to U.S. Holders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Definition of U.S. Holder</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 general, a “U.S. holder” means a beneficial owner of our securities (other than a partnership or an entity or arrangement treated as a partnership for U.S. federal income tax purposes) that is, for U.S. federal income tax purposes:</w:t>
      </w:r>
    </w:p>
    <w:p>
      <w:pPr>
        <w:spacing w:after="0" w:line="92" w:lineRule="exact"/>
        <w:rPr>
          <w:sz w:val="20"/>
          <w:szCs w:val="20"/>
          <w:color w:val="auto"/>
        </w:rPr>
      </w:pPr>
    </w:p>
    <w:p>
      <w:pPr>
        <w:ind w:left="1680" w:hanging="389"/>
        <w:spacing w:after="0"/>
        <w:tabs>
          <w:tab w:leader="none" w:pos="16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16"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 regardless of its source; or</w:t>
      </w:r>
    </w:p>
    <w:p>
      <w:pPr>
        <w:spacing w:after="0" w:line="116" w:lineRule="exact"/>
        <w:rPr>
          <w:rFonts w:ascii="Times New Roman" w:cs="Times New Roman" w:eastAsia="Times New Roman" w:hAnsi="Times New Roman"/>
          <w:sz w:val="16"/>
          <w:szCs w:val="16"/>
          <w:color w:val="auto"/>
        </w:rPr>
      </w:pPr>
    </w:p>
    <w:p>
      <w:pPr>
        <w:jc w:val="both"/>
        <w:ind w:left="1680" w:right="920" w:hanging="389"/>
        <w:spacing w:after="0" w:line="299" w:lineRule="auto"/>
        <w:tabs>
          <w:tab w:leader="none" w:pos="16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Distributions on the Shares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described in the section titled “Dividend Policy,” we do not anticipate declaring any cash dividends to holders of common stock in the foreseeable future. However, if we do make distributions (including constructive distributions as described below) on our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generally are taxed under current law at applicable long- term capital gains rates, provided certain holding period requirements are satisfied. If a distribution exceeds our current and accumulated earnings and profits, the excess will be treated as a tax-free return of the U.S. holder’s investment, up to such U.S. holder’s adjusted tax basis in the Shares. Any remaining excess will be treated as capital gain from the sale or exchange of such Shares, as applicable, subject to the tax treatment described below in “— Sale or Other Taxable Disposition of Our Securities.”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4" w:name="page115"/>
    <w:bookmarkEnd w:id="1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Constructive Dividends on Pre-Funded Warrants</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Under Section 305 of the Code, an adjustment to (or failure to adjust) the number of shares that will be issued on the exercise of the pre-funded warrants, or an adjustment to (or failure to adjust) the exercise price of the pre- funded warrants, may be treated as a constructive distribution to a U.S. holder of the pre-funded warrants if, and to the extent that, such adjustment (or failure to adjust) has the effect of increasing such U.S. holder’s proportionate interest in our assets or earnings and profits as determined under U.S. federal income tax principles, depending on the circumstances of such adjustment (for example, if such adjustment is to compensate for a distribution of cash or other property to our shareholders). U.S. holders should consult their tax advisors as to</w:t>
      </w:r>
    </w:p>
    <w:p>
      <w:pPr>
        <w:spacing w:after="0" w:line="1" w:lineRule="exact"/>
        <w:rPr>
          <w:sz w:val="20"/>
          <w:szCs w:val="20"/>
          <w:color w:val="auto"/>
        </w:rPr>
      </w:pPr>
    </w:p>
    <w:p>
      <w:pPr>
        <w:jc w:val="both"/>
        <w:ind w:left="900" w:right="900" w:firstLine="6"/>
        <w:spacing w:after="0" w:line="235" w:lineRule="auto"/>
        <w:tabs>
          <w:tab w:leader="none" w:pos="11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 constructive dividend deemed paid to a non-corporate U.S. holder would be eligible for the preferential rates of U.S. federal income tax applicable in respect of certain dividends received, (ii) whether corporate holders would be entitled to claim the dividends received deduction with respect to any such constructive dividends, and (iii) the general treatment of constructive distributions under their particular circumstances. Because a constructive dividend deemed received by a U.S. holder would not give rise to any cash from which any applicable withholding could be satisfied, if backup withholding is paid on behalf of a U.S. holder (because such U.S. holder failed to establish an exemption from backup withholding), such backup withholding may be set off against payments on the pre-funded warrants or Shares, or offset against other assets of such U.S. holder. Generally, a U.S. holder’s adjusted tax basis in pre -funded warrant should be increased to the extent any such constructive distribution is treated as a dividend. U.S. holders should consult their tax advisors on the impact a constructive distribution may have on their holding period in the securities.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Sale or Other Taxable Disposition of Our Securities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Upon the sale, exchange or other taxable disposition of the Shares or pre-funded warrants, a U.S. holder will generally recognize capital gain or loss equal to the difference between the amount of cash and the fair market value of any property received upon the sale, exchange or other taxable disposition and such U.S. holder’s adjusted tax basis in such securities. This capital gain or loss will be long -term capital gain or loss if the U.S. holder’s holding period in such securities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limitations.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Reporting</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U.S. holder may be subject to information reporting and backup withholding when such holder receives payments on our securities (including constructive dividends)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w:t>
      </w:r>
    </w:p>
    <w:p>
      <w:pPr>
        <w:spacing w:after="0" w:line="97" w:lineRule="exact"/>
        <w:rPr>
          <w:sz w:val="20"/>
          <w:szCs w:val="20"/>
          <w:color w:val="auto"/>
        </w:rPr>
      </w:pPr>
    </w:p>
    <w:p>
      <w:pPr>
        <w:ind w:left="1680" w:right="940" w:hanging="389"/>
        <w:spacing w:after="0" w:line="259" w:lineRule="auto"/>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fails to furnish the holder’s taxpayer identification number, which for an individual is ordinarily his or her social security number;</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furnishes an incorrect taxpayer identification number;</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notified by the IRS that the holder previously failed to properly report payments of interest or dividends; or</w:t>
      </w:r>
    </w:p>
    <w:p>
      <w:pPr>
        <w:spacing w:after="0" w:line="83" w:lineRule="exact"/>
        <w:rPr>
          <w:rFonts w:ascii="Times New Roman" w:cs="Times New Roman" w:eastAsia="Times New Roman" w:hAnsi="Times New Roman"/>
          <w:sz w:val="16"/>
          <w:szCs w:val="16"/>
          <w:color w:val="auto"/>
        </w:rPr>
      </w:pPr>
    </w:p>
    <w:p>
      <w:pPr>
        <w:ind w:left="1680" w:right="920" w:hanging="389"/>
        <w:spacing w:after="0" w:line="331"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certify under penalties of perjury that the holder has furnished a correct taxpayer identification number and that the IRS has not notified the holder that the holder is subject to backup withholding.</w:t>
      </w:r>
    </w:p>
    <w:p>
      <w:pPr>
        <w:spacing w:after="0" w:line="36"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5" w:name="page116"/>
    <w:bookmarkEnd w:id="11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Tax Considerations Applicable to Non-U.S. Holders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Definition of Non-U.S. Holder</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Distributions and Constructive Distributions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described in the section titled “Dividend Policy,” we do not anticipate declaring any cash dividends to holders of Common Stock in the foreseeable future. However, if we do make distributions of cash or property on the Shares, or if any deemed dividends result from certain adjustments, or failure to make adjustments, to the conversion rate or exercise price of the pre-funded warrants, as described above under “Tax Considerations Applicable to U.S. Holders — Constructive Dividends on Pre-Funded Warrants,” such actual or deemed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Shares or pre-funded warrants, but not below zero. Any excess will be treated as capital gain and will be treated as described below under “— Sale or Other Taxable Disposition of Our Securities.”</w:t>
      </w:r>
    </w:p>
    <w:p>
      <w:pPr>
        <w:spacing w:after="0" w:line="10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Subject to the discussion below on effectively connected income, backup withholding and FATCA, dividends paid or deemed paid to a non-U.S. holder will be subject to U.S. federal withholding tax at a rate of 30% of the gross amount of the actual or deemed dividends (or such lower rate specified by an applicable income tax treaty, provided the non-U.S. holder furnishes a valid IRS Form W-8BEN or W-8BEN-E (or other applicable documentation) certifying qualification for the lower treaty rate). Because a constructive dividend deemed received by a non-U.S. holder would not give rise to any cash from which any applicable withholding tax could be satisfied, if withholding taxes are paid on behalf of a non-U.S. holder, those withholding taxes may be set off against payments of cash on the Shares or pre-funded warrants or sales proceeds received by or other funds or assets of such non-U.S. holder. A non- U.S. holder that does not timely furnish the required documentation, but that qualifies for a reduced treaty rate of U.S. federal withholding tax, may obtain a refund of any excess amounts withheld by timely filing an appropriate claim for refund with the IRS. Non-U.S. holders should consult their tax advisors regarding their entitlement to benefits under any applicable income tax treaties.</w:t>
      </w:r>
    </w:p>
    <w:p>
      <w:pPr>
        <w:spacing w:after="0" w:line="10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dividends paid or deemed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Non- U.S. holders should consult their tax advisors regarding any applicable income tax treaties that may provide for different rules.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Sale or Other Taxable Disposition of Our Securities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Subject to the discussions below regarding backup withholding and FATCA, a non -U.S. holder will not be subject to U.S. federal income tax on any gain realized upon the sale or other taxable disposition of our securities unless:</w:t>
      </w:r>
    </w:p>
    <w:p>
      <w:pPr>
        <w:spacing w:after="0" w:line="92" w:lineRule="exact"/>
        <w:rPr>
          <w:sz w:val="20"/>
          <w:szCs w:val="20"/>
          <w:color w:val="auto"/>
        </w:rPr>
      </w:pPr>
    </w:p>
    <w:p>
      <w:pPr>
        <w:jc w:val="both"/>
        <w:ind w:left="1680" w:right="920" w:hanging="389"/>
        <w:spacing w:after="0" w:line="247" w:lineRule="auto"/>
        <w:tabs>
          <w:tab w:leader="none" w:pos="16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6" w:name="page117"/>
    <w:bookmarkEnd w:id="11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47" w:lineRule="auto"/>
        <w:tabs>
          <w:tab w:leader="none" w:pos="16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 nonresident alien individual present in the United States for a period or periods aggregating 183 days or more during the taxable year of the disposition and certain other requirements are met; or</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at any time during the five-year period preceding such disposition (or the non-U.S. holder’s holding period, if shorter) a “U.S. real property holding corporation”, or USRPHC, for U.S. federal income tax purposes.</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Gain described in the first bullet point above generally will be subject to U.S. federal income tax on a net income basis at the regular rates applicable to United States persons (as defined in the Code) . A non -U.S. holder that is a corporation also may be subject to a branch profits tax at a rate of 30% (or such lower rate specified by an applicable income tax treaty) on such effectively connected gain, as adjusted for certain items.</w:t>
      </w:r>
    </w:p>
    <w:p>
      <w:pPr>
        <w:spacing w:after="0" w:line="95"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65"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worldwide real property interests and our other business assets, there can be no assurance we currently are not a USRPHC or that we will not become one in the future. Even if we are or were to become a USRPHC, gain arising from the sale or other taxable disposition of the shares or common stock by a non-U.S. holder will not be subject to U.S. federal income tax if our common stock is (and assuming that our pre-funded warrants are not)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 U.S. holder’s holding period. It is unclear how a non-U.S. holder’s ownership of pre-funded warrants impacts the determination of the 5% threshold with respect to such non-U.S. holder’s actual or constructive ownership of our common stock. There can be no assurance that our common stock will be or continue to be regularly traded on an established securities market. Our pre-funded warrants are not expected to be regularly traded on an established securities market. Dispositions by a non-U.S. holder of pre-funded warrants also may not be subject to U.S. federal income tax, even if we are treated as a U.S. real property holding corporation, if on the date such pre -funded warrants were acquired by such non-U.S. holder, such holdings had a fair market value no greater than the fair market value on that date of 5% of our common stock (if it is regularly traded on an established securities market), provided that, if such non-U.S. holder subsequently acquires additional pre-funded warrants, then such interests would be aggregated and valued as of the date of the subsequent acquisition to apply this 5% limitation.</w:t>
      </w:r>
    </w:p>
    <w:p>
      <w:pPr>
        <w:spacing w:after="0" w:line="10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Non- U.S. holders should consult their tax advisors regarding any applicable income tax treaties that may provide for different rules.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Payments of distributions on our securities (and constructive distributions deemed paid) will not be subject to backup withholding, provided the non -U.S. holder certifies its non-U.S. status, such as by furnishing a valid IRS Form W -8BEN, W- 8BEN-E or W-8ECI, or otherwise establishes an exemption. However, information returns are required to be filed with the IRS in connection with any distributions paid or deemed paid to the non-U.S. holder, regardless of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or pre-funded warrants conducted through a non-U.S. office of a non-U.S. broker that does not have certain enumerated relationships with the United States generally will not be subject to backup withholding or information reporting.</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7" w:name="page118"/>
    <w:bookmarkEnd w:id="1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Additional Withholding Tax on Payments Made to Foreign Accounts</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 - U.S. financial institutions and certain other non-U.S. entities. Specifically, a 30% withholding tax may be imposed on actual or deemed dividends on, or (subject to the proposed Treasury Regulations discussed below) gross proceeds from the sale or other disposition of, our securities paid to a “foreign financial institution” or a “non-financial foreign entity” (each as defined in the Code), unless (1) the foreign financial institution undertakes certain diligence and reporting obligations, (2) the non -financial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64"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Under applicable Treasury Regulations and administrative guidance, withholding under FATCA generally applies to payments of actual or deemed dividends on our securities. Proposed Treasury Regulations eliminate FATCA withholding on payments of gross proceeds from the sale or other disposition of our securities. Taxpayers generally may rely on these proposed Treasury Regulations until final Treasury Regulations are issued.</w:t>
      </w:r>
    </w:p>
    <w:p>
      <w:pPr>
        <w:spacing w:after="0" w:line="6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Prospective investors should consult their tax advisors regarding the potential application of withholding under FATCA to their investment in our securities.</w:t>
      </w:r>
    </w:p>
    <w:p>
      <w:pPr>
        <w:spacing w:after="0" w:line="81" w:lineRule="exact"/>
        <w:rPr>
          <w:sz w:val="20"/>
          <w:szCs w:val="20"/>
          <w:color w:val="auto"/>
        </w:rPr>
      </w:pPr>
    </w:p>
    <w:p>
      <w:pPr>
        <w:jc w:val="both"/>
        <w:ind w:left="900" w:right="920" w:firstLine="384"/>
        <w:spacing w:after="0" w:line="290" w:lineRule="auto"/>
        <w:rPr>
          <w:sz w:val="20"/>
          <w:szCs w:val="20"/>
          <w:color w:val="auto"/>
        </w:rPr>
      </w:pPr>
      <w:r>
        <w:rPr>
          <w:rFonts w:ascii="Times New Roman" w:cs="Times New Roman" w:eastAsia="Times New Roman" w:hAnsi="Times New Roman"/>
          <w:sz w:val="14"/>
          <w:szCs w:val="14"/>
          <w:b w:val="1"/>
          <w:bCs w:val="1"/>
          <w:color w:val="auto"/>
        </w:rPr>
        <w:t>EACH PROSPECTIVE INVESTOR SHOULD CONSULT ITS TAX ADVISOR REGARDING THE PARTICULAR U.S. FEDERAL, STATE AND LOCAL AND NON -U.S. TAX CONSEQUENCES OF THE PURCHASE, OWNERSHIP, EXERCISE, LAPSE AND DISPOSITION OF OUR SECURITIES, INCLUDING THE CONSEQUENCES OF ANY PROPOSED CHANGE IN APPLICABLE LAWS.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8" w:name="page119"/>
    <w:bookmarkEnd w:id="1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Pursuant to a placement agency agreement, we have engaged Alexander Capital, L.P. (the “Placement Agent”) to act as our exclusive placement agent to solicit offers to purchase the securities offered by this prospectus on a reasonable best-efforts basis. The Placement Agent is not purchasing or selling any securities, nor is it required to arrange for the purchase and sale of any specific number or dollar amount of securities, other than to use its “reasonable best efforts” to arrange for the sale of the securities by us. Therefore, we may not sell the entire amount of securities being offered, or any at all. The Placement Agent may engage one or more subagents or selected dealers in connection with this offering.</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will enter into subscription agreements directly with investors who purchase our securities in this offering. The Placement Agent may engage one or more subagents or selected dealers in connection with this offering.</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will deliver the securities being issued to the investors upon receipt of investor funds for the purchase of the securities offered pursuant to this prospectus. We will deliver the securities being offered pursuant to this prospectus upon closing.</w:t>
      </w:r>
    </w:p>
    <w:p>
      <w:pPr>
        <w:spacing w:after="0" w:line="92"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We will pay the Placement Agent a cash transaction fee equal to 7.0% of the aggregate gross proceeds to us from the sale of the securities in the offering. In addition, we will reimburse the Placement Agent for a certain amount of its accountable expenses including actual accountable road show expenses for the offering; the cost associated with the Placement Agent’s use of book -building and compliance software for the Offering, reasonable and documented fees and disbursements of the Placement Agent’s counsel up to an amount of $75,000 (which maximum shall apply solely to such fees and disbursements of counsel and not to other fees and expenses provided for in this paragraph); background checks of our officers and directors; preparation of bound volumes and Lucite cube mementos in such quantities as the Placement Agent may reasonably request; provided that these actual accountable expenses of the placement agent shall not exceed $100,000, including the fees and disbursements of the Placement Agent’s counsel.</w:t>
      </w:r>
    </w:p>
    <w:p>
      <w:pPr>
        <w:spacing w:after="0" w:line="104" w:lineRule="exact"/>
        <w:rPr>
          <w:sz w:val="20"/>
          <w:szCs w:val="20"/>
          <w:color w:val="auto"/>
        </w:rPr>
      </w:pPr>
    </w:p>
    <w:p>
      <w:pPr>
        <w:jc w:val="both"/>
        <w:ind w:left="900" w:right="880" w:firstLine="384"/>
        <w:spacing w:after="0" w:line="251" w:lineRule="auto"/>
        <w:rPr>
          <w:sz w:val="20"/>
          <w:szCs w:val="20"/>
          <w:color w:val="auto"/>
        </w:rPr>
      </w:pPr>
      <w:r>
        <w:rPr>
          <w:rFonts w:ascii="Times New Roman" w:cs="Times New Roman" w:eastAsia="Times New Roman" w:hAnsi="Times New Roman"/>
          <w:sz w:val="15"/>
          <w:szCs w:val="15"/>
          <w:color w:val="auto"/>
        </w:rPr>
        <w:t>We will, at the closing, grant to Alexander Capital, L.P (or such other recipient as designated by Placement Agent) securities purchase warrants (the “Placement Agent Warrants”) covering a number of securities equal to one percent (1.0%) of the total number of securities being sold and/or issued in the offering. The Placement Agent Warrants will be non-exercisable for one hundred eighty (180) days beginning on the date of commencement of sales of the securities being offering in this offering. Following this (180) day period, the Placement Agent Warrants will be exercisable until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5"/>
          <w:szCs w:val="15"/>
          <w:color w:val="auto"/>
        </w:rPr>
        <w:t>) year anniversary of commencement of sales of the securities being offering in this offering. The Placement Agent Warrants will be exercisable at a price per share equal to 100% of the price of the securities paid by the purchasers in connection with this offering. The Placement Agent Warrants will not be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offering in this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The Placement Agent Warrants may be exercised in whole or in part, shall provide for “cashless” exercise, and shall provide for customary anti-dilution and price protection.</w:t>
      </w:r>
    </w:p>
    <w:p>
      <w:pPr>
        <w:spacing w:after="0" w:line="9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following table shows the combined public offering price, placement agent fees and proceeds before expenses to us. Because there is no minimum offering amount required as a condition to closing in this offering, the actual total placement agent fees, if any, are not presently determinable and may be substantially less than the maximum amount set forth below.</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8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90"/>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6"/>
                <w:szCs w:val="16"/>
                <w:color w:val="auto"/>
              </w:rPr>
            </w:pP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Amount</w:t>
            </w:r>
          </w:p>
        </w:tc>
      </w:tr>
      <w:tr>
        <w:trPr>
          <w:trHeight w:val="28"/>
        </w:trPr>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34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Placement agent fee (7%)</w:t>
            </w:r>
          </w:p>
        </w:tc>
        <w:tc>
          <w:tcPr>
            <w:tcW w:w="1340" w:type="dxa"/>
            <w:vAlign w:val="bottom"/>
            <w:gridSpan w:val="2"/>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148"/>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2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Agrify Corporation</w:t>
            </w:r>
          </w:p>
        </w:tc>
        <w:tc>
          <w:tcPr>
            <w:tcW w:w="134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3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estimate that the total expenses of the offering payable by us, excluding the placement agent fees and the reimbursement of the placement agent’s accountable expenses, will be approximately $110,000.</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9" w:name="page120"/>
    <w:bookmarkEnd w:id="1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have agreed with the Placement Agent that we will not, without the prior consent of the Placement Agent, and subject to certain exceptions, directly or indirectly sell, offer, contract or grant any option to sell, pledge, transfer, or otherwise dispose of or enter into any transaction which may result in the disposition of any common stock or securities convertible into, exchangeable or exercisable for any common stock for a period of 180 days after the closing of this offering.</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We have agreed to indemnify the Placement Agent against certain liabilities, including liabilities under the Securities Act and liabilities arising from breaches of representations and warranties contained in the agreement, or to contribute to payments that the Placement Agent may be required to make in respect of those liabilities.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Determination of Offering Price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actual public offering price of the shares and pre-funded warrants we are offering will be negotiated between us, the Placement Agent and the investors in the offering based on the trading price of our shares prior to the offering, among other things, including a to be negotiated discount to the trading price. Other factors considered in determining the public offering price of the shares and pre-funded warrants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Our common stock is quoted on the Nasdaq Capital Market under the symbol “AGFY.”</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Regulation M</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Electronic Distribution</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prospectus in electronic format may be made available on websites or through other online services maintained by the Placement Agent of this offering, or by its affiliates. Other than the prospectus in electronic format, the information on the Placement Agent’s website and any information contained in any other website maintained by the Placement Agent is not part of this prospectus or the registration statement of which this prospectus forms a part, has not been approved and/or endorsed by us or the Placement Agent in its capacity as Placement Agent, and should not be relied upon by investors.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Certain Relationships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Placement Agent and its affiliates may in the future provide, from time to time, investment banking and financial advisory services to us in the ordinary course of business, for which they may receive customary fees and commissions.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0" w:name="page121"/>
    <w:bookmarkEnd w:id="1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Selling Restrictions</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Placement Agent that would permit a public offering of the securities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1" w:name="page122"/>
    <w:bookmarkEnd w:id="1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legal matters with respect to the validity of the securities offered by this prospectus will be passed upon for us by Sherman &amp; Howard L.L.C., Las Vegas, Nevada and Burns &amp; Levinson LLP, Boston, Massachusetts. Lucosky Brookman LLP, Woodbridge, New Jersey, is acting as counsel to the placement agent in connection with this offering.</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financial statements of Agrify Corporation and Subsidiaries as of December 31, 2022 and 2021, for the two years ended December 31, 2022, incorporated by reference into this prospectus, have been audited by Marcum LLP, independent registered public accounting firm, as set forth in their report thereon (which contains an explanatory paragraph relating to substantial doubt about the ability of Agrify Corporation and Subsidiaries to continue as a going concern as described in Note 1 to the financial statements) incorporated by reference into this prospectus, and are included in reliance on the report of such firm given upon their authority as experts in auditing and accounting.</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S- 1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post on our public website (</w:t>
      </w:r>
      <w:r>
        <w:rPr>
          <w:rFonts w:ascii="Times New Roman" w:cs="Times New Roman" w:eastAsia="Times New Roman" w:hAnsi="Times New Roman"/>
          <w:sz w:val="16"/>
          <w:szCs w:val="16"/>
          <w:i w:val="1"/>
          <w:iCs w:val="1"/>
          <w:color w:val="auto"/>
        </w:rPr>
        <w:t>www.agrify.com</w:t>
      </w:r>
      <w:r>
        <w:rPr>
          <w:rFonts w:ascii="Times New Roman" w:cs="Times New Roman" w:eastAsia="Times New Roman" w:hAnsi="Times New Roman"/>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2" w:name="page123"/>
    <w:bookmarkEnd w:id="1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-106680</wp:posOffset>
            </wp:positionV>
            <wp:extent cx="4573270" cy="1752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3270" cy="175260"/>
                    </a:xfrm>
                    <a:prstGeom prst="rect">
                      <a:avLst/>
                    </a:prstGeom>
                    <a:noFill/>
                  </pic:spPr>
                </pic:pic>
              </a:graphicData>
            </a:graphic>
          </wp:anchor>
        </w:drawing>
      </w:r>
    </w:p>
    <w:p>
      <w:pPr>
        <w:spacing w:after="0" w:line="74"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Independent Auditors’ Report (PCAOB ID # 688)</w:t>
        </w:r>
      </w:hyperlink>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Balance Sheets</w:t>
        </w:r>
      </w:hyperlink>
    </w:p>
    <w:p>
      <w:pPr>
        <w:spacing w:after="0" w:line="8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Stockholders’ Equity</w:t>
        </w:r>
      </w:hyperlink>
    </w:p>
    <w:p>
      <w:pPr>
        <w:spacing w:after="0" w:line="8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Notes to Consolidated Financial Statements</w:t>
        </w:r>
      </w:hyperlink>
    </w:p>
    <w:p>
      <w:pPr>
        <w:spacing w:after="0" w:line="2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44"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Balance Sheets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Statements of Operations (unaudited)</w:t>
        </w:r>
      </w:hyperlink>
    </w:p>
    <w:p>
      <w:pPr>
        <w:spacing w:after="0" w:line="80" w:lineRule="exact"/>
        <w:rPr>
          <w:sz w:val="20"/>
          <w:szCs w:val="20"/>
          <w:color w:val="auto"/>
        </w:rPr>
      </w:pPr>
    </w:p>
    <w:p>
      <w:pPr>
        <w:ind w:left="900"/>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Condensed Consolidated Statements of Stockholders’ Equity (Deficit)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-93345</wp:posOffset>
            </wp:positionV>
            <wp:extent cx="4573270" cy="167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83"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Statements of Cash Flows (unaudited)</w:t>
        </w:r>
      </w:hyperlink>
    </w:p>
    <w:p>
      <w:pPr>
        <w:spacing w:after="0" w:line="8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Notes to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F-2</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F-3</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F-4</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F-5</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F-7</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F-71</w:t>
      </w:r>
    </w:p>
    <w:p>
      <w:pPr>
        <w:sectPr>
          <w:pgSz w:w="11900" w:h="16840" w:orient="portrait"/>
          <w:cols w:equalWidth="0" w:num="2">
            <w:col w:w="6840" w:space="720"/>
            <w:col w:w="1460"/>
          </w:cols>
          <w:pgMar w:left="1440" w:top="557" w:right="1440" w:bottom="1440" w:gutter="0" w:footer="0" w:header="0"/>
        </w:sectPr>
      </w:pPr>
    </w:p>
    <w:bookmarkStart w:id="123" w:name="page124"/>
    <w:bookmarkEnd w:id="1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right="1820" w:firstLine="942"/>
        <w:spacing w:after="0" w:line="418"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Shareholders and Board of Directors of Agrify Corporation and Subsidiaries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18" w:lineRule="exact"/>
        <w:rPr>
          <w:sz w:val="20"/>
          <w:szCs w:val="20"/>
          <w:color w:val="auto"/>
        </w:rPr>
      </w:pPr>
    </w:p>
    <w:p>
      <w:pPr>
        <w:jc w:val="both"/>
        <w:ind w:left="900" w:right="880" w:firstLine="384"/>
        <w:spacing w:after="0" w:line="27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Agrify Corporation and Subsidiaries (the “Company”) as of December 31, 2022 and 2021, the related consolidated statements of operations, stockholders’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Explanatory Paragraph — Going Concern</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3"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 Marcum llp</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Marcum llp</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We have served as the Company’s auditor since 2019.</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Melville, NY</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November 27, 2023</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4" w:name="page125"/>
    <w:bookmarkEnd w:id="1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$4,605 and $1,415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at December 31, 2022 and 2021, respectively</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right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Inventory, net of reserves of $32,422 and $942 at December 31, 2022</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and 2021,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86,736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Loans receivable, net of allowance for doubtful accounts of $33,050 and $0 at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current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of current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tcBorders>
              <w:top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44,624</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Common Stock, $0.001 par value per share, 5,000,000 and 2,500,000 shares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authorized at December 31, 2022 and 2021, respectively, 1,038,298 and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111,035 shares issued and outstanding at December 31, 2022 and 2021,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respectively</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right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Stock, $0.001 par value per share, 2,895,000 shares authorized, no</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shares issued or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A Stock, $0.001 par value per share, 105,000 shares authorized, no</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shares issued or outstanding</w:t>
            </w: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(deficit) equity attributable to Agrify</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Borders>
              <w:right w:val="single" w:sz="8" w:color="CCEEFF"/>
            </w:tcBorders>
            <w:vMerge w:val="continue"/>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62" w:lineRule="auto"/>
        <w:tabs>
          <w:tab w:leader="none" w:pos="13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1 -for-10 reverse stock split on October 18, 2022, and the 1-for-20 reverse stock split on July 5, 2023. Additional information regarding the reverse stock splits may be found in Note 1</w:t>
      </w:r>
    </w:p>
    <w:p>
      <w:pPr>
        <w:ind w:left="1300" w:right="9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Overview, Basis of Presentation, and Significant Accounting Policies, included elsewhere in the notes to the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118" w:gutter="0" w:footer="0" w:header="0"/>
        </w:sectPr>
      </w:pPr>
    </w:p>
    <w:bookmarkStart w:id="125" w:name="page126"/>
    <w:bookmarkEnd w:id="1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(including $2,417 and $31,439 from related parties, respectively)</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(loss) profit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5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161,531</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(193,326)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(35,073)</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(188,284)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(32,300)</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(188,307)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(32,325)</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(188,173)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Net loss per share attributable to Common Stockholders – basic and diluted</w:t>
            </w:r>
            <w:r>
              <w:rPr>
                <w:rFonts w:ascii="Times New Roman" w:cs="Times New Roman" w:eastAsia="Times New Roman" w:hAnsi="Times New Roman"/>
                <w:sz w:val="19"/>
                <w:szCs w:val="19"/>
                <w:color w:val="auto"/>
                <w:vertAlign w:val="superscript"/>
              </w:rPr>
              <w:t>(1)</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(902.19)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(340.75)</w:t>
            </w:r>
          </w:p>
        </w:tc>
        <w:tc>
          <w:tcPr>
            <w:tcW w:w="0" w:type="dxa"/>
            <w:vAlign w:val="bottom"/>
          </w:tcPr>
          <w:p>
            <w:pPr>
              <w:spacing w:after="0"/>
              <w:rPr>
                <w:sz w:val="1"/>
                <w:szCs w:val="1"/>
                <w:color w:val="auto"/>
              </w:rPr>
            </w:pPr>
          </w:p>
        </w:tc>
      </w:tr>
      <w:tr>
        <w:trPr>
          <w:trHeight w:val="204"/>
        </w:trPr>
        <w:tc>
          <w:tcPr>
            <w:tcW w:w="506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Weighted-average common shares outstanding – basic and diluted</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62" w:lineRule="auto"/>
        <w:tabs>
          <w:tab w:leader="none" w:pos="13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1 -for-10 reverse stock split on October 18, 2022, and the 1-for-20 reverse stock split on July 5, 2023. Additional information regarding the reverse stock splits may be found in Note 1</w:t>
      </w:r>
    </w:p>
    <w:p>
      <w:pPr>
        <w:ind w:left="1300" w:right="9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Overview, Basis of Presentation, and Significant Accounting Policies, included elsewhere in the notes to the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6" w:name="page127"/>
    <w:bookmarkEnd w:id="1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88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6"/>
            <w:vMerge w:val="restart"/>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vMerge w:val="restart"/>
          </w:tcPr>
          <w:p>
            <w:pPr>
              <w:spacing w:after="0"/>
              <w:rPr>
                <w:sz w:val="6"/>
                <w:szCs w:val="6"/>
                <w:color w:val="auto"/>
              </w:rPr>
            </w:pPr>
          </w:p>
        </w:tc>
        <w:tc>
          <w:tcPr>
            <w:tcW w:w="780" w:type="dxa"/>
            <w:vAlign w:val="bottom"/>
            <w:gridSpan w:val="3"/>
            <w:vMerge w:val="restart"/>
          </w:tcPr>
          <w:p>
            <w:pPr>
              <w:jc w:val="center"/>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January 1, 2021</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21,058</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19,831</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(26,510)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(6,679)</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Beneficial</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conversion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feature</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associated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with amended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Convertible</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Promissory</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Notes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Notes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13,100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 – Initial</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Public</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Offering</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(“IPO”), net of</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31,050</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56,961</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56,961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56,961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 –</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Secondary</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public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offering, net of</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31,945</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79,839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79,839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79,839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 in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connection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with</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acquisition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Preferred A</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auto"/>
              </w:rPr>
              <w:t>— (100,000)</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Precision and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Cascade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12,355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12,355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12,355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PurePressure</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options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warrants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(32,465)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(32,465)</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(32,325)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2021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111,035</w:t>
            </w:r>
          </w:p>
        </w:tc>
        <w:tc>
          <w:tcPr>
            <w:tcW w:w="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80" w:type="dxa"/>
            <w:vAlign w:val="bottom"/>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7" w:name="page128"/>
    <w:bookmarkEnd w:id="1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left="2380" w:right="1140"/>
        <w:spacing w:after="0" w:line="248" w:lineRule="auto"/>
        <w:rPr>
          <w:sz w:val="20"/>
          <w:szCs w:val="20"/>
          <w:color w:val="auto"/>
        </w:rPr>
      </w:pPr>
      <w:r>
        <w:rPr>
          <w:rFonts w:ascii="Times New Roman" w:cs="Times New Roman" w:eastAsia="Times New Roman" w:hAnsi="Times New Roman"/>
          <w:sz w:val="16"/>
          <w:szCs w:val="16"/>
          <w:b w:val="1"/>
          <w:bCs w:val="1"/>
          <w:color w:val="auto"/>
        </w:rPr>
        <w:t>AGRIFY CORPORATION AND SUBSIDIARIES Consolidated Statements of Stockholders’ (Deficit) Equity — (Continued) (In thousands, except share data)</w:t>
      </w:r>
    </w:p>
    <w:p>
      <w:pPr>
        <w:spacing w:after="0" w:line="247"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5"/>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6"/>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vMerge w:val="restart"/>
          </w:tcPr>
          <w:p>
            <w:pPr>
              <w:spacing w:after="0"/>
              <w:rPr>
                <w:sz w:val="6"/>
                <w:szCs w:val="6"/>
                <w:color w:val="auto"/>
              </w:rPr>
            </w:pPr>
          </w:p>
        </w:tc>
        <w:tc>
          <w:tcPr>
            <w:tcW w:w="800" w:type="dxa"/>
            <w:vAlign w:val="bottom"/>
            <w:gridSpan w:val="3"/>
            <w:vMerge w:val="restart"/>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5"/>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158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Amount Shares 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 Agrify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January 1, 2022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111,035</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 and</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prefunded</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 in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private</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placement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20,105</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14,824</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14,824</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Confidentially</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marketed</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public offering</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594,232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through an “at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the market”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offering, net of</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306,628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15,042</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15,042</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issued for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contingent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Lab Society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Vesting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restricted 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(188,173)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(188,173)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(188,307)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2022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1,038,298</w:t>
            </w:r>
          </w:p>
        </w:tc>
        <w:tc>
          <w:tcPr>
            <w:tcW w:w="4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6"/>
                <w:szCs w:val="16"/>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237,875</w:t>
            </w:r>
          </w:p>
        </w:tc>
        <w:tc>
          <w:tcPr>
            <w:tcW w:w="4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(247,148)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(9,272)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8" w:name="page129"/>
    <w:bookmarkEnd w:id="1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9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2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(188,173)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Adjustments to reconcile net loss attributable to Agrify Corporation to net</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on goodwill and intangible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(51,461)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premium on marketable securities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marketable securities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6"/>
                <w:szCs w:val="16"/>
                <w:color w:val="auto"/>
              </w:rPr>
              <w:t>Compensation in connection with the issuance of stock options and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restricted stock units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shares in connection with acquisition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(income) from disposal of fixed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attributed to non-controlling interest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Right-of-use assets,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8,284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intangibles assets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(294,687)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(62,209)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fixed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loans receivable,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contingent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from escrow account related to Sinclair acquisition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business combination, net of cash acquired</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(104,740)</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6"/>
                <w:szCs w:val="16"/>
                <w:color w:val="auto"/>
              </w:rPr>
              <w:t>F-7</w:t>
            </w: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29" w:name="page130"/>
    <w:bookmarkEnd w:id="1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debt and warrants in Security Purchase Agreement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Common Stock and warrants in private placement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Common Stock through an “at the market” offering, net of fees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IPO, net of fees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Secondary public offering, net of fees</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confidentially marketed public offering</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debt in private placement</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notes payable, other</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insurance financing loans</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other financing loans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14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138,792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period</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8,111</w:t>
            </w:r>
          </w:p>
        </w:tc>
        <w:tc>
          <w:tcPr>
            <w:tcW w:w="0" w:type="dxa"/>
            <w:vAlign w:val="bottom"/>
          </w:tcPr>
          <w:p>
            <w:pPr>
              <w:spacing w:after="0"/>
              <w:rPr>
                <w:sz w:val="1"/>
                <w:szCs w:val="1"/>
                <w:color w:val="auto"/>
              </w:rPr>
            </w:pPr>
          </w:p>
        </w:tc>
      </w:tr>
      <w:tr>
        <w:trPr>
          <w:trHeight w:val="271"/>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tcPr>
          <w:p>
            <w:pPr>
              <w:spacing w:after="0"/>
              <w:rPr>
                <w:sz w:val="20"/>
                <w:szCs w:val="20"/>
                <w:color w:val="auto"/>
              </w:rPr>
            </w:pP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1"/>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 at the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4,969</w:t>
            </w: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information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Equipment sold for loan receivable to customer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120" w:type="dxa"/>
            <w:vAlign w:val="bottom"/>
          </w:tcPr>
          <w:p>
            <w:pPr>
              <w:spacing w:after="0"/>
              <w:rPr>
                <w:sz w:val="20"/>
                <w:szCs w:val="20"/>
                <w:color w:val="auto"/>
              </w:rPr>
            </w:pP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of prepaid 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1,928</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0" w:name="page131"/>
    <w:bookmarkEnd w:id="1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right="2900"/>
        <w:spacing w:after="0" w:line="416" w:lineRule="auto"/>
        <w:rPr>
          <w:sz w:val="20"/>
          <w:szCs w:val="20"/>
          <w:color w:val="auto"/>
        </w:rPr>
      </w:pPr>
      <w:r>
        <w:rPr>
          <w:rFonts w:ascii="Times New Roman" w:cs="Times New Roman" w:eastAsia="Times New Roman" w:hAnsi="Times New Roman"/>
          <w:sz w:val="16"/>
          <w:szCs w:val="16"/>
          <w:b w:val="1"/>
          <w:bCs w:val="1"/>
          <w:color w:val="auto"/>
        </w:rPr>
        <w:t>Note 1 — Overview, Basis of Presentation, and Significant Accounting Policies Description of Business</w:t>
      </w: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has nine wholly-owned subsidiaries, which are collectively referred to as the “Subsidiaries” and the Company also has ownership interests in certain companies. (Please refer to Exhibit 21.1 for further details.)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Initial Public Offering and Secondary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333-251616 and 333- 252490), which was declared effective by the Securities Exchange Commission (“SEC”) on January 27, 2021. In the IPO, Maxim Group LLC and Roth Capital Partners acted as the underwriters. The IPO price for shares of Common Stock was $2,000.00 per share. The total gross proceeds from the IPO were $62.1 million.</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1" w:name="page132"/>
    <w:bookmarkEnd w:id="1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After deducting underwriting discounts and commissions of $ 4 million and offering expenses paid by the Company of approximately $1 million, the net proceeds from the IPO were approximately $57 million. The Company used the net proceeds from the IPO for its working capital needs, to support revenue growth, increase inventory to meet customer demand forecasts, and support operational growth.</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 -allotment option. The exercise of the over-allotment option brought the total number of shares of Common Stock sold by the Company in connection with the February Offering to 31,945 shares and the total net proceeds received in connection with the February Offering to approximately $80 million, after deducting underwriting discounts and offering expenses. The Company used the net proceeds from the IPO for its working capital needs, to support revenue growth, increase inventory, meet customer demand forecasts, and support operational growth.</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w:t>
      </w:r>
    </w:p>
    <w:p>
      <w:pPr>
        <w:spacing w:after="0" w:line="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Fair Value Measures and Note 12 — Stockholders’ Equity, included elsewhere in the notes to the consolidated financial statements.</w:t>
      </w:r>
    </w:p>
    <w:p>
      <w:pPr>
        <w:spacing w:after="0" w:line="97"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0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2" w:name="page133"/>
    <w:bookmarkEnd w:id="1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58"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10 -K, the First Quarter 2023 Form 10-Q and the Second Quarter 2023 Form 10-Q without unreasonable effort or expense.</w:t>
      </w:r>
    </w:p>
    <w:p>
      <w:pPr>
        <w:spacing w:after="0" w:line="7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The Paycheck Protection Program</w:t>
      </w:r>
    </w:p>
    <w:p>
      <w:pPr>
        <w:spacing w:after="0" w:line="11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3" w:name="page134"/>
    <w:bookmarkEnd w:id="1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 July 2020, the Company received a separate PPP loan in the amount of $45,000. In September 2021, this loan was 100% forgiven by the SBA. The forgiveness of this loan is reflected in the 2021 Consolidated Statement of Operations as a gain on forgiveness.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Wholly-Owned Subsidiaries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(“GAAP”) and include the accounts of Agrify Corporation and its wholly- 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Less Than Wholly-Owned Subsidiaries</w:t>
      </w:r>
    </w:p>
    <w:p>
      <w:pPr>
        <w:spacing w:after="0" w:line="12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For the Company’s less than wholly-owned subsidiaries, which include Teejan Podponics International LLC (“TPI”), Agrify-Valiant LLC (“Agrify- 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 venture qualifies as a VIE and the Company is the primary beneficiary, the Company’s financial interest in the VIE is consolidated.</w:t>
      </w:r>
    </w:p>
    <w:p>
      <w:pPr>
        <w:spacing w:after="0" w:line="26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 -Valiant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 - 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consolidated financial statements’ issuance date. The following matters raise substantial doubt about the Company’s ability to continue as a going concern within one year after the date the consolidated financial statements are issued.</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4" w:name="page135"/>
    <w:bookmarkEnd w:id="1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has negative cash flows from operations and a working capital deficiency. The Company also has an accumulated deficit of approximately $247.1 million as of December 31, 2022.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of December 31, 2022, the Company had $20.5 million of cash, cash equivalents, and restricted cash. The Company’s restricted cash is associated with its senior secured note (the “Exchange Note”) and was $10.0 million as of December 31, 2022. Additional information regarding the Company’s Exchange Note may be found in Note 9 — Debt, included elsewhere in the notes to the consolidated financial statements.</w:t>
      </w:r>
    </w:p>
    <w:p>
      <w:pPr>
        <w:spacing w:after="0" w:line="95" w:lineRule="exact"/>
        <w:rPr>
          <w:sz w:val="20"/>
          <w:szCs w:val="20"/>
          <w:color w:val="auto"/>
        </w:rPr>
      </w:pPr>
    </w:p>
    <w:p>
      <w:pPr>
        <w:jc w:val="both"/>
        <w:ind w:left="900" w:right="920" w:firstLine="384"/>
        <w:spacing w:after="0" w:line="236"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Canaccord Genuity LLC (the “Agent”) pursuant to which it may issue and sell, from time to time, shares of its Common Stock having an aggregate offering price of up to $ 50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Program at an average price of $50.85 per share, resulting in gross proceeds of $15.6 million, and net proceeds of $15.0 million after commissions and fees to the Agent totaling $468 thousand and legal fees totaling $75 thousand. Subsequent to December 31, 2022 through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w:t>
      </w:r>
    </w:p>
    <w:p>
      <w:pPr>
        <w:spacing w:after="0" w:line="10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These consolidated financial statements have been prepared on a going concern basis, which implies the Company believes these conditions raise substantial doubt about its ability to continue as a going concern within the next twelve-months from the date these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There is no assurance that the Company will ever be profitable. The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 -based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5" w:name="page136"/>
    <w:bookmarkEnd w:id="1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Certain amounts in the Company’s prior period consolidated financial statements have been reclassified to conform to the presentation of the current period consolidated financial statements. In this filing, the Company has reclassified selling, general and administrative expenses to two separate line items in the accompanying consolidated statements of operations as general and administrative expenses and selling and marketing expenses for the years ended December 31, 2022 and 2021.</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Cash and cash equivalents consists principally of cash and deposits with maturities of three months or less as of December 31, 2022 and 2021. All cash equivalents are carried at cost, which approximates fair value. Restricted cash represents cash required to be held as collateral for the Company’s Notes. Accordingly, these balances contain restrictions as to their availability and usage and are classified as restricted cash in the consolidated balance sheets. Additional information relating to the Company’s Notes may be found in Note 9 — Debt,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Concentration of Credit Risk and Significant Customer</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6" w:name="page137"/>
    <w:bookmarkEnd w:id="1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tables below show customers who account for 10% or more of the Company’s total revenues and 10% or more of the Company’s accounts receivable for the periods presented.</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2022 and 2021, the Company’s customers that accounted for 10% or more of the total revenue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8"/>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8"/>
        </w:trPr>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New England Innovation Academy (“NEIA”) – Related</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Party</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167"/>
        </w:trPr>
        <w:tc>
          <w:tcPr>
            <w:tcW w:w="20" w:type="dxa"/>
            <w:vAlign w:val="bottom"/>
          </w:tcPr>
          <w:p>
            <w:pPr>
              <w:spacing w:after="0"/>
              <w:rPr>
                <w:sz w:val="14"/>
                <w:szCs w:val="14"/>
                <w:color w:val="auto"/>
              </w:rPr>
            </w:pPr>
          </w:p>
        </w:tc>
        <w:tc>
          <w:tcPr>
            <w:tcW w:w="39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Greenstone Holdings (“Greenstone”) – Greenstone is 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90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w w:val="99"/>
              </w:rPr>
              <w:t>related party because one of the Company’s former Agrify</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0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Brands employees and its VP of Engineering had a</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minority ownership</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6"/>
        </w:trPr>
        <w:tc>
          <w:tcPr>
            <w:tcW w:w="3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136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8,005</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Customer Number – 139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8,761</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64" w:lineRule="exact"/>
        <w:rPr>
          <w:sz w:val="20"/>
          <w:szCs w:val="20"/>
          <w:color w:val="auto"/>
        </w:rPr>
      </w:pPr>
    </w:p>
    <w:p>
      <w:pPr>
        <w:ind w:left="1260" w:hanging="354"/>
        <w:spacing w:after="0"/>
        <w:tabs>
          <w:tab w:leader="none" w:pos="1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revenue, as a percentage of total revenue, was less than 10%</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2022 and 2021, the Company’s customers that accounted for 10% or more of the total accounts receivable, net,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8"/>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r>
      <w:tr>
        <w:trPr>
          <w:trHeight w:val="19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6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 – Related Party</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3,498</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48.4%</w:t>
            </w:r>
          </w:p>
        </w:tc>
      </w:tr>
      <w:tr>
        <w:trPr>
          <w:trHeight w:val="264"/>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126</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1,541</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21.3%</w:t>
            </w:r>
          </w:p>
        </w:tc>
      </w:tr>
      <w:tr>
        <w:trPr>
          <w:trHeight w:val="24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15095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10888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16491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64" w:lineRule="exact"/>
        <w:rPr>
          <w:sz w:val="20"/>
          <w:szCs w:val="20"/>
          <w:color w:val="auto"/>
        </w:rPr>
      </w:pPr>
    </w:p>
    <w:p>
      <w:pPr>
        <w:ind w:left="1260" w:hanging="354"/>
        <w:spacing w:after="0"/>
        <w:tabs>
          <w:tab w:leader="none" w:pos="12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accounts receivable balance, as a percentage of total accounts receivable balance, was less than 10%</w:t>
      </w:r>
    </w:p>
    <w:p>
      <w:pPr>
        <w:spacing w:after="0" w:line="23" w:lineRule="exact"/>
        <w:rPr>
          <w:sz w:val="20"/>
          <w:szCs w:val="20"/>
          <w:color w:val="auto"/>
        </w:rPr>
      </w:pPr>
    </w:p>
    <w:p>
      <w:pPr>
        <w:ind w:left="1300" w:right="920" w:hanging="394"/>
        <w:spacing w:after="0" w:line="253" w:lineRule="auto"/>
        <w:tabs>
          <w:tab w:leader="none" w:pos="13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accounts receivable balance was fully reserved at December 31, 2022 due to an ongoing dispute with the customer.</w:t>
      </w:r>
    </w:p>
    <w:p>
      <w:pPr>
        <w:spacing w:after="0" w:line="3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 -offs of potentially slow -moving or damaged inventory are recorded through specific identification of obsolete or damaged material. The Company takes physical inventory at least once annually at all inventory locations.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7" w:name="page138"/>
    <w:bookmarkEnd w:id="1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0"/>
        </w:trPr>
        <w:tc>
          <w:tcPr>
            <w:tcW w:w="36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8"/>
        </w:trPr>
        <w:tc>
          <w:tcPr>
            <w:tcW w:w="36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 to 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 to 13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of estimated useful life or remaining lease term</w:t>
            </w:r>
          </w:p>
        </w:tc>
      </w:tr>
    </w:tbl>
    <w:p>
      <w:pPr>
        <w:spacing w:after="0" w:line="16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7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Costs for capital assets not yet placed into service are capitalized as construction-in-progress and depreciated once placed into service. During construction, costs are accumulated in a construction-in- progress account, with no depreciation. Upon completion, costs are transferred to the appropriate asset account, and depreciation begins when the asset is placed into service.</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73"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initially records intangible assets at their estimated fair values and reviews these assets periodically for impairment. Identifiable intangible assets, which consist principally of customer- related acquired assets, acquired and/or developed technology, non -compete agreements, and trade names, are reported net of accumulated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8" w:name="page139"/>
    <w:bookmarkEnd w:id="13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amortization, and are being amortized over their estimated useful lives at amortization rates that are proportional to each asset’s estimated economic benefit. The Company’s intangible assets are amortized on a straight -line basis over the estimated useful lives of the assets. The Company reviews the carrying value of these intangible assets annually, or more frequently if indicators of impairment are present.</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useful lives are as follows:</w:t>
      </w:r>
    </w:p>
    <w:p>
      <w:pPr>
        <w:spacing w:after="0" w:line="200"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7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880" w:type="dxa"/>
            <w:vAlign w:val="bottom"/>
          </w:tcPr>
          <w:p>
            <w:pPr>
              <w:jc w:val="center"/>
              <w:ind w:left="2062"/>
              <w:spacing w:after="0"/>
              <w:rPr>
                <w:sz w:val="20"/>
                <w:szCs w:val="20"/>
                <w:color w:val="auto"/>
              </w:rPr>
            </w:pPr>
            <w:r>
              <w:rPr>
                <w:rFonts w:ascii="Times New Roman" w:cs="Times New Roman" w:eastAsia="Times New Roman" w:hAnsi="Times New Roman"/>
                <w:sz w:val="16"/>
                <w:szCs w:val="16"/>
                <w:color w:val="auto"/>
              </w:rPr>
              <w:t>5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website costs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3 to 5 years</w:t>
            </w:r>
          </w:p>
        </w:tc>
      </w:tr>
    </w:tbl>
    <w:p>
      <w:pPr>
        <w:spacing w:after="0" w:line="16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 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0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If the Company determines that an instrument is not a derivative liability, it then evaluates whether there is a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 Additionally, adoption of ASU 2020-06 simplifies the accounting for convertible instruments by eliminating the cash conversion and the BCF accounting models for convertible debt and convertible preferred stock.</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9" w:name="page140"/>
    <w:bookmarkEnd w:id="13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8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73"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w:t>
      </w:r>
    </w:p>
    <w:p>
      <w:pPr>
        <w:spacing w:after="0" w:line="4" w:lineRule="exact"/>
        <w:rPr>
          <w:sz w:val="20"/>
          <w:szCs w:val="20"/>
          <w:color w:val="auto"/>
        </w:rPr>
      </w:pPr>
    </w:p>
    <w:p>
      <w:pPr>
        <w:ind w:left="900" w:right="920"/>
        <w:spacing w:after="0" w:line="238" w:lineRule="auto"/>
        <w:rPr>
          <w:sz w:val="20"/>
          <w:szCs w:val="20"/>
          <w:color w:val="auto"/>
        </w:rPr>
      </w:pPr>
      <w:r>
        <w:rPr>
          <w:rFonts w:ascii="Times New Roman" w:cs="Times New Roman" w:eastAsia="Times New Roman" w:hAnsi="Times New Roman"/>
          <w:sz w:val="16"/>
          <w:szCs w:val="16"/>
          <w:color w:val="auto"/>
        </w:rPr>
        <w:t>— Fair Value Measures and Note 9 — Debt, included elsewhere in the notes to the consolidated financial statements.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Debt Issuance Costs and Debt Discount</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Original Issue Discount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0" w:name="page141"/>
    <w:bookmarkEnd w:id="14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5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4"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measures all stock options and other stock- 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44"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consolidated statements of operations in the same manner in which the award recipient’s payroll costs are classified.</w:t>
      </w:r>
    </w:p>
    <w:p>
      <w:pPr>
        <w:spacing w:after="0" w:line="59" w:lineRule="exact"/>
        <w:rPr>
          <w:sz w:val="20"/>
          <w:szCs w:val="20"/>
          <w:color w:val="auto"/>
        </w:rPr>
      </w:pPr>
    </w:p>
    <w:p>
      <w:pPr>
        <w:jc w:val="both"/>
        <w:ind w:left="900" w:right="860" w:firstLine="384"/>
        <w:spacing w:after="0" w:line="237" w:lineRule="auto"/>
        <w:rPr>
          <w:sz w:val="20"/>
          <w:szCs w:val="20"/>
          <w:color w:val="auto"/>
        </w:rPr>
      </w:pPr>
      <w:r>
        <w:rPr>
          <w:rFonts w:ascii="Times New Roman" w:cs="Times New Roman" w:eastAsia="Times New Roman" w:hAnsi="Times New Roman"/>
          <w:sz w:val="16"/>
          <w:szCs w:val="16"/>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1" w:name="page142"/>
    <w:bookmarkEnd w:id="14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0" w:lineRule="auto"/>
        <w:rPr>
          <w:sz w:val="20"/>
          <w:szCs w:val="20"/>
          <w:color w:val="auto"/>
        </w:rPr>
      </w:pPr>
      <w:r>
        <w:rPr>
          <w:rFonts w:ascii="Times New Roman" w:cs="Times New Roman" w:eastAsia="Times New Roman" w:hAnsi="Times New Roman"/>
          <w:sz w:val="14"/>
          <w:szCs w:val="14"/>
          <w:color w:val="auto"/>
        </w:rPr>
        <w:t>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4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 generates revenue from the following sources: (1) equipment sales, (2) providing services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7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the Company recognizes revenue from contracts with customers using a five-step model, which is described below:</w:t>
      </w:r>
    </w:p>
    <w:p>
      <w:pPr>
        <w:spacing w:after="0" w:line="59" w:lineRule="exact"/>
        <w:rPr>
          <w:sz w:val="20"/>
          <w:szCs w:val="20"/>
          <w:color w:val="auto"/>
        </w:rPr>
      </w:pPr>
    </w:p>
    <w:p>
      <w:pPr>
        <w:ind w:left="1680" w:hanging="389"/>
        <w:spacing w:after="0"/>
        <w:tabs>
          <w:tab w:leader="none" w:pos="1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96"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88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96"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2" w:name="page143"/>
    <w:bookmarkEnd w:id="14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utilizes the cost- 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determines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estimates variable consideration in the form of royalties, revenue share, monthly fees, and service credits at contract inception and it is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years ended December 31, 2022 and 2021, the Company did not have any such financial income.</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3" w:name="page144"/>
    <w:bookmarkEnd w:id="14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8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86"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606- 10-50-14A, including (i) performance obligation is part of a contract that has an original expected duration of one year or less and (ii) the right to invoice practical expedient.</w:t>
      </w:r>
    </w:p>
    <w:p>
      <w:pPr>
        <w:spacing w:after="0" w:line="89"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 -year period. In accordance with ASC 450-20-25, the Company accrues for product warranties when the loss is probable and can be reasonably estimated. The Company maintains a reserve for warranty returns of $553 thousand and $398 thousand for December 31, 2022 and 2021,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capitalizes certain software engineering efforts related to the continued development of Agrify Insights™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4" w:name="page145"/>
    <w:bookmarkEnd w:id="14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68"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2022, tax years 2017 through 2021 remain open for audit by the Internal Revenue Service (“IRS”). The Company has received no notice of audit from the IRS for any of the open tax years.</w:t>
      </w:r>
    </w:p>
    <w:p>
      <w:pPr>
        <w:spacing w:after="0" w:line="233"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4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2021, the Company recorded a deferred tax liability of approximately $25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(“NOL”) carryforwards of approximately $96.7 million and $71.6 million, respectively. There was no federal income tax expense for the years ended December 31, 2022 and 2021 due to the Company’s net losses.</w:t>
      </w:r>
    </w:p>
    <w:p>
      <w:pPr>
        <w:spacing w:after="0" w:line="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94"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5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reverse stock splits effected on January 12, 2021, October 18, 2022 and July 5, 2023. Net loss per share was calculated based on the weighted-average number of Common Stock outstanding.</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August 2020, the FASB issued ASU No. 2020-06, Debt — Debt with Conversion and Other Options (Subtopic 470-20), and Derivatives and Hedging —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5" w:name="page146"/>
    <w:bookmarkEnd w:id="14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scope exceptions for contracts in an entity’s own equity. ASU 2020- 06 is effective for fiscal years beginning after December 15, 2021, including interim periods within those fiscal years. The adoption of this new accounting guidance had no impact on the Company’s consolidated financial position.</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Pending Accounting Pronouncements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June 2016, the FASB issued ASU No. 2016- 13, Financial Instruments — 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does not expect that the application of ASU No. 2016-13 will have a material impact on the presentation of its results of operations, financial position, or disclosures.</w:t>
      </w:r>
    </w:p>
    <w:p>
      <w:pPr>
        <w:spacing w:after="0" w:line="101"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In October 2021, the FASB issued ASU No. 2021 -08,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does not expect that the application of ASU 2021-08 will have a material impact on the presentation of its results of operations, financial position, or disclosures.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recent accounting pronouncements did not or are not believed by management to have a material impact on the Company’s present or future consolidated financial statements.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2 — Revenue and Deferred Revenue</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the timing of revenue recognition:</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r>
      <w:tr>
        <w:trPr>
          <w:trHeight w:val="190"/>
        </w:trPr>
        <w:tc>
          <w:tcPr>
            <w:tcW w:w="2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2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8"/>
        </w:trPr>
        <w:tc>
          <w:tcPr>
            <w:tcW w:w="2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2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23,624</w:t>
            </w:r>
          </w:p>
        </w:tc>
      </w:tr>
      <w:tr>
        <w:trPr>
          <w:trHeight w:val="257"/>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Transferred over time</w:t>
            </w:r>
          </w:p>
        </w:tc>
        <w:tc>
          <w:tcPr>
            <w:tcW w:w="2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36,235</w:t>
            </w:r>
          </w:p>
        </w:tc>
      </w:tr>
      <w:tr>
        <w:trPr>
          <w:trHeight w:val="238"/>
        </w:trPr>
        <w:tc>
          <w:tcPr>
            <w:tcW w:w="2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2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26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F-24</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46" w:name="page147"/>
    <w:bookmarkEnd w:id="14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2 — Revenue and Deferred Revenue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revenue type:</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Cultivation solutions, including ancillary products and services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36,193</w:t>
            </w: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w:t>
            </w:r>
          </w:p>
        </w:tc>
      </w:tr>
      <w:tr>
        <w:trPr>
          <w:trHeight w:val="238"/>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w:t>
      </w:r>
    </w:p>
    <w:p>
      <w:pPr>
        <w:spacing w:after="0" w:line="2" w:lineRule="exact"/>
        <w:rPr>
          <w:sz w:val="20"/>
          <w:szCs w:val="20"/>
          <w:color w:val="auto"/>
        </w:rPr>
      </w:pPr>
    </w:p>
    <w:p>
      <w:pPr>
        <w:ind w:left="900" w:right="920" w:firstLine="6"/>
        <w:spacing w:after="0" w:line="238" w:lineRule="auto"/>
        <w:tabs>
          <w:tab w:leader="none" w:pos="108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obligation is part of a contract that has an original expected duration of one year or less and (ii) the right to invoice practical expedient.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current deferred revenue balance for the years ended December 31, 2022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2021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Recognized</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revenue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Deferred revenue balances primarily consist of customer deposits on the Company’s cultivation and extraction solutions equipment. As of December 31, 2022 and 2021, all of the Company’s deferred revenue balances were reported as current liabilities in the accompanying consolidated balance sheets.</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 the year ended December 31, 2022, the Company recognized $2.7 million of revenue that was deferred during 2021. And, during the year ended December 31, 2021, the Company recognized $120 thousand of revenue that was deferred during 2020.</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3 — Supplemental Consolidated Balance Sheet Information</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Accounts receivable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gross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center"/>
              <w:ind w:left="284"/>
              <w:spacing w:after="0"/>
              <w:rPr>
                <w:sz w:val="20"/>
                <w:szCs w:val="20"/>
                <w:color w:val="auto"/>
              </w:rPr>
            </w:pPr>
            <w:r>
              <w:rPr>
                <w:rFonts w:ascii="Times New Roman" w:cs="Times New Roman" w:eastAsia="Times New Roman" w:hAnsi="Times New Roman"/>
                <w:sz w:val="16"/>
                <w:szCs w:val="16"/>
                <w:color w:val="auto"/>
                <w:w w:val="99"/>
              </w:rPr>
              <w:t>5,675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9"/>
              </w:rPr>
              <w:t>8,637</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center"/>
              <w:ind w:left="264"/>
              <w:spacing w:after="0"/>
              <w:rPr>
                <w:sz w:val="20"/>
                <w:szCs w:val="20"/>
                <w:color w:val="auto"/>
              </w:rPr>
            </w:pPr>
            <w:r>
              <w:rPr>
                <w:rFonts w:ascii="Times New Roman" w:cs="Times New Roman" w:eastAsia="Times New Roman" w:hAnsi="Times New Roman"/>
                <w:sz w:val="16"/>
                <w:szCs w:val="16"/>
                <w:color w:val="auto"/>
                <w:w w:val="98"/>
              </w:rPr>
              <w:t>(4,605)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color w:val="auto"/>
                <w:w w:val="98"/>
              </w:rPr>
              <w:t>(1,415)</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center"/>
              <w:ind w:left="284"/>
              <w:spacing w:after="0"/>
              <w:rPr>
                <w:sz w:val="20"/>
                <w:szCs w:val="20"/>
                <w:color w:val="auto"/>
              </w:rPr>
            </w:pPr>
            <w:r>
              <w:rPr>
                <w:rFonts w:ascii="Times New Roman" w:cs="Times New Roman" w:eastAsia="Times New Roman" w:hAnsi="Times New Roman"/>
                <w:sz w:val="16"/>
                <w:szCs w:val="16"/>
                <w:color w:val="auto"/>
                <w:w w:val="99"/>
              </w:rPr>
              <w:t>1,070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9"/>
              </w:rPr>
              <w:t>7,222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NEIA, a related party, accounted for $3 thousand and $3.5 million of the Company’s accounts receivable, net as of December 31, 2022 and 2021, respectively.</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7" w:name="page148"/>
    <w:bookmarkEnd w:id="14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changes in the allowance for doubtful accounts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doubtful accounts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Allowance for doubtful accounts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Bad debt expense was $3.4 million and $1.2 million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Prepaid materials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 receivables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Deferred costs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6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00" w:hanging="394"/>
        <w:spacing w:after="0" w:line="291" w:lineRule="auto"/>
        <w:tabs>
          <w:tab w:leader="none" w:pos="13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note receivables relate to the current portion of one of its loan receivable balances related to the total turn-key solution (“TTK Solution”) program.</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28"/>
        </w:trPr>
        <w:tc>
          <w:tcPr>
            <w:tcW w:w="3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2"/>
                <w:szCs w:val="22"/>
                <w:color w:val="auto"/>
              </w:rPr>
            </w:pPr>
          </w:p>
        </w:tc>
      </w:tr>
      <w:tr>
        <w:trPr>
          <w:trHeight w:val="225"/>
        </w:trPr>
        <w:tc>
          <w:tcPr>
            <w:tcW w:w="3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 gross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3,776</w:t>
            </w: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(780)</w:t>
            </w:r>
          </w:p>
        </w:tc>
      </w:tr>
      <w:tr>
        <w:trPr>
          <w:trHeight w:val="257"/>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Borders>
              <w:bottom w:val="single" w:sz="8" w:color="CCEEFF"/>
            </w:tcBorders>
          </w:tcPr>
          <w:p>
            <w:pPr>
              <w:spacing w:after="0"/>
              <w:rPr>
                <w:sz w:val="22"/>
                <w:szCs w:val="22"/>
                <w:color w:val="auto"/>
              </w:rPr>
            </w:pPr>
          </w:p>
        </w:tc>
      </w:tr>
      <w:tr>
        <w:trPr>
          <w:trHeight w:val="238"/>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72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3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3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222"/>
              <w:spacing w:after="0"/>
              <w:rPr>
                <w:sz w:val="20"/>
                <w:szCs w:val="20"/>
                <w:color w:val="auto"/>
              </w:rPr>
            </w:pPr>
            <w:r>
              <w:rPr>
                <w:rFonts w:ascii="Times New Roman" w:cs="Times New Roman" w:eastAsia="Times New Roman" w:hAnsi="Times New Roman"/>
                <w:sz w:val="16"/>
                <w:szCs w:val="16"/>
                <w:color w:val="auto"/>
              </w:rPr>
              <w:t>F-26</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48" w:name="page149"/>
    <w:bookmarkEnd w:id="14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Depreciation expense for the years ended December 31, 2022 and 2021 was $1.7 million and $655 thousand,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Non-Current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Other non-current assets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deferred commissions expense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9"/>
                <w:szCs w:val="19"/>
                <w:color w:val="auto"/>
              </w:rPr>
            </w:pPr>
          </w:p>
        </w:tc>
      </w:tr>
      <w:tr>
        <w:trPr>
          <w:trHeight w:val="257"/>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tcPr>
          <w:p>
            <w:pPr>
              <w:spacing w:after="0"/>
              <w:rPr>
                <w:sz w:val="22"/>
                <w:szCs w:val="22"/>
                <w:color w:val="auto"/>
              </w:rPr>
            </w:pPr>
          </w:p>
        </w:tc>
      </w:tr>
      <w:tr>
        <w:trPr>
          <w:trHeight w:val="238"/>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0" w:type="dxa"/>
            <w:vAlign w:val="bottom"/>
          </w:tcPr>
          <w:p>
            <w:pPr>
              <w:spacing w:after="0"/>
              <w:rPr>
                <w:sz w:val="20"/>
                <w:szCs w:val="20"/>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as of December 31, 2022 and 2021:</w:t>
      </w:r>
    </w:p>
    <w:p>
      <w:pPr>
        <w:spacing w:after="0" w:line="174"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payable</w:t>
            </w:r>
            <w:r>
              <w:rPr>
                <w:rFonts w:ascii="Times New Roman" w:cs="Times New Roman" w:eastAsia="Times New Roman" w:hAnsi="Times New Roman"/>
                <w:sz w:val="19"/>
                <w:szCs w:val="19"/>
                <w:color w:val="auto"/>
                <w:vertAlign w:val="superscript"/>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20" w:type="dxa"/>
            <w:vAlign w:val="bottom"/>
          </w:tcPr>
          <w:p>
            <w:pPr>
              <w:spacing w:after="0"/>
              <w:rPr>
                <w:sz w:val="21"/>
                <w:szCs w:val="21"/>
                <w:color w:val="auto"/>
              </w:rPr>
            </w:pPr>
          </w:p>
        </w:tc>
      </w:tr>
      <w:tr>
        <w:trPr>
          <w:trHeight w:val="26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acquisition liabilities</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9,198</w:t>
            </w: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construction costs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related fees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2,285</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inventory purchases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warranty costs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expense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Pr>
          <w:p>
            <w:pPr>
              <w:spacing w:after="0"/>
              <w:rPr>
                <w:sz w:val="21"/>
                <w:szCs w:val="21"/>
                <w:color w:val="auto"/>
              </w:rPr>
            </w:pPr>
          </w:p>
        </w:tc>
      </w:tr>
      <w:tr>
        <w:trPr>
          <w:trHeight w:val="257"/>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22"/>
                <w:szCs w:val="22"/>
                <w:color w:val="auto"/>
              </w:rPr>
            </w:pPr>
          </w:p>
        </w:tc>
      </w:tr>
      <w:tr>
        <w:trPr>
          <w:trHeight w:val="23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28,764</w:t>
            </w:r>
          </w:p>
        </w:tc>
        <w:tc>
          <w:tcPr>
            <w:tcW w:w="20" w:type="dxa"/>
            <w:vAlign w:val="bottom"/>
          </w:tcPr>
          <w:p>
            <w:pPr>
              <w:spacing w:after="0"/>
              <w:rPr>
                <w:sz w:val="20"/>
                <w:szCs w:val="20"/>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58" w:lineRule="auto"/>
        <w:tabs>
          <w:tab w:leader="none" w:pos="13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jc w:val="both"/>
        <w:ind w:left="1300" w:right="900" w:hanging="394"/>
        <w:spacing w:after="0" w:line="265" w:lineRule="auto"/>
        <w:tabs>
          <w:tab w:leader="none" w:pos="13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acquisition liabilities include both the contingent consideration and the value of held -back Common Stock associated with the 2022 acquisition of Lab Society and the 2021 acquisitions of PurePressure, Cascade, and Precision.</w:t>
      </w: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Warranty Costs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activity related to the Company’s accrued liability for estimated future warranty costs: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Liabilities accrued for warranties issued during period</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end of period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F-27</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9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49" w:name="page150"/>
    <w:bookmarkEnd w:id="14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4 — Fair Value Measures</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Values of Assets and Liabilities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2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Level 1: Observable inputs such as quoted prices for identical assets or liabilities in active markets.</w:t>
      </w:r>
    </w:p>
    <w:p>
      <w:pPr>
        <w:spacing w:after="0" w:line="152" w:lineRule="exact"/>
        <w:rPr>
          <w:sz w:val="20"/>
          <w:szCs w:val="20"/>
          <w:color w:val="auto"/>
        </w:rPr>
      </w:pPr>
    </w:p>
    <w:p>
      <w:pPr>
        <w:ind w:left="1880" w:right="920" w:hanging="599"/>
        <w:spacing w:after="0" w:line="259" w:lineRule="auto"/>
        <w:rPr>
          <w:sz w:val="20"/>
          <w:szCs w:val="20"/>
          <w:color w:val="auto"/>
        </w:rPr>
      </w:pPr>
      <w:r>
        <w:rPr>
          <w:rFonts w:ascii="Times New Roman" w:cs="Times New Roman" w:eastAsia="Times New Roman" w:hAnsi="Times New Roman"/>
          <w:sz w:val="16"/>
          <w:szCs w:val="16"/>
          <w:color w:val="auto"/>
        </w:rPr>
        <w:t>Level 2: Other inputs that are observable directly or indirectly, such as quoted prices for similar instruments in active markets or for similar markets that are not active.</w:t>
      </w:r>
    </w:p>
    <w:p>
      <w:pPr>
        <w:spacing w:after="0" w:line="119" w:lineRule="exact"/>
        <w:rPr>
          <w:sz w:val="20"/>
          <w:szCs w:val="20"/>
          <w:color w:val="auto"/>
        </w:rPr>
      </w:pPr>
    </w:p>
    <w:p>
      <w:pPr>
        <w:ind w:left="1880" w:right="920" w:hanging="599"/>
        <w:spacing w:after="0" w:line="259" w:lineRule="auto"/>
        <w:rPr>
          <w:sz w:val="20"/>
          <w:szCs w:val="20"/>
          <w:color w:val="auto"/>
        </w:rPr>
      </w:pPr>
      <w:r>
        <w:rPr>
          <w:rFonts w:ascii="Times New Roman" w:cs="Times New Roman" w:eastAsia="Times New Roman" w:hAnsi="Times New Roman"/>
          <w:sz w:val="16"/>
          <w:szCs w:val="16"/>
          <w:color w:val="auto"/>
        </w:rPr>
        <w:t>Level 3: Unobservable inputs for which there is little or no market data which require the Company to develop its own assumptions about how market participants would price the asset or liability.</w:t>
      </w:r>
    </w:p>
    <w:p>
      <w:pPr>
        <w:spacing w:after="0" w:line="15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At December 31, 2022 and 2021, the Company’s assets and liabilities measured at fair value on a recurring basis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9"/>
          </w:tcPr>
          <w:p>
            <w:pPr>
              <w:jc w:val="center"/>
              <w:ind w:left="18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9"/>
          </w:tcPr>
          <w:p>
            <w:pPr>
              <w:jc w:val="center"/>
              <w:ind w:left="30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142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1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8"/>
        </w:trPr>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Mutual funds (included in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equivalents in 2021)</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9,961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34,589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0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44,728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6,137</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January 2022 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4"/>
              </w:rPr>
              <w:t>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March 2022 Warrants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34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August 2022 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December 2022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Warrants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4"/>
              </w:rPr>
              <w:t>5,854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5,854</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900" w:type="dxa"/>
            <w:vAlign w:val="bottom"/>
            <w:vMerge w:val="continue"/>
          </w:tcPr>
          <w:p>
            <w:pPr>
              <w:spacing w:after="0"/>
              <w:rPr>
                <w:sz w:val="20"/>
                <w:szCs w:val="20"/>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5,985 $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6,137</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92" w:lineRule="exact"/>
        <w:rPr>
          <w:sz w:val="20"/>
          <w:szCs w:val="20"/>
          <w:color w:val="auto"/>
        </w:rPr>
      </w:pPr>
    </w:p>
    <w:p>
      <w:pPr>
        <w:ind w:left="1680" w:right="920" w:hanging="389"/>
        <w:spacing w:after="0" w:line="259" w:lineRule="auto"/>
        <w:tabs>
          <w:tab w:leader="none" w:pos="16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accounts receivable, accounts payable, accrued expenses, and deferred revenue liabilities approximate their fair values based on the short-term nature of these instruments.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0" w:name="page151"/>
    <w:bookmarkEnd w:id="15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680" w:right="900" w:hanging="389"/>
        <w:spacing w:after="0" w:line="259" w:lineRule="auto"/>
        <w:tabs>
          <w:tab w:leader="none" w:pos="1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classified as current held-to-maturity securities are recorded at amortized cost, which at December 31, 2022, approximated fair value.</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deferred consideration was recorded in connection with acquisitions during the fourth quarter of fiscal 2021 and the first quarter of fiscal 2022 using an estimated fair value discount at the time of the transactions. As of December 31, 2022 and 2021, the carrying value of the deferred consideration approximated fair value.</w:t>
      </w:r>
    </w:p>
    <w:p>
      <w:pPr>
        <w:spacing w:after="0" w:line="95"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As of December 31, 2022 and 2021,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composition of the Company’s marketable securities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9,961</w:t>
            </w:r>
          </w:p>
        </w:tc>
      </w:tr>
      <w:tr>
        <w:trPr>
          <w:trHeight w:val="26"/>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20" w:type="dxa"/>
            <w:vAlign w:val="bottom"/>
          </w:tcPr>
          <w:p>
            <w:pPr>
              <w:spacing w:after="0"/>
              <w:rPr>
                <w:sz w:val="21"/>
                <w:szCs w:val="21"/>
                <w:color w:val="auto"/>
              </w:rPr>
            </w:pPr>
          </w:p>
        </w:tc>
      </w:tr>
      <w:tr>
        <w:trPr>
          <w:trHeight w:val="257"/>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4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44,550</w:t>
            </w:r>
          </w:p>
        </w:tc>
        <w:tc>
          <w:tcPr>
            <w:tcW w:w="20" w:type="dxa"/>
            <w:vAlign w:val="bottom"/>
          </w:tcPr>
          <w:p>
            <w:pPr>
              <w:spacing w:after="0"/>
              <w:rPr>
                <w:sz w:val="20"/>
                <w:szCs w:val="20"/>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 December 31, 2022, marketable securities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8"/>
        </w:trPr>
        <w:tc>
          <w:tcPr>
            <w:tcW w:w="3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 (due within 1 year)</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8"/>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6"/>
        </w:trPr>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8"/>
        </w:trPr>
        <w:tc>
          <w:tcPr>
            <w:tcW w:w="368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 December 31, 2021, marketable securities consisted of the following:</w:t>
      </w:r>
    </w:p>
    <w:p>
      <w:pPr>
        <w:sectPr>
          <w:pgSz w:w="11900" w:h="16840" w:orient="portrait"/>
          <w:cols w:equalWidth="0" w:num="1">
            <w:col w:w="9020"/>
          </w:cols>
          <w:pgMar w:left="1440" w:top="557" w:right="1440" w:bottom="1440" w:gutter="0" w:footer="0" w:header="0"/>
        </w:sectPr>
      </w:pPr>
    </w:p>
    <w:p>
      <w:pPr>
        <w:spacing w:after="0" w:line="3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p>
      <w:pPr>
        <w:spacing w:after="0" w:line="2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24765</wp:posOffset>
            </wp:positionV>
            <wp:extent cx="4573270" cy="175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3270"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84" w:lineRule="exact"/>
        <w:rPr>
          <w:sz w:val="20"/>
          <w:szCs w:val="20"/>
          <w:color w:val="auto"/>
        </w:rPr>
      </w:pPr>
    </w:p>
    <w:p>
      <w:pPr>
        <w:sectPr>
          <w:pgSz w:w="11900" w:h="16840" w:orient="portrait"/>
          <w:cols w:equalWidth="0" w:num="4">
            <w:col w:w="4220" w:space="720"/>
            <w:col w:w="660" w:space="460"/>
            <w:col w:w="660" w:space="520"/>
            <w:col w:w="1780"/>
          </w:cols>
          <w:pgMar w:left="1440" w:top="557"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6"/>
          <w:szCs w:val="16"/>
          <w:b w:val="1"/>
          <w:bCs w:val="1"/>
          <w:color w:val="auto"/>
        </w:rPr>
        <w:t>Current marketable securities (due within 1 year)</w:t>
      </w:r>
    </w:p>
    <w:p>
      <w:pPr>
        <w:spacing w:after="0" w:line="82"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9,961</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9,952</w:t>
            </w:r>
          </w:p>
        </w:tc>
      </w:tr>
      <w:tr>
        <w:trPr>
          <w:trHeight w:val="26"/>
        </w:trPr>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34,517</w:t>
            </w:r>
          </w:p>
        </w:tc>
        <w:tc>
          <w:tcPr>
            <w:tcW w:w="20" w:type="dxa"/>
            <w:vAlign w:val="bottom"/>
          </w:tcPr>
          <w:p>
            <w:pPr>
              <w:spacing w:after="0"/>
              <w:rPr>
                <w:sz w:val="22"/>
                <w:szCs w:val="22"/>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34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44,550</w:t>
            </w:r>
          </w:p>
        </w:tc>
        <w:tc>
          <w:tcPr>
            <w:tcW w:w="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44,469</w:t>
            </w:r>
          </w:p>
        </w:tc>
        <w:tc>
          <w:tcPr>
            <w:tcW w:w="2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2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F-29</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type w:val="continuous"/>
        </w:sectPr>
      </w:pPr>
    </w:p>
    <w:bookmarkStart w:id="151" w:name="page152"/>
    <w:bookmarkEnd w:id="15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118"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8 — Business Combinations, included elsewhere in the notes to the consolidated financial statements.</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6,137</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contingent consideration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and Common Stock issued for contingent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Contingent consideration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included contingent consideration within accrued expenses and other current liabilities in its consolidated balance sheets as of December 31, 2022 and 2021.</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See below for additional information related to each acquisition’s contingent consideration.</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PurePressure</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and their second earn -out by approximately $170 thousand. As required by ASC Topic 805 Business Combination (“ASC 805”), the change in contingent consideration was recorded as a reduction in operating expenses during the third and fourth quarters of 2022, respectively.</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Lab Society</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$ 1.0 million and their second earn-out by approximately $484 thousand. As required by ASC 805, the change in contingent consideration was recorded as a reduction in operating expenses during the second and fourth quarters of 2022, respectively.</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Precision and Cascade</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2" w:name="page153"/>
    <w:bookmarkEnd w:id="15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$121 thousand to reflect the final contingent consideration amount due. This amount was recorded as an increase in operating expenses during the second quarter of 2022. During the year ended December 31, 2022, the Company made the final payment on the contingent consideration of approximately $5.6 million to the members of Precision and Cascade. Additional information regarding the Company’s final payment to Precision and Cascade may be found in Note 8 — Business Combinations,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estimated fair value of the warrant liabilities on December 31, 2022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However, inherent uncertainties are involved. If factors or assumptions change, the estimated fair values could be materially different.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January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3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2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1,496.00</w:t>
            </w:r>
          </w:p>
        </w:tc>
      </w:tr>
      <w:tr>
        <w:trPr>
          <w:trHeight w:val="26"/>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4.58</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6"/>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2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6"/>
        </w:trPr>
        <w:tc>
          <w:tcPr>
            <w:tcW w:w="40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(10,965)</w:t>
            </w:r>
          </w:p>
        </w:tc>
      </w:tr>
      <w:tr>
        <w:trPr>
          <w:trHeight w:val="231"/>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March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7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37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430.00</w:t>
            </w:r>
          </w:p>
        </w:tc>
      </w:tr>
      <w:tr>
        <w:trPr>
          <w:trHeight w:val="26"/>
        </w:trPr>
        <w:tc>
          <w:tcPr>
            <w:tcW w:w="2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2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3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582"/>
              <w:spacing w:after="0"/>
              <w:rPr>
                <w:sz w:val="20"/>
                <w:szCs w:val="20"/>
                <w:color w:val="auto"/>
              </w:rPr>
            </w:pPr>
            <w:r>
              <w:rPr>
                <w:rFonts w:ascii="Times New Roman" w:cs="Times New Roman" w:eastAsia="Times New Roman" w:hAnsi="Times New Roman"/>
                <w:sz w:val="16"/>
                <w:szCs w:val="16"/>
                <w:color w:val="auto"/>
              </w:rPr>
              <w:t>F-31</w:t>
            </w:r>
          </w:p>
        </w:tc>
        <w:tc>
          <w:tcPr>
            <w:tcW w:w="7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53" w:name="page154"/>
    <w:bookmarkEnd w:id="15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29,522</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(31,133)</w:t>
            </w: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Component of loss on debt extinguishment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1,645</w:t>
            </w:r>
          </w:p>
        </w:tc>
      </w:tr>
      <w:tr>
        <w:trPr>
          <w:trHeight w:val="23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August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4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24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246.00</w:t>
            </w:r>
          </w:p>
        </w:tc>
      </w:tr>
      <w:tr>
        <w:trPr>
          <w:trHeight w:val="26"/>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2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40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(9,876)</w:t>
            </w: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 settled in period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r>
      <w:tr>
        <w:trPr>
          <w:trHeight w:val="23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December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7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37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13.00</w:t>
            </w:r>
          </w:p>
        </w:tc>
      </w:tr>
      <w:tr>
        <w:trPr>
          <w:trHeight w:val="26"/>
        </w:trPr>
        <w:tc>
          <w:tcPr>
            <w:tcW w:w="2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4.98</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r>
      <w:tr>
        <w:trPr>
          <w:trHeight w:val="26"/>
        </w:trPr>
        <w:tc>
          <w:tcPr>
            <w:tcW w:w="2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3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622"/>
              <w:spacing w:after="0"/>
              <w:rPr>
                <w:sz w:val="20"/>
                <w:szCs w:val="20"/>
                <w:color w:val="auto"/>
              </w:rPr>
            </w:pPr>
            <w:r>
              <w:rPr>
                <w:rFonts w:ascii="Times New Roman" w:cs="Times New Roman" w:eastAsia="Times New Roman" w:hAnsi="Times New Roman"/>
                <w:sz w:val="16"/>
                <w:szCs w:val="16"/>
                <w:color w:val="auto"/>
              </w:rPr>
              <w:t>F-32</w:t>
            </w:r>
          </w:p>
        </w:tc>
        <w:tc>
          <w:tcPr>
            <w:tcW w:w="74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54" w:name="page155"/>
    <w:bookmarkEnd w:id="15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r>
      <w:tr>
        <w:trPr>
          <w:trHeight w:val="28"/>
        </w:trPr>
        <w:tc>
          <w:tcPr>
            <w:tcW w:w="5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8"/>
        </w:trPr>
        <w:tc>
          <w:tcPr>
            <w:tcW w:w="5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4,924</w:t>
            </w:r>
          </w:p>
        </w:tc>
      </w:tr>
      <w:tr>
        <w:trPr>
          <w:trHeight w:val="26"/>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0" w:type="dxa"/>
            <w:vAlign w:val="bottom"/>
          </w:tcPr>
          <w:p>
            <w:pPr>
              <w:spacing w:after="0"/>
              <w:rPr>
                <w:sz w:val="22"/>
                <w:szCs w:val="22"/>
                <w:color w:val="auto"/>
              </w:rPr>
            </w:pPr>
          </w:p>
        </w:tc>
      </w:tr>
      <w:tr>
        <w:trPr>
          <w:trHeight w:val="23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5,854</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5 — Loans Receivable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portion of the capital raised from the Company’s IPO was allocated to launch the Company’s TTK Solution program. The TTK Solution is the industry’s first -of-its-kind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9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recorded $11.3 million in loan reserves during the fourth quarter of 2022, related to three customer balances that were fully or partially reserved.</w:t>
      </w:r>
    </w:p>
    <w:p>
      <w:pPr>
        <w:spacing w:after="0" w:line="83"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02"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December 31, 2022 and 2021.</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5" w:name="page156"/>
    <w:bookmarkEnd w:id="15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5 — Loans Receivable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breakdown of loans receivable by customer as of December 31, 2022 and 2021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Bud &amp; Mary’s – TTK Solution</w:t>
            </w:r>
          </w:p>
        </w:tc>
        <w:tc>
          <w:tcPr>
            <w:tcW w:w="3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20" w:type="dxa"/>
            <w:vAlign w:val="bottom"/>
          </w:tcPr>
          <w:p>
            <w:pPr>
              <w:spacing w:after="0"/>
              <w:rPr>
                <w:sz w:val="19"/>
                <w:szCs w:val="19"/>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Greenstone – TTK Solution – Greenstone is a related party because one of the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w w:val="98"/>
              </w:rPr>
              <w:t>Company’s former Agrify Brands employees and its VP of Engineering had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 minority ownership</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w:t>
            </w:r>
          </w:p>
        </w:tc>
        <w:tc>
          <w:tcPr>
            <w:tcW w:w="20" w:type="dxa"/>
            <w:vAlign w:val="bottom"/>
          </w:tcPr>
          <w:p>
            <w:pPr>
              <w:spacing w:after="0"/>
              <w:rPr>
                <w:sz w:val="17"/>
                <w:szCs w:val="17"/>
                <w:color w:val="auto"/>
              </w:rPr>
            </w:pPr>
          </w:p>
        </w:tc>
      </w:tr>
      <w:tr>
        <w:trPr>
          <w:trHeight w:val="26"/>
        </w:trPr>
        <w:tc>
          <w:tcPr>
            <w:tcW w:w="4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136 – TTK Solution</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20" w:type="dxa"/>
            <w:vAlign w:val="bottom"/>
          </w:tcPr>
          <w:p>
            <w:pPr>
              <w:spacing w:after="0"/>
              <w:rPr>
                <w:sz w:val="21"/>
                <w:szCs w:val="21"/>
                <w:color w:val="auto"/>
              </w:rPr>
            </w:pP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125 – TTK Solution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6"/>
        </w:trPr>
        <w:tc>
          <w:tcPr>
            <w:tcW w:w="4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71 – Non-TTK Solution</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0" w:type="dxa"/>
            <w:vAlign w:val="bottom"/>
          </w:tcPr>
          <w:p>
            <w:pPr>
              <w:spacing w:after="0"/>
              <w:rPr>
                <w:sz w:val="22"/>
                <w:szCs w:val="22"/>
                <w:color w:val="auto"/>
              </w:rPr>
            </w:pPr>
          </w:p>
        </w:tc>
      </w:tr>
      <w:tr>
        <w:trPr>
          <w:trHeight w:val="264"/>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140 – TTK Solution</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TTK Solution – Allowance for doubtful accounts</w:t>
            </w:r>
            <w:r>
              <w:rPr>
                <w:rFonts w:ascii="Times New Roman" w:cs="Times New Roman" w:eastAsia="Times New Roman" w:hAnsi="Times New Roman"/>
                <w:sz w:val="19"/>
                <w:szCs w:val="19"/>
                <w:color w:val="auto"/>
                <w:vertAlign w:val="superscript"/>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(33,050)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r>
      <w:tr>
        <w:trPr>
          <w:trHeight w:val="231"/>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loan receivable</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20" w:hanging="394"/>
        <w:spacing w:after="0" w:line="262" w:lineRule="auto"/>
        <w:tabs>
          <w:tab w:leader="none" w:pos="13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loan receivable is included within Note 3 — Supplemental Consolidated Balance Sheet Information, included elsewhere in the notes to the consolidated financial statements.</w:t>
      </w:r>
    </w:p>
    <w:p>
      <w:pPr>
        <w:ind w:left="1300" w:hanging="394"/>
        <w:spacing w:after="0"/>
        <w:tabs>
          <w:tab w:leader="none" w:pos="13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written off at December 31, 2022 due to the cancellation of this TTK Solution project.</w:t>
      </w:r>
    </w:p>
    <w:p>
      <w:pPr>
        <w:spacing w:after="0" w:line="7" w:lineRule="exact"/>
        <w:rPr>
          <w:rFonts w:ascii="Times New Roman" w:cs="Times New Roman" w:eastAsia="Times New Roman" w:hAnsi="Times New Roman"/>
          <w:sz w:val="14"/>
          <w:szCs w:val="14"/>
          <w:color w:val="auto"/>
        </w:rPr>
      </w:pPr>
    </w:p>
    <w:p>
      <w:pPr>
        <w:jc w:val="both"/>
        <w:ind w:left="1300" w:right="920" w:hanging="394"/>
        <w:spacing w:after="0" w:line="254" w:lineRule="auto"/>
        <w:tabs>
          <w:tab w:leader="none" w:pos="13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established an allowance for doubtful accounts of approximately $14.7 million related to Bud &amp; Mary’s ongoing litigation. Approximately $12.5 million relates to Greenstone, which is a related party because one of the Company’s former Agrify Brands employees and its VP of Engineering had a minority ownership, consisting of capital advances, accrued interest, and VFUs sales. Approximately $4.5 million relates to Hannah, and $1.4 million relates to WhiteCloud.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As of December 31,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6 — Inventory</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with cost principally determined by the weighted-average cost method on a first- in, first-out basis. Such costs include the acquisition cost for raw materials and operating supplies. The Company’s standard payment terms with suppliers may require making payments in advance of delivery of the Company’s products. The Company’s prepaid inventory is a short -term, non-interest-bearing asset that is applied to the purchase of products once they are delivered.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Inventory consisted of the following as of December 31, 2022 and 2021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5"/>
              </w:rPr>
              <w:t>24,960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6,393</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15,506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2,237</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5"/>
              </w:rPr>
              <w:t>13,352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 gross</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53,818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w:t>
            </w:r>
          </w:p>
        </w:tc>
        <w:tc>
          <w:tcPr>
            <w:tcW w:w="2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6"/>
                <w:szCs w:val="16"/>
                <w:color w:val="auto"/>
                <w:w w:val="98"/>
              </w:rPr>
              <w:t>(32,422)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Total inventory, net</w:t>
            </w:r>
          </w:p>
        </w:tc>
        <w:tc>
          <w:tcPr>
            <w:tcW w:w="2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20" w:type="dxa"/>
            <w:vAlign w:val="bottom"/>
            <w:vMerge w:val="continue"/>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21,396</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1320"/>
              <w:spacing w:after="0"/>
              <w:rPr>
                <w:sz w:val="20"/>
                <w:szCs w:val="20"/>
                <w:color w:val="auto"/>
              </w:rPr>
            </w:pPr>
            <w:r>
              <w:rPr>
                <w:rFonts w:ascii="Times New Roman" w:cs="Times New Roman" w:eastAsia="Times New Roman" w:hAnsi="Times New Roman"/>
                <w:sz w:val="16"/>
                <w:szCs w:val="16"/>
                <w:color w:val="auto"/>
              </w:rPr>
              <w:t>F-34</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6" w:name="page157"/>
    <w:bookmarkEnd w:id="15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6 — Inventory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Inventory Reserves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inventory reserve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beginning of period</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inventory 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61"/>
        </w:trPr>
        <w:tc>
          <w:tcPr>
            <w:tcW w:w="20" w:type="dxa"/>
            <w:vAlign w:val="bottom"/>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end of period</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7 — Goodwill and Intangible Assets, Net</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goodwill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beginning of period</w:t>
            </w:r>
          </w:p>
        </w:tc>
        <w:tc>
          <w:tcPr>
            <w:tcW w:w="2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38"/>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 acquired during period</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49,458</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 purchase accounting adjustment</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 impairment loss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end of period</w:t>
            </w:r>
          </w:p>
        </w:tc>
        <w:tc>
          <w:tcPr>
            <w:tcW w:w="188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20" w:type="dxa"/>
            <w:vAlign w:val="bottom"/>
            <w:vMerge w:val="continue"/>
            <w:shd w:val="clear" w:color="auto" w:fill="CCEEFF"/>
          </w:tcPr>
          <w:p>
            <w:pPr>
              <w:spacing w:after="0"/>
              <w:rPr>
                <w:sz w:val="20"/>
                <w:szCs w:val="20"/>
                <w:color w:val="auto"/>
              </w:rPr>
            </w:pPr>
          </w:p>
        </w:tc>
        <w:tc>
          <w:tcPr>
            <w:tcW w:w="2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F-35</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7" w:name="page158"/>
    <w:bookmarkEnd w:id="15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7 — Goodwill and Intangible Assets, Net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2022 were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2560" w:type="dxa"/>
            <w:vAlign w:val="bottom"/>
            <w:gridSpan w:val="11"/>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Expense and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Impairments,</w:t>
            </w: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(2,508)</w:t>
            </w:r>
          </w:p>
        </w:tc>
        <w:tc>
          <w:tcPr>
            <w:tcW w:w="2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(2,735)</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(6,587)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(6,152)</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Non-compete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website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60" w:type="dxa"/>
            <w:vAlign w:val="bottom"/>
          </w:tcPr>
          <w:p>
            <w:pPr>
              <w:spacing w:after="0"/>
              <w:rPr>
                <w:sz w:val="20"/>
                <w:szCs w:val="20"/>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(16,534)</w:t>
            </w: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2021 was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9"/>
          </w:tcPr>
          <w:p>
            <w:pPr>
              <w:ind w:left="24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10"/>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 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vMerge w:val="continue"/>
          </w:tcPr>
          <w:p>
            <w:pPr>
              <w:spacing w:after="0"/>
              <w:rPr>
                <w:sz w:val="11"/>
                <w:szCs w:val="11"/>
                <w:color w:val="auto"/>
              </w:rPr>
            </w:pPr>
          </w:p>
        </w:tc>
        <w:tc>
          <w:tcPr>
            <w:tcW w:w="144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January 1, December 31,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 developed</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Non-compete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 website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4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2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Amortization expense recorded in general and administrative expense in the consolidated statements of operations were $1.4 million and $655 thousand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8 — Business Combinations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Lab Society</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92"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8" w:name="page159"/>
    <w:bookmarkEnd w:id="15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Transaction and related costs, consisting primarily of professional fees, related to the acquisition, totaled approximately $66 thousand and $0 for the years ended December 31, 2022 and 2021, respectively. All transaction and related costs were expensed as incurred and are included in general and administrative expense.</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prepared purchase price allocations for the business combination. 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proceeds</w:t>
            </w:r>
          </w:p>
        </w:tc>
        <w:tc>
          <w:tcPr>
            <w:tcW w:w="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expenses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buyer shares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Holdback buyer shares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Earn-out consideration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63"/>
        </w:trPr>
        <w:tc>
          <w:tcPr>
            <w:tcW w:w="6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 – of-use assets, net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color w:val="auto"/>
              </w:rPr>
              <w:t>F-37</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9" w:name="page160"/>
    <w:bookmarkEnd w:id="15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1,432</w:t>
            </w: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 years</w:t>
            </w:r>
          </w:p>
        </w:tc>
      </w:tr>
      <w:tr>
        <w:trPr>
          <w:trHeight w:val="257"/>
        </w:trPr>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6 years</w:t>
            </w:r>
          </w:p>
        </w:tc>
      </w:tr>
      <w:tr>
        <w:trPr>
          <w:trHeight w:val="238"/>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2,462</w:t>
            </w:r>
          </w:p>
        </w:tc>
        <w:tc>
          <w:tcPr>
            <w:tcW w:w="1100" w:type="dxa"/>
            <w:vAlign w:val="bottom"/>
            <w:shd w:val="clear" w:color="auto" w:fill="CCEEFF"/>
          </w:tcPr>
          <w:p>
            <w:pPr>
              <w:spacing w:after="0"/>
              <w:rPr>
                <w:sz w:val="20"/>
                <w:szCs w:val="20"/>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6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01"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amount of revenue of Lab Society included in the consolidated statements of operations from the acquisition date of February 1, 2022 to December 31, 2022 was $4.5 million.</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Precision and Cascade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Subject to the terms and conditions set forth in the Purchase Agreement,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Precision merged (the “Merger”) with and into a newly-formed wholly-owned subsidiary of the Company, Precision Extraction NewCo, LLC.</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aggregate consideration for the Interest Purchase and the Merger consisted of the sum of $30 million in cash, plus consideration payable to holders of outstanding Sinclair equity awards, subject to certain adjustments for working capital, cash, and indebtedness, payable in connection with the Interest Purchase; the number of shares of Common Stock, subject to adjustment, equal to the quotient of $20.0 million divided by the volume weighted average price per share of Common Stock on The Nasdaq Capital Market for the 30 consecutive trading days ending on the Execution Date (the “VWAP Price”), issuable in connection with the Merger; Holdback Buyer Shares; and the True-Up Buyer Shares, issuable in connection with the Merger.</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0" w:name="page161"/>
    <w:bookmarkEnd w:id="16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withheld 588 shares issuable to certain members (the “Holdback Buyer Shares”) for the purpose of securing any post-closing adjustment owed to the Company and any claim for indemnification or payment of damages to which the Company may be entitled under the Purchase Agreement. These shares were not released as of December 31,2022.</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Purchase Agreement included customary post-closing adjustments, representations and warranties, and covenants of the parties. The Sinclair Members became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On August 17, 2022, the Company made the final Aggregate True-up Payment of approximately $5.6 million, of which $3.3 million was paid in cash and 435 True-Up Buyer Shares were released to the Sinclair Members, and the Company received $1.4 million from the Adjustment Escrow Amount, and the remaining $1.1 million balance of the Adjustment Escrow Amount became part of the Indemnity Escrow Amount.</w:t>
      </w:r>
    </w:p>
    <w:p>
      <w:pPr>
        <w:spacing w:after="0" w:line="101"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Transaction and related costs, consisting primarily of professional fees, related to the acquisition, totaled approximately $63 thousand and $4.0 million for the years ended December 31, 2022 and 2021, respectively. All transaction and related costs were expensed as incurred and are included in general and administrative expense.</w:t>
      </w:r>
    </w:p>
    <w:p>
      <w:pPr>
        <w:spacing w:after="0" w:line="59"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to Sinclair Members at the close</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contributed to escrow accounts at the close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excess net working capital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issued at the close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 value of contingent consideration to be achieved</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51"/>
        </w:trPr>
        <w:tc>
          <w:tcPr>
            <w:tcW w:w="6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49,918</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6,761</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Capitalized web costs, net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(9,223)</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9,889</w:t>
            </w: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45,002</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F-39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1" w:name="page162"/>
    <w:bookmarkEnd w:id="16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 to 7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Non-compete agreements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 to 8 years</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PurePressure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Acquisition consisted of $4.0 million in cash, subject to certain adjustments for working capital, cash, and indebtedness of PurePressure at closing; 1,646 shares of Common Stock (the “Buyer Shares”); and the Earn-out Consideration (as defined below), to the extent earned.</w:t>
      </w:r>
    </w:p>
    <w:p>
      <w:pPr>
        <w:spacing w:after="0" w:line="92"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72 of the Holdback Buyer Shares were forfeited after the finalization of the net working capital settlement. On January 31, 2023, the remaining 372 Holdback Buyer Shares were released, including 6 Holdback Buyer Shares that were withheld to cover a tax indemnification claim in accordance with the Purchase Agreement.</w:t>
      </w:r>
    </w:p>
    <w:p>
      <w:pPr>
        <w:spacing w:after="0" w:line="73"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2" w:name="page163"/>
    <w:bookmarkEnd w:id="16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payable by issuing shares of Common Stock (collectively, the “Earn- out Consideration”). Additional information regarding the Company’s contingent consideration arrangements may be found in Note 4 — Fair Value Measures, included elsewhere in the notes to the consolidated financial statements.</w:t>
      </w:r>
    </w:p>
    <w:p>
      <w:pPr>
        <w:spacing w:after="0" w:line="92"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customary limitations,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Transaction and related costs, consisting primarily of professional fees, related to the acquisition, totaled approximately $563 thousand and $0 for the years ended December 31, 2022 and 2021, respectively. All transaction and related costs were expensed as incurred and are included in general and administrative expense.</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prepared purchase price allocations for the business combination. 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2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proceeds</w:t>
            </w:r>
          </w:p>
        </w:tc>
        <w:tc>
          <w:tcPr>
            <w:tcW w:w="318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Indebtedness paid</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Transaction expenses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Closing buyer shares</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2,211</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Holdback buyer shares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Earn-out consideration</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2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2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7,950</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28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80" w:type="dxa"/>
            <w:vAlign w:val="bottom"/>
            <w:vMerge w:val="continue"/>
          </w:tcPr>
          <w:p>
            <w:pPr>
              <w:spacing w:after="0"/>
              <w:rPr>
                <w:sz w:val="23"/>
                <w:szCs w:val="23"/>
                <w:color w:val="auto"/>
              </w:rPr>
            </w:pPr>
          </w:p>
        </w:tc>
        <w:tc>
          <w:tcPr>
            <w:tcW w:w="2820" w:type="dxa"/>
            <w:vAlign w:val="bottom"/>
            <w:gridSpan w:val="2"/>
          </w:tcPr>
          <w:p>
            <w:pPr>
              <w:spacing w:after="0"/>
              <w:rPr>
                <w:sz w:val="23"/>
                <w:szCs w:val="23"/>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7,647</w:t>
            </w:r>
          </w:p>
        </w:tc>
        <w:tc>
          <w:tcPr>
            <w:tcW w:w="0" w:type="dxa"/>
            <w:vAlign w:val="bottom"/>
          </w:tcPr>
          <w:p>
            <w:pPr>
              <w:spacing w:after="0"/>
              <w:rPr>
                <w:sz w:val="1"/>
                <w:szCs w:val="1"/>
                <w:color w:val="auto"/>
              </w:rPr>
            </w:pPr>
          </w:p>
        </w:tc>
      </w:tr>
      <w:tr>
        <w:trPr>
          <w:trHeight w:val="241"/>
        </w:trPr>
        <w:tc>
          <w:tcPr>
            <w:tcW w:w="3280" w:type="dxa"/>
            <w:vAlign w:val="bottom"/>
            <w:tcBorders>
              <w:top w:val="single" w:sz="8" w:color="CCEEFF"/>
            </w:tcBorders>
            <w:shd w:val="clear" w:color="auto" w:fill="CCEEFF"/>
          </w:tcPr>
          <w:p>
            <w:pPr>
              <w:spacing w:after="0"/>
              <w:rPr>
                <w:sz w:val="20"/>
                <w:szCs w:val="20"/>
                <w:color w:val="auto"/>
              </w:rPr>
            </w:pPr>
          </w:p>
        </w:tc>
        <w:tc>
          <w:tcPr>
            <w:tcW w:w="2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80" w:type="dxa"/>
            <w:vAlign w:val="bottom"/>
            <w:tcBorders>
              <w:bottom w:val="single" w:sz="8" w:color="CCEEFF"/>
            </w:tcBorders>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payable,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3,037</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28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vMerge w:val="continue"/>
          </w:tcPr>
          <w:p>
            <w:pPr>
              <w:spacing w:after="0"/>
              <w:rPr>
                <w:sz w:val="20"/>
                <w:szCs w:val="20"/>
                <w:color w:val="auto"/>
              </w:rPr>
            </w:pPr>
          </w:p>
        </w:tc>
        <w:tc>
          <w:tcPr>
            <w:tcW w:w="2820" w:type="dxa"/>
            <w:vAlign w:val="bottom"/>
            <w:gridSpan w:val="2"/>
          </w:tcPr>
          <w:p>
            <w:pPr>
              <w:spacing w:after="0"/>
              <w:rPr>
                <w:sz w:val="20"/>
                <w:szCs w:val="20"/>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2622"/>
              <w:spacing w:after="0"/>
              <w:rPr>
                <w:sz w:val="20"/>
                <w:szCs w:val="20"/>
                <w:color w:val="auto"/>
              </w:rPr>
            </w:pPr>
            <w:r>
              <w:rPr>
                <w:rFonts w:ascii="Times New Roman" w:cs="Times New Roman" w:eastAsia="Times New Roman" w:hAnsi="Times New Roman"/>
                <w:sz w:val="16"/>
                <w:szCs w:val="16"/>
                <w:color w:val="auto"/>
              </w:rPr>
              <w:t>F-41</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3" w:name="page164"/>
    <w:bookmarkEnd w:id="16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1,093</w:t>
            </w: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 years</w:t>
            </w:r>
          </w:p>
        </w:tc>
        <w:tc>
          <w:tcPr>
            <w:tcW w:w="0" w:type="dxa"/>
            <w:vAlign w:val="bottom"/>
          </w:tcPr>
          <w:p>
            <w:pPr>
              <w:spacing w:after="0"/>
              <w:rPr>
                <w:sz w:val="1"/>
                <w:szCs w:val="1"/>
                <w:color w:val="auto"/>
              </w:rPr>
            </w:pPr>
          </w:p>
        </w:tc>
      </w:tr>
      <w:tr>
        <w:trPr>
          <w:trHeight w:val="257"/>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1,717</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3,037</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9 — Debt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Company’s debt consisted of:</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 Exchange Note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PPP Loan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Navitas Loan</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notes payable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debt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4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debt, net of debt discount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 net of current unamortized debt discount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Payable</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Securities Exchange Agreement</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$300 thousand in repayments for other fees under the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4" w:name="page165"/>
    <w:bookmarkEnd w:id="16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Exchange Note is a senior secured obligation of the Company and ranks senior to all indebtedness of the Company. The Exchange Note will mature on the three -year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5" w:name="page166"/>
    <w:bookmarkEnd w:id="16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 first day after notice of such request by the Investor to increase its beneficial ownership limit has been delivered to the Company).</w:t>
      </w:r>
    </w:p>
    <w:p>
      <w:pPr>
        <w:spacing w:after="0" w:line="101"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During the year ended December 31, 2022, the Company issued 2,000 shares of its Common Stock pursuant to the cashless exercise of August 2022 Warrants. As of December 31, 2022, the Company had outstanding liability-classified August 2022 Warrants that allow the Investor to purchase 100,544 shares of the Company’s Common Stock. Additional information regarding the Company’s August 2022 Warrants may be found in Note 1</w:t>
      </w: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short-term and long-term portions of the Exchange Note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Payable, Net</w:t>
            </w:r>
          </w:p>
        </w:tc>
        <w:tc>
          <w:tcPr>
            <w:tcW w:w="0" w:type="dxa"/>
            <w:vAlign w:val="bottom"/>
          </w:tcPr>
          <w:p>
            <w:pPr>
              <w:spacing w:after="0"/>
              <w:rPr>
                <w:sz w:val="1"/>
                <w:szCs w:val="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(3,414)</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carrying amount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2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28,561</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Paycheck Protection Program Loan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Paycheck Protection Program Loans under the Coronavirus Aid, Relief, and Economic Security Act</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May 2020, the Company entered into a PPP Loan with Bank of America pursuant to the PPP under the CARES Act administered by the SBA.</w:t>
      </w:r>
    </w:p>
    <w:p>
      <w:pPr>
        <w:spacing w:after="0" w:line="83" w:lineRule="exact"/>
        <w:rPr>
          <w:sz w:val="20"/>
          <w:szCs w:val="20"/>
          <w:color w:val="auto"/>
        </w:rPr>
      </w:pPr>
    </w:p>
    <w:p>
      <w:pPr>
        <w:ind w:left="900" w:right="900" w:firstLine="384"/>
        <w:spacing w:after="0" w:line="281" w:lineRule="auto"/>
        <w:rPr>
          <w:sz w:val="20"/>
          <w:szCs w:val="20"/>
          <w:color w:val="auto"/>
        </w:rPr>
      </w:pPr>
      <w:r>
        <w:rPr>
          <w:rFonts w:ascii="Times New Roman" w:cs="Times New Roman" w:eastAsia="Times New Roman" w:hAnsi="Times New Roman"/>
          <w:sz w:val="14"/>
          <w:szCs w:val="14"/>
          <w:color w:val="auto"/>
        </w:rPr>
        <w:t>The Company received total proceeds of approximately $779 thousand from the unsecured PPP Loan, which was originally scheduled to mature on May 7, 2022. The Company applied for forgiveness on the $779 thousand of</w:t>
      </w:r>
    </w:p>
    <w:p>
      <w:pPr>
        <w:spacing w:after="0" w:line="1" w:lineRule="exact"/>
        <w:rPr>
          <w:sz w:val="20"/>
          <w:szCs w:val="20"/>
          <w:color w:val="auto"/>
        </w:rPr>
      </w:pPr>
    </w:p>
    <w:p>
      <w:pPr>
        <w:jc w:val="both"/>
        <w:ind w:left="900" w:right="920" w:firstLine="6"/>
        <w:spacing w:after="0" w:line="236" w:lineRule="auto"/>
        <w:tabs>
          <w:tab w:leader="none" w:pos="120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99"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breakdown of PPP Loan balances by current and non-current as of December 31, 2022 and 2021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7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PPP Loan, current</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current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PPP Loan, non-current</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PPP Loan outstanding</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6"/>
                <w:szCs w:val="16"/>
                <w:color w:val="auto"/>
              </w:rPr>
              <w:t>F-44</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6" w:name="page167"/>
    <w:bookmarkEnd w:id="16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PurePressure SBA Debt</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As part of the acquisition of PurePressure, $159 thousand of debt remained outstanding from a standard SBA loan as of December 31, 2021. This debt was paid off during the year ended December 31, 2022 as a part of the PurePressure acquisition.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As of December 31, 2022, future minimum principal payments for all debt were as follows:</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p>
      <w:pPr>
        <w:spacing w:after="0" w:line="3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6000" w:type="dxa"/>
            <w:vAlign w:val="bottom"/>
            <w:tcBorders>
              <w:top w:val="single" w:sz="8" w:color="auto"/>
              <w:bottom w:val="single" w:sz="8" w:color="CCEEFF"/>
            </w:tcBorders>
            <w:shd w:val="clear" w:color="auto" w:fill="CCEEFF"/>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2023</w:t>
            </w:r>
          </w:p>
        </w:tc>
        <w:tc>
          <w:tcPr>
            <w:tcW w:w="48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32,247</w:t>
            </w:r>
          </w:p>
        </w:tc>
      </w:tr>
      <w:tr>
        <w:trPr>
          <w:trHeight w:val="238"/>
        </w:trPr>
        <w:tc>
          <w:tcPr>
            <w:tcW w:w="6000" w:type="dxa"/>
            <w:vAlign w:val="bottom"/>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6000" w:type="dxa"/>
            <w:vAlign w:val="bottom"/>
            <w:shd w:val="clear" w:color="auto" w:fill="CCEEFF"/>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1"/>
        </w:trPr>
        <w:tc>
          <w:tcPr>
            <w:tcW w:w="6000" w:type="dxa"/>
            <w:vAlign w:val="bottom"/>
          </w:tcPr>
          <w:p>
            <w:pPr>
              <w:jc w:val="right"/>
              <w:ind w:right="4382"/>
              <w:spacing w:after="0"/>
              <w:rPr>
                <w:sz w:val="20"/>
                <w:szCs w:val="20"/>
                <w:color w:val="auto"/>
              </w:rPr>
            </w:pPr>
            <w:r>
              <w:rPr>
                <w:rFonts w:ascii="Times New Roman" w:cs="Times New Roman" w:eastAsia="Times New Roman" w:hAnsi="Times New Roman"/>
                <w:sz w:val="16"/>
                <w:szCs w:val="16"/>
                <w:color w:val="auto"/>
              </w:rPr>
              <w:t>Total future payments</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32,654</w:t>
            </w: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10 — Leases</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7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the implicit interest rate in its leases was generally not known, the Company’s used its incremental borrowing rate as the discount rate for purposes of determining the present value of its lease liabilities. At December 31, 2022 and 2021, the Company’s weighted-average discount rate utilized for its leases was 7.29% and 7.16%, respectively.</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When a contract contained lease and non-lease elements, both were accounted for as a single lease component.</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had several non-cancelable finance leases for machinery and equipment. The Company’s finance leases have remaining lease terms of one year to five years.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on the Company’s operating and financing lease activity was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1,119</w:t>
            </w: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38"/>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cost:</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
        </w:trPr>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57"/>
        </w:trPr>
        <w:tc>
          <w:tcPr>
            <w:tcW w:w="2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9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8"/>
        </w:trPr>
        <w:tc>
          <w:tcPr>
            <w:tcW w:w="2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lease cost</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1,345</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2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F-45</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7" w:name="page168"/>
    <w:bookmarkEnd w:id="16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Leases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8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 net</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assets</w:t>
            </w:r>
          </w:p>
        </w:tc>
        <w:tc>
          <w:tcPr>
            <w:tcW w:w="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lease assets</w:t>
            </w:r>
          </w:p>
        </w:tc>
        <w:tc>
          <w:tcPr>
            <w:tcW w:w="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2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w:t>
            </w:r>
          </w:p>
        </w:tc>
        <w:tc>
          <w:tcPr>
            <w:tcW w:w="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Accrued expenses and other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w:t>
            </w:r>
          </w:p>
        </w:tc>
        <w:tc>
          <w:tcPr>
            <w:tcW w:w="8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restart"/>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9"/>
              </w:rPr>
              <w:t>Weighted-average remaining lease</w:t>
            </w: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 operating leases</w:t>
            </w:r>
          </w:p>
        </w:tc>
        <w:tc>
          <w:tcPr>
            <w:tcW w:w="8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3.59 years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 years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Weighted-average remaining lease</w:t>
            </w: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 finance leases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2.30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 years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Weighted-average discount</w:t>
            </w: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 operating leases</w:t>
            </w:r>
          </w:p>
        </w:tc>
        <w:tc>
          <w:tcPr>
            <w:tcW w:w="8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Weighted-average discount</w:t>
            </w: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rate – finance leases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Maturities of operating and finance lease liabilities as of December 31, 2022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left w:val="single" w:sz="8" w:color="CCEEFF"/>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11 — Convertible Promissory Notes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 per share.</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8" w:name="page169"/>
    <w:bookmarkEnd w:id="16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Convertible Promissory Notes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Accordingly, the Company recognized a gain on extinguishment of $2.7 million in connection with the derecognition of the net carrying amount of the extinguished debt of $19.7 million (inclusive of $13.1 million of principal and $7.1 million of derivative liabilities, less $587 thousand of debt discount) and the recognition of the $17.0 million fair value of the new convertible notes (including the same principal amount of $13.1 million plus the $3.9 million fair value of the beneficial conversion feature).</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February 1, 2021, in conjunction with the closing of the Company’s IPO, the Convertible Notes in the aggregate principal amount of $13.1 million were converted into 8,485 shares of Common Stock at the election of the Company at a conversion price of $1,544.00 per share.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12 — Stockholders’ Equity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Amendment of Conversion Formulas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On January 11, 2021, the Company’s Board of Directors approved the amendment to the conversion formula of the Series A Preferred Stock and Convertible Notes. After the amendment:</w:t>
      </w:r>
    </w:p>
    <w:p>
      <w:pPr>
        <w:spacing w:after="0" w:line="83" w:lineRule="exact"/>
        <w:rPr>
          <w:sz w:val="20"/>
          <w:szCs w:val="20"/>
          <w:color w:val="auto"/>
        </w:rPr>
      </w:pPr>
    </w:p>
    <w:p>
      <w:pPr>
        <w:jc w:val="both"/>
        <w:ind w:left="1680" w:right="920" w:hanging="389"/>
        <w:spacing w:after="0" w:line="284" w:lineRule="auto"/>
        <w:tabs>
          <w:tab w:leader="none" w:pos="16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$1,544.00 per share (after the reverse split taking effect); and</w:t>
      </w:r>
    </w:p>
    <w:p>
      <w:pPr>
        <w:spacing w:after="0" w:line="67"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$1,544.00 per share (after the reverse split taking effect).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Initial Public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February 1, 2021, the Company completed an IPO for the sale of 27,000 shares of Common Stock at a price of $2,000.00 per share. The Company also granted the underwriters a 45 -day option to purchase up to 4,050 additional shares of Common Stock on the same terms and conditions for the purpose of covering any over-allotments in connection with the IPO, and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 million, after deducting underwriting discounts and estimated offering expenses.</w:t>
      </w:r>
    </w:p>
    <w:p>
      <w:pPr>
        <w:spacing w:after="0" w:line="9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9" w:name="page170"/>
    <w:bookmarkEnd w:id="16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Subsequent Public Offering</w:t>
      </w:r>
    </w:p>
    <w:p>
      <w:pPr>
        <w:spacing w:after="0" w:line="118"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On February 19, 2021, the Company consummated the February Offering for the sale of 27,778 shares of Common Stock for a price of $2,700.00 per share. The Company also granted the underwriters a 45-day option to purchase up to 4,167 additional shares of Common Stock on the same terms and conditions for the purpose of covering any over-allotments in connection with the February Offering, and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$ 3,375.00 per share.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Underwriter Termination</w:t>
      </w:r>
    </w:p>
    <w:p>
      <w:pPr>
        <w:spacing w:after="0" w:line="118"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a cash payment to the representative of $ 2.4 million and the right to participate as a co-manager with 10% of the economics with respect to the Company’s next public offering of securities, payable in cash upon the closing of such offering.</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 -Funded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0" w:name="page171"/>
    <w:bookmarkEnd w:id="17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Issuance of Common Stock in Connection with Acquisitions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 Refer to Note 8 — Business Combinations, included elsewhere in the notes to the consolidated financial statements.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 Additional information regarding the PurePressure Holdback Buyer Shares may be found in Note 8 — Business Combinations, included elsewhere in the notes to the consolidated financial statements.</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 Refer to Note 8 — Business Combinations,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At The Marketing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issued 594,232 shares of its Common Stock, Pre- Funded 2022 Warrants to purchase 75,000 shares of its Common Stock, and accompanying December 2022 Warrants to purchase 1,338,462 shares of the Company’s Common Stock. The Company received net proceeds from the Offering of approximately $8.2 million, after deducting underwriting discounts and commissions, and estimated expenses. The Company used the net proceeds from the Offering, together with its existing cash resources, for working capital and general corporate purposes, which may include capital expenditures and repayment of debt.</w:t>
      </w:r>
    </w:p>
    <w:p>
      <w:pPr>
        <w:spacing w:after="0" w:line="101"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1" w:name="page172"/>
    <w:bookmarkEnd w:id="17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the Company’s own stock.</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Raymond Chang, Chairman and CEO, participated in the Offering and purchased 115,385 shares of Common Stock and 230,769 December 2022 Warrants for an aggregate purchase price of approximately $1.5 million.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regarding the Company’s December 2022 Warrants may be found in Note 1</w:t>
      </w:r>
    </w:p>
    <w:p>
      <w:pPr>
        <w:spacing w:after="0" w:line="1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13 — Stock-Based Compensation and Employee Benefit Plans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2022 Omnibus Equity Incentive Plan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December 31, 2022, there were 4,104 shares of Common Stock available to be granted under the Company’s 2022 Plan.</w:t>
      </w:r>
    </w:p>
    <w:p>
      <w:pPr>
        <w:spacing w:after="0" w:line="99"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Company’s stock option compensation expense was $4.3 million and $5.6 million for the years ended December 31, 2022 and 2021, respectively.</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 ended December 31,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2" w:name="page173"/>
    <w:bookmarkEnd w:id="17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of options granted during the year ended December 31, 2021:</w:t>
      </w:r>
    </w:p>
    <w:p>
      <w:pPr>
        <w:spacing w:after="0" w:line="132"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 1.63%</w:t>
            </w:r>
          </w:p>
        </w:tc>
      </w:tr>
      <w:tr>
        <w:trPr>
          <w:trHeight w:val="26"/>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3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r>
      <w:tr>
        <w:trPr>
          <w:trHeight w:val="26"/>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3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rate</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6"/>
        </w:trPr>
        <w:tc>
          <w:tcPr>
            <w:tcW w:w="38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 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for the years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and 2021:</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December 31, 2020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702.00</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Options outstanding at December 31, 2021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1,436.00</w:t>
            </w:r>
          </w:p>
        </w:tc>
        <w:tc>
          <w:tcPr>
            <w:tcW w:w="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Options vested and exercisable as of December 31, 2022</w:t>
            </w: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vMerge w:val="continue"/>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Total recognized compensation expense related to the Company’s stock option plans for the years ended December 31, 2022 and 2021 was $3.5 million and $5.6 million, respectively. As of December 31, 2022, total unrecognized compensation expense related to unvested options under the Company’s option plans was $2.9 million, which is expected to be recognized over a weighted average period of 7.84 years.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3" w:name="page174"/>
    <w:bookmarkEnd w:id="17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vested and exercisable at December 31, 2022:</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1460" w:type="dxa"/>
            <w:vAlign w:val="bottom"/>
          </w:tcPr>
          <w:p>
            <w:pPr>
              <w:spacing w:after="0"/>
              <w:rPr>
                <w:sz w:val="16"/>
                <w:szCs w:val="16"/>
                <w:color w:val="auto"/>
              </w:rPr>
            </w:pPr>
          </w:p>
        </w:tc>
      </w:tr>
      <w:tr>
        <w:trPr>
          <w:trHeight w:val="28"/>
        </w:trPr>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6"/>
        </w:trPr>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26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3,668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4,039</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1,536.00 – 1,840.00</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1,708.79</w:t>
            </w:r>
          </w:p>
        </w:tc>
      </w:tr>
      <w:tr>
        <w:trPr>
          <w:trHeight w:val="238"/>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2,768.00 – 3,722.00</w:t>
            </w: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3,173</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2,770.05</w:t>
            </w:r>
          </w:p>
        </w:tc>
      </w:tr>
    </w:tbl>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presents restricted stock unit activity under the 2022 Plan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365.66</w:t>
            </w: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Forfeitures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302.41</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Total recognized compensation expense related to the Company’s restricted stock units for the years ended December 31, 2022 and 2021 was $818,000 and $0, respectively. As of December 31, 2022, total unrecognized compensation expense related to unvested restricted stock units was $1.4 million, which is expected to be recognized over a weighted average period of 2.59 years.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2022 Employee Stock Purchase Plan</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Employee Stock Purchase Plan (“ESPP”). The Company has initially reserved 2,500 shares of Common Stock for issuance under the ESPP. On December 31, 2022, 2,500 shares were available for future issuance.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$ 25 thousand worth of Common Stock annually. No Common Stock was granted under the 2022 ESPP during the year ended December 31,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4" w:name="page175"/>
    <w:bookmarkEnd w:id="17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Employee Benefit Plan</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maintains an employee’s savings and retirement plan under Section 401(k) of the Internal Revenue Code (the “401(k) Plan”). All full -time U.S. employees become eligible to participate in the 401(k) Plan. The Company’s contribution to the 401(k) Plan is discretionary. During the years ended December 31, 2022 and 2021, the Company did not contribute to the 401(k) Plan.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14 — Stock Warrants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presents all warrant activity of the Company for the years ended December 31, 2022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2021:</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2020</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Warrants outstanding at December 31, 2021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Warrants outstanding at December 31, 2022</w:t>
            </w: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received proceeds from the exercise of warrants of $2 thousand and $8 thousand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15 — Income Taxes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March 27, 2020, the CARES Act was enacted and signed into law.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 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 -tax benefits to assist those impacted by the COVID-19 pandemic. The Company evaluated the impact of the CARES Act and determined that its adoption did not have a material impact to the income tax provision for the years ended December 31, 2022 or December 31, 2021, respectively.</w:t>
      </w:r>
    </w:p>
    <w:p>
      <w:pPr>
        <w:spacing w:after="0" w:line="10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For the period ended December 31, 2022, the Company recorded a tax provision of approximately $23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carryforwards of approximately $96.7 million and $71.6 million, respectively. The net operating loss carryforwards for United States income taxes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its net operating loss carryforward deferred tax assets to reduce the assets to zero. Management will review this valuation allowance periodically and adjust as necessary.</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5" w:name="page176"/>
    <w:bookmarkEnd w:id="17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Income Taxes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 summarizes the significant differences between the U.S. Federal statutory tax rate and the Company’s effective tax rate for financial statement purposes for the years ended December 31, 2022 and 2021:</w:t>
      </w:r>
    </w:p>
    <w:p>
      <w:pPr>
        <w:spacing w:after="0" w:line="1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24765</wp:posOffset>
            </wp:positionV>
            <wp:extent cx="147129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7129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r>
      <w:tr>
        <w:trPr>
          <w:trHeight w:val="28"/>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State taxes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differences and other</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Debt extinguishment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period adjustments to opening deferred tax</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
        </w:trPr>
        <w:tc>
          <w:tcPr>
            <w:tcW w:w="49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8"/>
        </w:trPr>
        <w:tc>
          <w:tcPr>
            <w:tcW w:w="49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deferred tax assets and liabilities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and 2021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Accruals, reserves, and other</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Sec. 174 R&amp;E</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tax credit carryforward</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(13,852)</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recognizes federal and state deferred tax assets or liabilities based on the Company’s estimate of future tax effects attributable to temporary differences and carryovers. The Company records a valuation allowance to reduce any deferred tax assets by the amount of any tax benefits that, based on available evidence and judgment, are not expected to be realized. In assessing the realizability of deferred tax assets, the Company considers whether it is more likely than not that some portion or all the deferred tax assets will be realized. The ultimate realization of deferred tax assets is dependent upon the generation of future taxable income during periods in which those temporary differences become deductible. The Company considers projected future taxable income and planning strategies in making this assessment. As of December 31, 2021, because of a three -year cumulative loss and recent events, the Company concluded that a full valuation allowance was necessary to offset its deferred tax assets.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6" w:name="page177"/>
    <w:bookmarkEnd w:id="17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Income Taxes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880"/>
        <w:spacing w:after="0" w:line="236" w:lineRule="auto"/>
        <w:rPr>
          <w:sz w:val="20"/>
          <w:szCs w:val="20"/>
          <w:color w:val="auto"/>
        </w:rPr>
      </w:pPr>
      <w:r>
        <w:rPr>
          <w:rFonts w:ascii="Times New Roman" w:cs="Times New Roman" w:eastAsia="Times New Roman" w:hAnsi="Times New Roman"/>
          <w:sz w:val="16"/>
          <w:szCs w:val="16"/>
          <w:color w:val="auto"/>
        </w:rPr>
        <w:t>The Company also has indefinite-lived intangibles and goodwill which generate a deferred tax liability that is not available to fully offset its deferred tax assets due to uncertainty as to when the deferred tax liability will reverse as a source of taxable income. As a result, the Company is in a net deferred tax liability position as of December 31, 2022. The Company intends to maintain a valuation allowance until sufficient positive evidence exists to support its reversal. The Company will continue to evaluate its deferred tax balances to determine any assets that are more likely than not to be realized. As of December 31, 2022, the Company had federal and state income tax net operating loss carryovers $ 96.7 million and $71.6 million, respectively. Of the federal balance, approximately $675 thousand will expire if not utilized by 2037 and $96.0 million carry forward indefinitely but are only available to offset 80% of taxable income per year. As of December 31, 2022, the Company also had federal research credits of approximately $1.1 million that will expire if not utilized by 2041. The utilization of the Company’s net operating loss carryforwards and research tax credit carryovers could be subject to annual limitations under Section 382 and 383 of the Internal Revenue Code of 1986, and similar state tax provisions due to ownership change limitations that may have occurred previously or that could occur in the future. These ownership changes limit the amount of net operating loss carryforwards and other deferred tax assets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 points over a three-year period. The Company has not conducted an analysis of an ownership change under section 382. To the extent that a study is completed, and an ownership change is deemed to occur, the Company’s net operating losses and tax credits could be limited.</w:t>
      </w:r>
    </w:p>
    <w:p>
      <w:pPr>
        <w:spacing w:after="0" w:line="10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does not have any uncertain tax positions or events leading to uncertainty in a tax position. The Company’s 2017 through 2021 corporate income tax returns are subject to Internal Revenue Service examination. In addition, to the extent that tax attributes are utilized in future years to offset taxable income or income taxes, the IRS and state taxing authorities can examine the years in which those attributes were generated and adjust the attributes.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16 — Net Loss Per Share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components of basic and diluted net loss per share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dividend attributable to Preferred A Stockholders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(32,526)</w:t>
            </w: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208,573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80" w:type="dxa"/>
            <w:vAlign w:val="bottom"/>
            <w:tcBorders>
              <w:top w:val="single" w:sz="8" w:color="CCEEFF"/>
            </w:tcBorders>
            <w:shd w:val="clear" w:color="auto" w:fill="CCEEFF"/>
          </w:tcPr>
          <w:p>
            <w:pPr>
              <w:ind w:left="160"/>
              <w:spacing w:after="0" w:line="131" w:lineRule="exact"/>
              <w:rPr>
                <w:sz w:val="20"/>
                <w:szCs w:val="20"/>
                <w:color w:val="auto"/>
              </w:rPr>
            </w:pPr>
            <w:r>
              <w:rPr>
                <w:rFonts w:ascii="Times New Roman" w:cs="Times New Roman" w:eastAsia="Times New Roman" w:hAnsi="Times New Roman"/>
                <w:sz w:val="14"/>
                <w:szCs w:val="14"/>
                <w:color w:val="auto"/>
              </w:rPr>
              <w:t>Net loss per share attributable to Common Stockholders – basic and</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320"/>
              <w:spacing w:after="0" w:line="217"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19"/>
                <w:szCs w:val="19"/>
                <w:color w:val="auto"/>
                <w:vertAlign w:val="superscript"/>
              </w:rPr>
              <w:t>(1)</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(902.19)</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(340.75)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F-55</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8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77" w:name="page178"/>
    <w:bookmarkEnd w:id="17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16 — Net Loss Per Share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000" w:type="dxa"/>
            <w:vAlign w:val="bottom"/>
          </w:tcPr>
          <w:p>
            <w:pPr>
              <w:spacing w:after="0"/>
              <w:rPr>
                <w:sz w:val="16"/>
                <w:szCs w:val="16"/>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17,821</w:t>
            </w:r>
          </w:p>
        </w:tc>
        <w:tc>
          <w:tcPr>
            <w:tcW w:w="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Shares subject to unvested restricted stock units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7,691</w:t>
            </w: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w w:val="87"/>
              </w:rPr>
              <w:t>—</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warrants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 w:type="dxa"/>
            <w:vAlign w:val="bottom"/>
          </w:tcPr>
          <w:p>
            <w:pPr>
              <w:spacing w:after="0"/>
              <w:rPr>
                <w:sz w:val="22"/>
                <w:szCs w:val="22"/>
                <w:color w:val="auto"/>
              </w:rPr>
            </w:pPr>
          </w:p>
        </w:tc>
      </w:tr>
      <w:tr>
        <w:trPr>
          <w:trHeight w:val="238"/>
        </w:trPr>
        <w:tc>
          <w:tcPr>
            <w:tcW w:w="5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1,551,131</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2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17 — Commitments and Contingencies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Bud &amp; Mary’s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Bowdoin Construction Corp.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 Agrify Corporation, Bud &amp; Mary’s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Cultivation, Inc. and BMLC2, LLC </w:t>
      </w:r>
      <w:r>
        <w:rPr>
          <w:rFonts w:ascii="Times New Roman" w:cs="Times New Roman" w:eastAsia="Times New Roman" w:hAnsi="Times New Roman"/>
          <w:sz w:val="16"/>
          <w:szCs w:val="16"/>
          <w:color w:val="auto"/>
        </w:rPr>
        <w:t>, case no. 2382CV00173. The Bowdoin Complaint relates to a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Certain of Bowdoin’s subcontractors have filed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8" w:name="page179"/>
    <w:bookmarkEnd w:id="17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ancillary civil actions, some seeking direct recovery of sums (which sums are understood to be subsumed in/covered by Bowdoin’s claims) against the Company. The Company is entitled to indemnification by Bud &amp; Mary’s and intends to vigorously defend this and ancillary claim(s).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19 — Subsequent Events.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TRC Electronics Litigation</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 -judgment interest. The Company has filed an answer denying liability on TRC’s claims and is proceeding with discovery.</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Sinclair Scientific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9" w:name="page180"/>
    <w:bookmarkEnd w:id="17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Supply Agreement with 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19 — Subsequent Events.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Distribution Agreements with Related Party — Bluezone Products, Inc.</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4D Bios, Inc.</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 The Company settled all outstanding commitments, leaving no open committed purchases as of December 31, 2021.</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0" w:name="page181"/>
    <w:bookmarkEnd w:id="18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Ora Pharm</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18 — Related Parties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Some of the officers and directors of the Company are involved in other business activities and may, in the future, become involved in other business opportunities that become available.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net purchasing (sales) activity with entities identified as related parties to the Company:</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1,312</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Enozo</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40</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50</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Cannaquip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209</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(22,010)</w:t>
            </w:r>
          </w:p>
        </w:tc>
      </w:tr>
      <w:tr>
        <w:trPr>
          <w:trHeight w:val="167"/>
        </w:trPr>
        <w:tc>
          <w:tcPr>
            <w:tcW w:w="20" w:type="dxa"/>
            <w:vAlign w:val="bottom"/>
          </w:tcPr>
          <w:p>
            <w:pPr>
              <w:spacing w:after="0"/>
              <w:rPr>
                <w:sz w:val="14"/>
                <w:szCs w:val="14"/>
                <w:color w:val="auto"/>
              </w:rPr>
            </w:pPr>
          </w:p>
        </w:tc>
        <w:tc>
          <w:tcPr>
            <w:tcW w:w="49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Greenstone, which is a related party because one of the Company’s former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Agrify Brands employees and its VP of Engineering had a minority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ownership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(9,429)</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Valiant-America, LLC</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10,520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6,048</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Living Greens 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r>
      <w:tr>
        <w:trPr>
          <w:trHeight w:val="250"/>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64" w:lineRule="exact"/>
        <w:rPr>
          <w:sz w:val="20"/>
          <w:szCs w:val="20"/>
          <w:color w:val="auto"/>
        </w:rPr>
      </w:pPr>
    </w:p>
    <w:p>
      <w:pPr>
        <w:ind w:left="1300" w:right="920" w:hanging="394"/>
        <w:spacing w:after="0" w:line="291" w:lineRule="auto"/>
        <w:tabs>
          <w:tab w:leader="none" w:pos="13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27, 2022, the Company provided notice to Valiant -America, LLC of its intention to begin winding up of Agrify-Valiant.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1" w:name="page182"/>
    <w:bookmarkEnd w:id="18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18 — Related Parties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net related party receivable (payable) as of December 31, 2022 and 2021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Cannaquip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7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Greenstone (net of allowance for doubtful accounts of $9,360 and $0 at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2022 and 2021, respectively)</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11,177</w:t>
            </w:r>
          </w:p>
        </w:tc>
        <w:tc>
          <w:tcPr>
            <w:tcW w:w="0" w:type="dxa"/>
            <w:vAlign w:val="bottom"/>
          </w:tcPr>
          <w:p>
            <w:pPr>
              <w:spacing w:after="0"/>
              <w:rPr>
                <w:sz w:val="1"/>
                <w:szCs w:val="1"/>
                <w:color w:val="auto"/>
              </w:rPr>
            </w:pPr>
          </w:p>
        </w:tc>
      </w:tr>
      <w:tr>
        <w:trPr>
          <w:trHeight w:val="26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Living Greens Farm</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6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Valiant-America, LLC</w:t>
            </w:r>
            <w:r>
              <w:rPr>
                <w:rFonts w:ascii="Times New Roman" w:cs="Times New Roman" w:eastAsia="Times New Roman" w:hAnsi="Times New Roman"/>
                <w:sz w:val="19"/>
                <w:szCs w:val="19"/>
                <w:color w:val="auto"/>
                <w:vertAlign w:val="superscript"/>
              </w:rPr>
              <w:t>(3)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60" w:lineRule="auto"/>
        <w:tabs>
          <w:tab w:leader="none" w:pos="1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Greenstone is a related party because one of the Company’s former Agrify Brands employees and its VP of Engineering had a minority ownership. The Greenstone allowance for doubtful accounts balance consisted of capital advances, accrued interest and VFUs sales. Additional information regarding recent developments with Greenstone may be found in Note 5 — Loans Receivable, included elsewhere in the notes to the consolidated financial statements.</w:t>
      </w:r>
    </w:p>
    <w:p>
      <w:pPr>
        <w:spacing w:after="0" w:line="158"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fully reserved at December 31, 2022, due to an ongoing dispute with the customer.</w:t>
      </w:r>
    </w:p>
    <w:p>
      <w:pPr>
        <w:spacing w:after="0" w:line="7" w:lineRule="exact"/>
        <w:rPr>
          <w:rFonts w:ascii="Times New Roman" w:cs="Times New Roman" w:eastAsia="Times New Roman" w:hAnsi="Times New Roman"/>
          <w:sz w:val="14"/>
          <w:szCs w:val="14"/>
          <w:color w:val="auto"/>
        </w:rPr>
      </w:pPr>
    </w:p>
    <w:p>
      <w:pPr>
        <w:ind w:left="1300" w:right="920" w:hanging="394"/>
        <w:spacing w:after="0" w:line="267" w:lineRule="auto"/>
        <w:tabs>
          <w:tab w:leader="none" w:pos="1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27, 2022, the Company provided notice to Valiant -America, LLC of its intention to begin winding up of Agrify-Valiant.</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19 — Subsequent Events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financial statements were issued.</w:t>
      </w:r>
    </w:p>
    <w:p>
      <w:pPr>
        <w:spacing w:after="0" w:line="153" w:lineRule="exact"/>
        <w:rPr>
          <w:sz w:val="20"/>
          <w:szCs w:val="20"/>
          <w:color w:val="auto"/>
        </w:rPr>
      </w:pPr>
    </w:p>
    <w:p>
      <w:pPr>
        <w:jc w:val="both"/>
        <w:ind w:left="900" w:right="920"/>
        <w:spacing w:after="0" w:line="262" w:lineRule="auto"/>
        <w:rPr>
          <w:sz w:val="20"/>
          <w:szCs w:val="20"/>
          <w:color w:val="auto"/>
        </w:rPr>
      </w:pPr>
      <w:r>
        <w:rPr>
          <w:rFonts w:ascii="Times New Roman" w:cs="Times New Roman" w:eastAsia="Times New Roman" w:hAnsi="Times New Roman"/>
          <w:sz w:val="16"/>
          <w:szCs w:val="16"/>
          <w:b w:val="1"/>
          <w:bCs w:val="1"/>
          <w:color w:val="auto"/>
        </w:rPr>
        <w:t>Chief Financial Officer Resignation and Appointment of Raymond Chang as principal financial and accounting officer</w:t>
      </w:r>
    </w:p>
    <w:p>
      <w:pPr>
        <w:spacing w:after="0" w:line="8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 2023, Timothy R. Oakes, the Chief Financial Officer (“CFO”) of the Company, notified the Company that he would resign as CFO effective as of February 28, 2023 (the “Effective Date”) to pursue other opportunities. Mr. Oakes’ resignation did not result from any disagreement regarding the Company’s operations, policies or practices. Mr. Oakes assisted with the resulting transition ahead of the Effective Date. In connection with Mr. Oakes’ resignation, the Company is continuing its process to identify a replacement Chief Financial Officer. Further, Raymond Chang, the Company’s Chief Executive Officer, will serve as the Company’s principal financial and accounting officer.</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Notices</w:t>
      </w:r>
    </w:p>
    <w:p>
      <w:pPr>
        <w:spacing w:after="0" w:line="118"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color w:val="auto"/>
        </w:rPr>
        <w:t>On January 19, 2023, the Company received a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had to be at least $1.00 per share for a minimum of 10 consecutive trading days during this 180- day compliance period, unless the Staff exercised its discretion to extend the minimum trading day period pursuant to Nasdaq Listing Rule 5810(c)(3)</w:t>
      </w:r>
    </w:p>
    <w:p>
      <w:pPr>
        <w:spacing w:after="0" w:line="4"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(G). On July 19, 2023, the Company received a notice from Nasdaq confirming its recompliance with the minimum bid price rule.</w:t>
      </w:r>
    </w:p>
    <w:p>
      <w:pPr>
        <w:spacing w:after="0" w:line="97"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As disclosed in a Current Report on Form 8- K filed on April 17, 2023, the Company’s audit committee concluded that, as a result of inadvertent errors in the accounting for warrants previously issued by the Company, it was appropriate to restate the Company’s previously issued unaudited condensed consolidated interim consolidated</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2" w:name="page183"/>
    <w:bookmarkEnd w:id="18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89" w:lineRule="auto"/>
        <w:rPr>
          <w:sz w:val="20"/>
          <w:szCs w:val="20"/>
          <w:color w:val="auto"/>
        </w:rPr>
      </w:pPr>
      <w:r>
        <w:rPr>
          <w:rFonts w:ascii="Times New Roman" w:cs="Times New Roman" w:eastAsia="Times New Roman" w:hAnsi="Times New Roman"/>
          <w:sz w:val="14"/>
          <w:szCs w:val="14"/>
          <w:color w:val="auto"/>
        </w:rPr>
        <w:t>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Form 10-K, the First Quarter 2023 Form 10-Q, and the Second Quarter 2023 Form 10-Q without unreasonable effort or expense.</w:t>
      </w:r>
    </w:p>
    <w:p>
      <w:pPr>
        <w:spacing w:after="0" w:line="6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Bowdoin Litigation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Certain of Bowdoin’s subcontractors have filed ancillary civil actions, some seeking direct recovery of sums (which sums are understood to be subsumed in/covered by Bowdoin’s claims) against the Company.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Amendments to Articles of Incorporation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5,000,000 to 10,000,000, and correspondingly increased the total authorized shares of stock from 8,000,000 to 13,000,000. The Charter Amendment was approved by the Company’s stockholders at the Special Meeting on February 28, 2023 and became effective upon filing.</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3" w:name="page184"/>
    <w:bookmarkEnd w:id="18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Securities Exchange Agreement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March 8, 2023, the Company entered into a new Securities Exchange Agreement (the “March 2023 Exchange Agreement”) with an accredited lender. Pursuant to the March 2023 Exchange Agreement, at closing the Company prepaid approximately $ 10.3 million in principal amount under the Exchange Note and exchanged $10.0 million in principal amount of the remaining balance of the Exchange Note for a new senior secured convertible note (the “Convertible Note”) with an original principal amount of $10.0 million. The Convertible Note is a senior secured obligation of the Company and ranks senior to all indebtedness of the Company. The Convertible Note will mature on August 19, 2025 and contains a 9.0% annualized interest rate, with interest to be paid monthly, in cash, beginning April 1, 2023.</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closing under the March 2023 Exchange Agreement, the Company and the lender entered into an Amendment to the Exchange Note (the “Note Amendment”). Pursuant to the Note Amendment, the Exchange Note was amended to, among other changes, remove covenants that require the Company not to exceed maximum levels of allowable cash spend while the Exchange Note is outstanding and require the Company to maintain minimum amounts of cash on hand.</w:t>
      </w:r>
    </w:p>
    <w:p>
      <w:pPr>
        <w:spacing w:after="0" w:line="97"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445,197 shares of common stock of the Company, subject to a Beneficial Ownership Limitation of 4.99% of the Company’s Common Stock.</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Discontinuance of the ATM Program</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As of April 1, 2023, after which time the ATM Program was discontinued, the Company sold 629,710 shares of Common Stock, under the ATM Program at an average price of $27.29 per share, resulting in gross proceeds to the Company of $17.2 million, and net proceeds of $16.7 million after commissions and fees to the Agent totaling $516 thousand. $ 3.0 million of the proceeds under the ATM Program were used to repay amounts due to the Investor under the Exchange Note.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Repricing of Common Stock Warrants</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The Company issued 1,338,462 common stock warrants in conjunction with the Company’s public offering from December, 2022. On April 18, 2023, the Company undertook a warrant exercise inducement program, which it later cancelled. As a result, the warrant exercise price was reduced from $13.00 per share to $3.45 per share.</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March 31, 2023, the Company extended its lease by three years until March 31, 2026, for the premises located at 2468 Industrial Row Dr., Troy, Michigan 48084.</w:t>
      </w:r>
    </w:p>
    <w:p>
      <w:pPr>
        <w:spacing w:after="0" w:line="8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As of May 23, 2023, the Company extended its lease by three years until July 31, 2026, for the premises located at 2625 S. Santa Fe Dr., Bldg. 1, Units 1H and 1IJ.</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Mack Molding Modification Agreement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4" w:name="page185"/>
    <w:bookmarkEnd w:id="18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84" w:lineRule="auto"/>
        <w:rPr>
          <w:sz w:val="20"/>
          <w:szCs w:val="20"/>
          <w:color w:val="auto"/>
        </w:rPr>
      </w:pPr>
      <w:r>
        <w:rPr>
          <w:rFonts w:ascii="Times New Roman" w:cs="Times New Roman" w:eastAsia="Times New Roman" w:hAnsi="Times New Roman"/>
          <w:sz w:val="14"/>
          <w:szCs w:val="14"/>
          <w:color w:val="auto"/>
        </w:rPr>
        <w:t>respectively. Following the November 1, 2023 payment, the Company will be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6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Issuance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the Company entered into a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lender under the terms of the Letter Agreement for a warrant to purchase 375,629 shares of common stock (the “Abeyance Warrant”).</w:t>
      </w:r>
    </w:p>
    <w:p>
      <w:pPr>
        <w:spacing w:after="0" w:line="101"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0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Purchase</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the Company’s Chief Executive Officer, purchased the Exchange Note and the Convertible Note from their holder.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Amendment and Secured Promissory Note</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12, 2023, the Company issued an unsecured promissory note (the “Note”) in favor of GIC Acquisition, LLC (“GIC”), an entity that is managed by Raymond Chang, the Company’s Chairman and Chief Executive Officer, with an original principal amount of up to $500,000. On October 27, 2023, GIC and the Company amended and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5" w:name="page186"/>
    <w:bookmarkEnd w:id="18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restated the Note (the “Restated Note”). Pursuant to the terms of the Restated Note, the Maturity Date was extended until December 31, 2023 and the Company granted a security interest in the Company’s assets that ranks junior to the Exchange Note and the Convertible Note.</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Restated Note, the Company issued a junior secured promissory note (the “Junior Secured Note”) to the New Lender. Pursuant to the Junior Secured Note, the New Lender will lend up to $3,000,000 to the Company. The Junior Secured Note bears interest at a rate of 10% per annum, will mature in full on December 31, 2023, and may be prepaid without any fee or penalty. The Junior Secured Note is a secured obligation of the Company that ranks junior to the Exchange Note and the Convertible Note.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6" w:name="page187"/>
    <w:bookmarkEnd w:id="18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$2,535 and $4,605 at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September 30, 2023 and December 31, 2022, respectively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Inventory, net of reserves of $29,845 and $32,759 at September 30, 2023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2022, respectively</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Loan receivable, net of allowance for credit losses of $19,215 and $33,050 at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September 30, 2023 and December 31, 2022, respectively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43,065</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22,160</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current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debt, current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net of current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64,306</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Common Stock, $0.001 par value per share, 10,000,000 and 5,000,000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authorized at September 30, 2023 and December 31, 2022, respectively,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1,651,281 and 1,038,298 shares issued and outstanding at September 30, 2023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December 31, 2022, respectively</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Stock, $0.001 par value per share, 2,895,000 shares authorized, no shares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issued or outstanding</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A Stock, $0.001 par value per share, 105,000 shares authorized, no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or outstanding</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(266,374)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deficit attributable to Agrify</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(9,272)</w:t>
            </w: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70" w:lineRule="auto"/>
        <w:tabs>
          <w:tab w:leader="none" w:pos="13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686" w:gutter="0" w:footer="0" w:header="0"/>
        </w:sectPr>
      </w:pPr>
    </w:p>
    <w:bookmarkStart w:id="187" w:name="page188"/>
    <w:bookmarkEnd w:id="18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Revenue (including $0, $0, $46, and $1,763 from</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parties, respectively)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(4,116)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6,582</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(4,654)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(7,404)</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(130,492)</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(130,230)</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attributable to non-controlling interest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00" w:type="dxa"/>
            <w:vAlign w:val="bottom"/>
            <w:tcBorders>
              <w:top w:val="single" w:sz="8" w:color="CCEEFF"/>
              <w:right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loss per share attributable to Common</w:t>
            </w: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(429.98)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spacing w:after="0" w:line="172" w:lineRule="exact"/>
              <w:rPr>
                <w:sz w:val="20"/>
                <w:szCs w:val="20"/>
                <w:color w:val="auto"/>
              </w:rPr>
            </w:pPr>
            <w:r>
              <w:rPr>
                <w:rFonts w:ascii="Times New Roman" w:cs="Times New Roman" w:eastAsia="Times New Roman" w:hAnsi="Times New Roman"/>
                <w:sz w:val="16"/>
                <w:szCs w:val="16"/>
                <w:color w:val="auto"/>
                <w:w w:val="99"/>
              </w:rPr>
              <w:t>Weighted average common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ind w:left="140"/>
              <w:spacing w:after="0" w:line="217" w:lineRule="exact"/>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1,649,741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1,426,016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70" w:lineRule="auto"/>
        <w:tabs>
          <w:tab w:leader="none" w:pos="13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8" w:name="page189"/>
    <w:bookmarkEnd w:id="18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 (DEFICIT)</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6"/>
            <w:vMerge w:val="restart"/>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right"/>
              <w:ind w:right="60"/>
              <w:spacing w:after="0" w:line="143" w:lineRule="exact"/>
              <w:rPr>
                <w:sz w:val="20"/>
                <w:szCs w:val="20"/>
                <w:color w:val="auto"/>
              </w:rPr>
            </w:pPr>
            <w:r>
              <w:rPr>
                <w:rFonts w:ascii="Times New Roman" w:cs="Times New Roman" w:eastAsia="Times New Roman" w:hAnsi="Times New Roman"/>
                <w:sz w:val="13"/>
                <w:szCs w:val="13"/>
                <w:b w:val="1"/>
                <w:bCs w:val="1"/>
                <w:color w:val="auto"/>
                <w:w w:val="99"/>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40" w:type="dxa"/>
            <w:vAlign w:val="bottom"/>
            <w:vMerge w:val="restart"/>
          </w:tcPr>
          <w:p>
            <w:pPr>
              <w:spacing w:after="0"/>
              <w:rPr>
                <w:sz w:val="6"/>
                <w:szCs w:val="6"/>
                <w:color w:val="auto"/>
              </w:rPr>
            </w:pPr>
          </w:p>
        </w:tc>
        <w:tc>
          <w:tcPr>
            <w:tcW w:w="800" w:type="dxa"/>
            <w:vAlign w:val="bottom"/>
            <w:gridSpan w:val="3"/>
            <w:vMerge w:val="restart"/>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Amount Shares</w:t>
            </w:r>
          </w:p>
        </w:tc>
        <w:tc>
          <w:tcPr>
            <w:tcW w:w="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111,035</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and warrants</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 private</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12,252</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14,800</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14,800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Acquisition of Lab</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Society</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 June 30,</w:t>
            </w: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132,957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5"/>
                <w:szCs w:val="15"/>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214,652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(131,799)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82,853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83,222</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in</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connection with</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Reclass of warrant</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liability</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restricted</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1"/>
                <w:szCs w:val="2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134,550</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218,523</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(189,212)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29,311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9" w:name="page190"/>
    <w:bookmarkEnd w:id="18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EQUITY (DEFICIT) — (Continued)</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5"/>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jc w:val="center"/>
              <w:ind w:right="6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 w:type="dxa"/>
            <w:vAlign w:val="bottom"/>
            <w:vMerge w:val="restart"/>
          </w:tcPr>
          <w:p>
            <w:pPr>
              <w:spacing w:after="0"/>
              <w:rPr>
                <w:sz w:val="6"/>
                <w:szCs w:val="6"/>
                <w:color w:val="auto"/>
              </w:rPr>
            </w:pPr>
          </w:p>
        </w:tc>
        <w:tc>
          <w:tcPr>
            <w:tcW w:w="800" w:type="dxa"/>
            <w:vAlign w:val="bottom"/>
            <w:gridSpan w:val="3"/>
            <w:vMerge w:val="restart"/>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Amount Shares</w:t>
            </w:r>
          </w:p>
        </w:tc>
        <w:tc>
          <w:tcPr>
            <w:tcW w:w="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1,038,298</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237,875</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(247,148)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(9,272)</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through an</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“at the market”</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 of</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323,082</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held-back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to Lab</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Society</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to Pure</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Pressure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Vesting of restricted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prefunded</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warrants in private</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35,000</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Exchange Note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69,567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Convertible Note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153,617</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Proceeds from</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June 30,</w:t>
            </w: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1,622,946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6"/>
                <w:szCs w:val="16"/>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244,373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(264,282)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(19,907)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Stock-based</w:t>
            </w: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Reverse stock split</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fractional share</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28,335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w:t>
            </w: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1,651,281</w:t>
            </w:r>
          </w:p>
        </w:tc>
        <w:tc>
          <w:tcPr>
            <w:tcW w:w="2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6"/>
                <w:szCs w:val="16"/>
                <w:color w:val="auto"/>
              </w:rPr>
            </w:pP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244,898</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(266,374)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(21,474)</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0" w:name="page191"/>
    <w:bookmarkEnd w:id="19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25"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24765</wp:posOffset>
            </wp:positionV>
            <wp:extent cx="140271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80" w:type="dxa"/>
            <w:vAlign w:val="bottom"/>
            <w:tcBorders>
              <w:righ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7"/>
              </w:rPr>
              <w:t>Adjustments to reconcile net loss attributable to Agrify Corporation to net cash</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 discount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income</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(47,234)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notes payable, net</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(Recovery of) provision for slow-moving inventory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disposal of fixed assets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and cash equivalents used in operating activities</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(25,940)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(58,020)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securities</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(283,271)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317,593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loans receivable</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(26,942)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repayment of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business combination, net of cash acquired</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and cash equivalents provided by (used in) investing activities</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9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6"/>
                <w:szCs w:val="16"/>
                <w:color w:val="auto"/>
              </w:rPr>
              <w:t>F-69</w:t>
            </w:r>
          </w:p>
        </w:tc>
        <w:tc>
          <w:tcPr>
            <w:tcW w:w="2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91" w:name="page192"/>
    <w:bookmarkEnd w:id="19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25"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24765</wp:posOffset>
            </wp:positionV>
            <wp:extent cx="140271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debt and warrants in private placement,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Proceeds from issuance of Common Stock and warrants in private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placement, net of fees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“at the market” Program,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Employee Stock Purchase Plan Shares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related party 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debt in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(33,170)</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of notes payable, other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other financing loans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insurance financing loans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57"/>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Impact of reverse stock split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Net cash and cash equivalents (used in) provided by financing activities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(9,863)</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 at the beginning of period</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 at the end of period</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00" w:type="dxa"/>
            <w:vAlign w:val="bottom"/>
            <w:vMerge w:val="continue"/>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flow information</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of prepaid insurance</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Transfer of property and equipment to inventory</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2" w:name="page193"/>
    <w:bookmarkEnd w:id="19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right="2940"/>
        <w:spacing w:after="0" w:line="416" w:lineRule="auto"/>
        <w:rPr>
          <w:sz w:val="20"/>
          <w:szCs w:val="20"/>
          <w:color w:val="auto"/>
        </w:rPr>
      </w:pPr>
      <w:r>
        <w:rPr>
          <w:rFonts w:ascii="Times New Roman" w:cs="Times New Roman" w:eastAsia="Times New Roman" w:hAnsi="Times New Roman"/>
          <w:sz w:val="16"/>
          <w:szCs w:val="16"/>
          <w:b w:val="1"/>
          <w:bCs w:val="1"/>
          <w:color w:val="auto"/>
        </w:rPr>
        <w:t>Note 1 — Overview, Basis of Presentation and Significant Accounting Policies Description of Business</w:t>
      </w: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nine wholly-owned subsidiaries, which are collectively referred to as the “Subsidiaries” and the Company also has ownership interests in certain companies.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3" w:name="page194"/>
    <w:bookmarkEnd w:id="19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40"/>
        <w:spacing w:after="0" w:line="247" w:lineRule="auto"/>
        <w:rPr>
          <w:sz w:val="20"/>
          <w:szCs w:val="20"/>
          <w:color w:val="auto"/>
        </w:rPr>
      </w:pPr>
      <w:r>
        <w:rPr>
          <w:rFonts w:ascii="Times New Roman" w:cs="Times New Roman" w:eastAsia="Times New Roman" w:hAnsi="Times New Roman"/>
          <w:sz w:val="16"/>
          <w:szCs w:val="16"/>
          <w:color w:val="auto"/>
        </w:rPr>
        <w:t>Warrants will be issued separately but can only be purchased together in this Offering. Additional information regarding the Company’s December 2022 Warrants may be found in Note 4 — Fair Value Measures and Note 10 — Stockholders’ Equity, included elsewhere in the notes to the consolidated financial statements.</w:t>
      </w:r>
    </w:p>
    <w:p>
      <w:pPr>
        <w:spacing w:after="0" w:line="92"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00"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 day compliance period, unless the Staff exercises its discretion to extend the minimum trading day period pursuant to Nasdaq Listing Rule 5810(c)(3)</w:t>
      </w:r>
    </w:p>
    <w:p>
      <w:pPr>
        <w:spacing w:after="0" w:line="4"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(G). On July 19, 2023, the Company received a notice from Nasdaq confirming its recompliance with the minimum bid price rule.</w:t>
      </w:r>
    </w:p>
    <w:p>
      <w:pPr>
        <w:spacing w:after="0" w:line="97"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10 -K, the First Quarter 2023 Form 10-Q and the Second Quarter 2023 Form 10-Q without unreasonable effort or expense.</w:t>
      </w:r>
    </w:p>
    <w:p>
      <w:pPr>
        <w:spacing w:after="0" w:line="7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4" w:name="page195"/>
    <w:bookmarkEnd w:id="19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The Paycheck Protection Program</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$0.8 million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Wholly-Owned Subsidiaries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(“GAAP”) and include the accounts of Agrify Corporation and its wholly- 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5" w:name="page196"/>
    <w:bookmarkEnd w:id="19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Less Than Wholly-Owned Subsidiaries</w:t>
      </w:r>
    </w:p>
    <w:p>
      <w:pPr>
        <w:spacing w:after="0" w:line="120" w:lineRule="exact"/>
        <w:rPr>
          <w:sz w:val="20"/>
          <w:szCs w:val="20"/>
          <w:color w:val="auto"/>
        </w:rPr>
      </w:pPr>
    </w:p>
    <w:p>
      <w:pPr>
        <w:jc w:val="both"/>
        <w:ind w:left="900" w:right="900" w:firstLine="384"/>
        <w:spacing w:after="0"/>
        <w:rPr>
          <w:sz w:val="20"/>
          <w:szCs w:val="20"/>
          <w:color w:val="auto"/>
        </w:rPr>
      </w:pPr>
      <w:r>
        <w:rPr>
          <w:rFonts w:ascii="Times New Roman" w:cs="Times New Roman" w:eastAsia="Times New Roman" w:hAnsi="Times New Roman"/>
          <w:sz w:val="16"/>
          <w:szCs w:val="16"/>
          <w:color w:val="auto"/>
        </w:rPr>
        <w:t>For the Company’s less than wholly-owned subsidiaries, which include, Agrify -Valiant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w:t>
      </w:r>
    </w:p>
    <w:p>
      <w:pPr>
        <w:ind w:left="1120" w:hanging="214"/>
        <w:spacing w:after="0" w:line="237" w:lineRule="auto"/>
        <w:tabs>
          <w:tab w:leader="none" w:pos="11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equity to permit it to finance its activities without additional subordinated financial support or</w:t>
      </w:r>
    </w:p>
    <w:p>
      <w:pPr>
        <w:jc w:val="both"/>
        <w:ind w:left="900" w:right="900" w:firstLine="6"/>
        <w:spacing w:after="0" w:line="235" w:lineRule="auto"/>
        <w:tabs>
          <w:tab w:leader="none" w:pos="113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 -Valiant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 - controlling interests are not redeemable by the equity holders and are presented as part of permanent equity. Income and losses are allocated to the non-controlling interest holders based on its economic ownership percentage.</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and has negative cash flows from operations and a working capital deficiency. The Company also has an accumulated deficit of $266 million as of September 30,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As of September 30, 2023, the Company had $0.2 million of cash, cash equivalents, and marketable securities. The Company had no restricted cash as of September 30, 2023. As of December 31, 2022 the Company’s restricted cash balance of $10.0 million was associated with its new senior secured note (the “Exchange Note”). Current liabilities were $41.4 million as of September 30, 2023. Additional information regarding the Company’s Exchange Note may be found in Note 8 — Debt, included elsewhere in the notes to the consolidated financial statements.</w:t>
      </w:r>
    </w:p>
    <w:p>
      <w:pPr>
        <w:spacing w:after="0" w:line="101"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Canaccord Genuity LLC (the “Agent”) pursuant to which it may issue and sell, from time to time, shares of its Common Stock having an aggregate offering price of up to $ 50 million, depending on market demand, with the Agent acting as an agent for sales. The ATM Program allowed the Company to sell shares of Common Stock pursuant to specific parameters defined by the Company as well</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6" w:name="page197"/>
    <w:bookmarkEnd w:id="19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7" w:lineRule="auto"/>
        <w:rPr>
          <w:sz w:val="20"/>
          <w:szCs w:val="20"/>
          <w:color w:val="auto"/>
        </w:rPr>
      </w:pPr>
      <w:r>
        <w:rPr>
          <w:rFonts w:ascii="Times New Roman" w:cs="Times New Roman" w:eastAsia="Times New Roman" w:hAnsi="Times New Roman"/>
          <w:sz w:val="16"/>
          <w:szCs w:val="16"/>
          <w:color w:val="auto"/>
        </w:rPr>
        <w:t>as those defined by the SEC and the ATM Program agreement. In 2022, the Company sold 306,628 shares of Common Stock under the ATM at an average price of $50.85, resulting in gross proceeds of $15.6 million and net proceeds $15.1 million after commissions and fees to the Agent totaling $0.5 million and legal fees totaling $0.1 million. As of April 1, 2023, after which time the ATM program was discontinued, the Company sold an additional 323,082 shares of Common Stock under the ATM at an average price of $4.93, resulting in gross proceeds of $ 1.6 million and net proceeds of $1.6 million after commissions and fees to the Agent totaling $48 thousand. $3.0 million of the proceeds under the ATM Program were used to repay amounts due to High Trail Special Situations LLC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the Company’s Annual Report on Form 10 -K, the Company is no longer eligible to utilize the registration statement on Form S-3 relating to the ATM Program.</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 -based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Certain amounts in the Company’s prior period financial statements have been reclassified to conform to the presentation of the current period financial statements. In this filing, the Company has reclassified selling, general and administrative expenses to two separate line items in the accompanying consolidated statements of operations as general and administrative expenses and selling and marketing expenses for the three months ended September 30, 2023 and 2022.</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Cash and cash equivalents consist principally of cash and deposits with maturities of three months or less as of September 30, 2023 and December 31, 2022. All cash equivalents are carried at cost, which approximates fair value.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7" w:name="page198"/>
    <w:bookmarkEnd w:id="19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Concentration of Credit Risk and Significant Customer</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tables below show customers who account for 10% or more of the Company’s total revenues and 10% or more of the Company’s accounts receivable for the periods presented: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2023 and 2022, the Company’s customers that accounted for 10% or more of the total revenue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6"/>
              </w:rPr>
              <w:t>Company Customer</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136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1,930</w:t>
            </w: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7,054</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w w:val="96"/>
              </w:rPr>
              <w:t>Company 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125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1,855</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40" w:type="dxa"/>
            <w:vAlign w:val="bottom"/>
            <w:gridSpan w:val="2"/>
            <w:shd w:val="clear" w:color="auto" w:fill="CCEEFF"/>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w w:val="96"/>
              </w:rPr>
              <w:t>Company Customer</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8,590</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260" w:hanging="354"/>
        <w:spacing w:after="0"/>
        <w:tabs>
          <w:tab w:leader="none" w:pos="12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revenue, as a percentage of total revenue, was less than 10%</w:t>
      </w:r>
    </w:p>
    <w:p>
      <w:pPr>
        <w:spacing w:after="0" w:line="162" w:lineRule="exact"/>
        <w:rPr>
          <w:rFonts w:ascii="Times New Roman" w:cs="Times New Roman" w:eastAsia="Times New Roman" w:hAnsi="Times New Roman"/>
          <w:sz w:val="14"/>
          <w:szCs w:val="14"/>
          <w:color w:val="auto"/>
        </w:rPr>
      </w:pPr>
    </w:p>
    <w:p>
      <w:pPr>
        <w:ind w:left="4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8" w:name="page199"/>
    <w:bookmarkEnd w:id="19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and December 31, 2022, the Company’s customers that accounted for 10% or more of the total accounts receivable, net,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8"/>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6"/>
        </w:trPr>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r>
      <w:tr>
        <w:trPr>
          <w:trHeight w:val="28"/>
        </w:trPr>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4"/>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15095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15874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16491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10888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5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64" w:lineRule="exact"/>
        <w:rPr>
          <w:sz w:val="20"/>
          <w:szCs w:val="20"/>
          <w:color w:val="auto"/>
        </w:rPr>
      </w:pPr>
    </w:p>
    <w:p>
      <w:pPr>
        <w:ind w:left="1260" w:hanging="354"/>
        <w:spacing w:after="0"/>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accounts receivable, as a percentage of total accounts receivable, was less than 10%</w:t>
      </w:r>
    </w:p>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values all its inventories, which consist primarily of significant raw material hardware components, at the lower of cost or net realizable value, with cost principally determined by the weighted-average cost method on a first-in, first- out basis. Write-offs of potentially slow-moving or damaged inventory are recorded through specific identification of obsolete or damaged material.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360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8"/>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 to 3</w:t>
            </w: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of laboratory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 to 13</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of estimated useful life or remaining lease term</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Costs for capital assets not yet placed into service are capitalized as construction-in-progress and depreciated once placed into service. During construction, costs are accumulated in a construction-in- progress account, with no depreciation. Upon completion, costs are transferred to the appropriate asset account, and depreciation begins when the asset is placed into service.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9" w:name="page200"/>
    <w:bookmarkEnd w:id="19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in 2022. Additional information regarding the Company’s interim testing on goodwill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initially records intangible assets at their estimated fair values and reviews these assets periodically for impairment. Identifiable intangible assets, which consist principally of customer- related acquired assets, acquired and/or developed technology, non -compete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98"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useful lives are as follows:</w:t>
            </w:r>
          </w:p>
        </w:tc>
        <w:tc>
          <w:tcPr>
            <w:tcW w:w="2700" w:type="dxa"/>
            <w:vAlign w:val="bottom"/>
          </w:tcPr>
          <w:p>
            <w:pPr>
              <w:spacing w:after="0"/>
              <w:rPr>
                <w:sz w:val="17"/>
                <w:szCs w:val="17"/>
                <w:color w:val="auto"/>
              </w:rPr>
            </w:pPr>
          </w:p>
        </w:tc>
      </w:tr>
      <w:tr>
        <w:trPr>
          <w:trHeight w:val="33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7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Capitalized website costs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3 to 5 years</w:t>
            </w:r>
          </w:p>
        </w:tc>
      </w:tr>
    </w:tbl>
    <w:p>
      <w:pPr>
        <w:spacing w:after="0" w:line="21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0" w:name="page201"/>
    <w:bookmarkEnd w:id="20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in 2022. Additional information regarding the Company’s interim testing on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 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97"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w:t>
      </w:r>
    </w:p>
    <w:p>
      <w:pPr>
        <w:spacing w:after="0" w:line="4" w:lineRule="exact"/>
        <w:rPr>
          <w:sz w:val="20"/>
          <w:szCs w:val="20"/>
          <w:color w:val="auto"/>
        </w:rPr>
      </w:pPr>
    </w:p>
    <w:p>
      <w:pPr>
        <w:ind w:left="900" w:right="920"/>
        <w:spacing w:after="0" w:line="238" w:lineRule="auto"/>
        <w:rPr>
          <w:sz w:val="20"/>
          <w:szCs w:val="20"/>
          <w:color w:val="auto"/>
        </w:rPr>
      </w:pPr>
      <w:r>
        <w:rPr>
          <w:rFonts w:ascii="Times New Roman" w:cs="Times New Roman" w:eastAsia="Times New Roman" w:hAnsi="Times New Roman"/>
          <w:sz w:val="16"/>
          <w:szCs w:val="16"/>
          <w:color w:val="auto"/>
        </w:rPr>
        <w:t>— Fair Value Measures and Note 9 — Debt, included elsewhere in the notes to the consolidated financial statements.</w:t>
      </w:r>
    </w:p>
    <w:p>
      <w:pPr>
        <w:spacing w:after="0" w:line="97"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Additionally, on April 18, 2023, the Company modified the exercise price of certain warrants, to reduce this from $13.00 per share to $3.45 per share.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1" w:name="page202"/>
    <w:bookmarkEnd w:id="20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Debt Issuance Costs and Debt Discount</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Original Issue Discount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2" w:name="page203"/>
    <w:bookmarkEnd w:id="20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6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consolidated statements of operations in the same manner in which the award recipient’s payroll costs are classified.</w:t>
      </w:r>
    </w:p>
    <w:p>
      <w:pPr>
        <w:spacing w:after="0" w:line="83" w:lineRule="exact"/>
        <w:rPr>
          <w:sz w:val="20"/>
          <w:szCs w:val="20"/>
          <w:color w:val="auto"/>
        </w:rPr>
      </w:pPr>
    </w:p>
    <w:p>
      <w:pPr>
        <w:jc w:val="both"/>
        <w:ind w:left="900" w:right="860" w:firstLine="384"/>
        <w:spacing w:after="0" w:line="237" w:lineRule="auto"/>
        <w:rPr>
          <w:sz w:val="20"/>
          <w:szCs w:val="20"/>
          <w:color w:val="auto"/>
        </w:rPr>
      </w:pPr>
      <w:r>
        <w:rPr>
          <w:rFonts w:ascii="Times New Roman" w:cs="Times New Roman" w:eastAsia="Times New Roman" w:hAnsi="Times New Roman"/>
          <w:sz w:val="16"/>
          <w:szCs w:val="16"/>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97"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7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 generates revenue from the following sources: (1) equipment sales, (2) providing services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3" w:name="page204"/>
    <w:bookmarkEnd w:id="20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the Company recognizes revenue from contracts with customers using a five-step model, which is described below:</w:t>
      </w:r>
    </w:p>
    <w:p>
      <w:pPr>
        <w:spacing w:after="0" w:line="83" w:lineRule="exact"/>
        <w:rPr>
          <w:sz w:val="20"/>
          <w:szCs w:val="20"/>
          <w:color w:val="auto"/>
        </w:rPr>
      </w:pPr>
    </w:p>
    <w:p>
      <w:pPr>
        <w:ind w:left="1680" w:hanging="389"/>
        <w:spacing w:after="0"/>
        <w:tabs>
          <w:tab w:leader="none" w:pos="16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12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88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120"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4" w:name="page205"/>
    <w:bookmarkEnd w:id="20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utilizes the cost- 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determines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nine months ended September 30, 2023 and 2022, the Company did not have any such financial income.</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5" w:name="page206"/>
    <w:bookmarkEnd w:id="20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59"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606- 10-50-14A, including (i) performance obligation is part of a contract that has an original expected duration of one year or less and (ii) the right to invoice practical expedient.</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 -year period. In accordance with ASC 450-20-25, the Company accrues for product warranties when the loss is probable and can be reasonably estimated. The Company maintains a reserve for warranty returns of $0.6 million and $0.6 million for September 30,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capitalizes certain software engineering efforts related to the continued development of Agrify Insights™ under ASC Topic 350 -40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6" w:name="page207"/>
    <w:bookmarkEnd w:id="20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75" w:lineRule="auto"/>
        <w:rPr>
          <w:sz w:val="20"/>
          <w:szCs w:val="20"/>
          <w:color w:val="auto"/>
        </w:rPr>
      </w:pPr>
      <w:r>
        <w:rPr>
          <w:rFonts w:ascii="Times New Roman" w:cs="Times New Roman" w:eastAsia="Times New Roman" w:hAnsi="Times New Roman"/>
          <w:sz w:val="14"/>
          <w:szCs w:val="14"/>
          <w:color w:val="auto"/>
        </w:rPr>
        <w:t>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-likely-than- 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26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 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7" w:name="page208"/>
    <w:bookmarkEnd w:id="20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reverse stock splits effected on October 18, 2022 and July 5, 2023. Net loss per share was calculated based on the weighted-average number of Common Stock outstanding.</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August 2020, the FASB issued ASU No. 2020-06, Debt — Debt with Conversion and Other Options (Subtopic 470-20), and Derivatives and Hedging —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2020 -06 is effective for fiscal years beginning after December 15, 2021, including interim periods within those fiscal years. The Company adopted this standard as of January 1, 2022. The adoption of this new accounting guidance had no impact on the Company’s consolidated financial position.</w:t>
      </w:r>
    </w:p>
    <w:p>
      <w:pPr>
        <w:spacing w:after="0" w:line="98"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 sale debt securities. ASU 2016-13 is effective for fiscal years beginning after December 15, 2022. The Company adopted ASU 2016-13 on January 1, 2023. The adoption of this standard did not have a material impact on these condensed consolidated financial statements.</w:t>
      </w:r>
    </w:p>
    <w:p>
      <w:pPr>
        <w:spacing w:after="0" w:line="101"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adopted ASU 2021-08 on January 1, 2023. The adoption of this standard did not have a material impact on these condensed consolidated financial statements.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recent accounting pronouncements did not or are not believed by management to have a material impact on the Company’s present or future consolidated financial statements.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2 — Revenue and Deferred Revenue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8" w:name="page209"/>
    <w:bookmarkEnd w:id="20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2 — Revenue and Deferred Revenue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the timing of revenue recognition:</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74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2,831</w:t>
            </w:r>
          </w:p>
        </w:tc>
        <w:tc>
          <w:tcPr>
            <w:tcW w:w="66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5,657</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28,675</w:t>
            </w:r>
          </w:p>
        </w:tc>
      </w:tr>
      <w:tr>
        <w:trPr>
          <w:trHeight w:val="257"/>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Transferred over time</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1,362</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23,694</w:t>
            </w:r>
          </w:p>
        </w:tc>
      </w:tr>
      <w:tr>
        <w:trPr>
          <w:trHeight w:val="238"/>
        </w:trPr>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74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3,139</w:t>
            </w:r>
          </w:p>
        </w:tc>
        <w:tc>
          <w:tcPr>
            <w:tcW w:w="6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7,019</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w:t>
      </w:r>
    </w:p>
    <w:p>
      <w:pPr>
        <w:spacing w:after="0" w:line="2" w:lineRule="exact"/>
        <w:rPr>
          <w:sz w:val="20"/>
          <w:szCs w:val="20"/>
          <w:color w:val="auto"/>
        </w:rPr>
      </w:pPr>
    </w:p>
    <w:p>
      <w:pPr>
        <w:ind w:left="900" w:right="920" w:firstLine="6"/>
        <w:spacing w:after="0" w:line="238" w:lineRule="auto"/>
        <w:tabs>
          <w:tab w:leader="none" w:pos="1087"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obligation is part of a contract that has an original expected duration of one year or less and (ii) the right to invoice practical expedient.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Changes in the Company’s current deferred revenue balance for the three months ended September 30, 2023 and the year ended December 31, 2022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 beginning of period</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Recognized</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(3,718)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(13,052)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revenue – end of period</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Deferred revenue balances primarily consist of customer deposits on the Company’s cultivation and extraction solutions equipment. As of September 30, 2023 and December 31, 2022, all of the Company’s deferred revenue balances were reported as current liabilities in the accompanying consolidated balance sheets.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3 — Supplemental Consolidated Balance Sheet Information</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Accounts receivable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gross</w:t>
            </w:r>
          </w:p>
        </w:tc>
        <w:tc>
          <w:tcPr>
            <w:tcW w:w="24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4"/>
              </w:rPr>
              <w:t>3,722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5,675</w:t>
            </w:r>
          </w:p>
        </w:tc>
        <w:tc>
          <w:tcPr>
            <w:tcW w:w="0" w:type="dxa"/>
            <w:vAlign w:val="bottom"/>
          </w:tcPr>
          <w:p>
            <w:pPr>
              <w:spacing w:after="0"/>
              <w:rPr>
                <w:sz w:val="1"/>
                <w:szCs w:val="1"/>
                <w:color w:val="auto"/>
              </w:rPr>
            </w:pPr>
          </w:p>
        </w:tc>
      </w:tr>
      <w:tr>
        <w:trPr>
          <w:trHeight w:val="257"/>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8"/>
              </w:rPr>
              <w:t>(2,535)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(4,605)</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00" w:type="dxa"/>
            <w:vAlign w:val="bottom"/>
            <w:vMerge w:val="continue"/>
            <w:shd w:val="clear" w:color="auto" w:fill="CCEEFF"/>
          </w:tcPr>
          <w:p>
            <w:pPr>
              <w:spacing w:after="0"/>
              <w:rPr>
                <w:sz w:val="20"/>
                <w:szCs w:val="20"/>
                <w:color w:val="auto"/>
              </w:rPr>
            </w:pPr>
          </w:p>
        </w:tc>
        <w:tc>
          <w:tcPr>
            <w:tcW w:w="24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4"/>
              </w:rPr>
              <w:t>1,187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F-87</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09" w:name="page210"/>
    <w:bookmarkEnd w:id="20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changes in the allowance for credit losses accounts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 – beginning of period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(Recovery of) allowance for credit 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4,928</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Write-offs of uncollectible accounts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 – end of period</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recognized a net recovery of bad debt income of $0.4 million, relative to a bad debt expense of $0.4 million, for the three months ended September 30, 2023 and 2022, respectively, and a net recovery of bad debt of $1.0 million, relative to a bad debt expense of $1.9 million, for the nine months ended September 30, 2023 and 2022, respectively.</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settlement receivables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other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tcPr>
          <w:p>
            <w:pPr>
              <w:spacing w:after="0"/>
              <w:rPr>
                <w:sz w:val="21"/>
                <w:szCs w:val="2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materials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21"/>
                <w:szCs w:val="2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costs,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 other</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 w:type="dxa"/>
            <w:vAlign w:val="bottom"/>
          </w:tcPr>
          <w:p>
            <w:pPr>
              <w:spacing w:after="0"/>
              <w:rPr>
                <w:sz w:val="22"/>
                <w:szCs w:val="22"/>
                <w:color w:val="auto"/>
              </w:rPr>
            </w:pPr>
          </w:p>
        </w:tc>
      </w:tr>
      <w:tr>
        <w:trPr>
          <w:trHeight w:val="231"/>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19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4,465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1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and equipment, gross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4,973</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7,443</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74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60" w:type="dxa"/>
            <w:vAlign w:val="bottom"/>
            <w:vMerge w:val="continue"/>
            <w:shd w:val="clear" w:color="auto" w:fill="CCEEFF"/>
          </w:tcPr>
          <w:p>
            <w:pPr>
              <w:spacing w:after="0"/>
              <w:rPr>
                <w:sz w:val="20"/>
                <w:szCs w:val="20"/>
                <w:color w:val="auto"/>
              </w:rPr>
            </w:pPr>
          </w:p>
        </w:tc>
        <w:tc>
          <w:tcPr>
            <w:tcW w:w="19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8,385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F-88</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0" w:name="page211"/>
    <w:bookmarkEnd w:id="2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Depreciation expense for the three months ended September 30, 2023 and 2022 was $0.5 million and $0.4 million, respectively, and $1.5 million and $1.2 million for the nine months ended September 30, 2023 and 2022, respectively. Depreciation expense is recorded within general and administrative expenses, research and development expenses, and selling and marketing expenses depending on the nature of the property and equipment depreciated.</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Non-Current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Other non-current assets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5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deferred commissions expense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38"/>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payable</w:t>
            </w:r>
            <w:r>
              <w:rPr>
                <w:rFonts w:ascii="Times New Roman" w:cs="Times New Roman" w:eastAsia="Times New Roman" w:hAnsi="Times New Roman"/>
                <w:sz w:val="19"/>
                <w:szCs w:val="19"/>
                <w:color w:val="auto"/>
                <w:vertAlign w:val="superscript"/>
              </w:rPr>
              <w:t>(1)</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20" w:type="dxa"/>
            <w:vAlign w:val="bottom"/>
          </w:tcPr>
          <w:p>
            <w:pPr>
              <w:spacing w:after="0"/>
              <w:rPr>
                <w:sz w:val="21"/>
                <w:szCs w:val="21"/>
                <w:color w:val="auto"/>
              </w:rPr>
            </w:pPr>
          </w:p>
        </w:tc>
      </w:tr>
      <w:tr>
        <w:trPr>
          <w:trHeight w:val="26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acquisition liabilities</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construction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expense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related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warranty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inventory purchases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consulting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22"/>
                <w:szCs w:val="22"/>
                <w:color w:val="auto"/>
              </w:rPr>
            </w:pPr>
          </w:p>
        </w:tc>
      </w:tr>
      <w:tr>
        <w:trPr>
          <w:trHeight w:val="23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00" w:hanging="394"/>
        <w:spacing w:after="0" w:line="258" w:lineRule="auto"/>
        <w:tabs>
          <w:tab w:leader="none" w:pos="13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jc w:val="both"/>
        <w:ind w:left="1300" w:right="900" w:hanging="394"/>
        <w:spacing w:after="0" w:line="265" w:lineRule="auto"/>
        <w:tabs>
          <w:tab w:leader="none" w:pos="13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Warranty Costs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activity related to the Company’s accrued liability for estimated future warranty costs: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beginning of period</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accrued for warranties issued during the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Warranty accruals paid during the during</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Warranty accrual – end of period</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color w:val="auto"/>
              </w:rPr>
              <w:t>F-89</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8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1" w:name="page212"/>
    <w:bookmarkEnd w:id="2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4 — Fair Value Measures</w:t>
      </w:r>
    </w:p>
    <w:p>
      <w:pPr>
        <w:spacing w:after="0" w:line="1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Fair Values of Assets and Liabilities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Level 1: Observable inputs such as quoted prices for identical assets or liabilities in active markets.</w:t>
      </w:r>
    </w:p>
    <w:p>
      <w:pPr>
        <w:spacing w:after="0" w:line="200" w:lineRule="exact"/>
        <w:rPr>
          <w:sz w:val="20"/>
          <w:szCs w:val="20"/>
          <w:color w:val="auto"/>
        </w:rPr>
      </w:pPr>
    </w:p>
    <w:p>
      <w:pPr>
        <w:ind w:left="1880" w:right="920" w:hanging="587"/>
        <w:spacing w:after="0" w:line="259" w:lineRule="auto"/>
        <w:rPr>
          <w:sz w:val="20"/>
          <w:szCs w:val="20"/>
          <w:color w:val="auto"/>
        </w:rPr>
      </w:pPr>
      <w:r>
        <w:rPr>
          <w:rFonts w:ascii="Times New Roman" w:cs="Times New Roman" w:eastAsia="Times New Roman" w:hAnsi="Times New Roman"/>
          <w:sz w:val="16"/>
          <w:szCs w:val="16"/>
          <w:color w:val="auto"/>
        </w:rPr>
        <w:t>Level 2: Other inputs that are observable directly or indirectly, such as quoted prices for similar instruments in active markets or for similar markets that are not active.</w:t>
      </w:r>
    </w:p>
    <w:p>
      <w:pPr>
        <w:spacing w:after="0" w:line="119" w:lineRule="exact"/>
        <w:rPr>
          <w:sz w:val="20"/>
          <w:szCs w:val="20"/>
          <w:color w:val="auto"/>
        </w:rPr>
      </w:pPr>
    </w:p>
    <w:p>
      <w:pPr>
        <w:ind w:left="1880" w:right="920" w:hanging="587"/>
        <w:spacing w:after="0" w:line="259" w:lineRule="auto"/>
        <w:rPr>
          <w:sz w:val="20"/>
          <w:szCs w:val="20"/>
          <w:color w:val="auto"/>
        </w:rPr>
      </w:pPr>
      <w:r>
        <w:rPr>
          <w:rFonts w:ascii="Times New Roman" w:cs="Times New Roman" w:eastAsia="Times New Roman" w:hAnsi="Times New Roman"/>
          <w:sz w:val="16"/>
          <w:szCs w:val="16"/>
          <w:color w:val="auto"/>
        </w:rPr>
        <w:t>Level 3: Unobservable inputs for which there is little or no market data which require the Company to develop its own assumptions about how market participants would price the asset or liability.</w:t>
      </w:r>
    </w:p>
    <w:p>
      <w:pPr>
        <w:spacing w:after="0" w:line="15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At September 30, 2023 and December 31, 2022, the Company’s assets and liabilities measured at fair value on a recurring basis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8"/>
          </w:tcPr>
          <w:p>
            <w:pPr>
              <w:jc w:val="center"/>
              <w:ind w:left="8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10"/>
          </w:tcPr>
          <w:p>
            <w:pPr>
              <w:jc w:val="right"/>
              <w:ind w:right="32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5"/>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9"/>
                <w:szCs w:val="19"/>
                <w:color w:val="auto"/>
              </w:rPr>
            </w:pP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Mutual funds (included in cash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85"/>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January 2022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March 2022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August 2022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December</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2022 warrants</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2,330</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2,386</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92" w:lineRule="exact"/>
        <w:rPr>
          <w:sz w:val="20"/>
          <w:szCs w:val="20"/>
          <w:color w:val="auto"/>
        </w:rPr>
      </w:pPr>
    </w:p>
    <w:p>
      <w:pPr>
        <w:ind w:left="1680" w:right="920" w:hanging="389"/>
        <w:spacing w:after="0" w:line="331" w:lineRule="auto"/>
        <w:tabs>
          <w:tab w:leader="none" w:pos="16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accounts receivable, accounts payable, accrued expenses and deferred revenue liabilities approximate their fair values, based on the short-term nature of these instruments.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2" w:name="page213"/>
    <w:bookmarkEnd w:id="2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680" w:right="900" w:hanging="389"/>
        <w:spacing w:after="0" w:line="259" w:lineRule="auto"/>
        <w:tabs>
          <w:tab w:leader="none" w:pos="16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classified as current held-to-maturity securities are recorded at amortized cost, which at September 30, 2023, approximated fair value.</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deferred consideration was recorded in connection with acquisitions during the six months ended September 30, 2023 and fiscal 2022 using an estimated fair value discount at the time of the transactions. As of September 30, 2023 and December 31, 2022, the carrying value of the deferred consideration approximated fair value.</w:t>
      </w:r>
    </w:p>
    <w:p>
      <w:pPr>
        <w:spacing w:after="0" w:line="95"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As of September 30, 2023,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composition of the Company’s marketable securities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5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8"/>
        </w:trPr>
        <w:tc>
          <w:tcPr>
            <w:tcW w:w="4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w:t>
      </w:r>
    </w:p>
    <w:p>
      <w:pPr>
        <w:spacing w:after="0" w:line="12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nine months ended September 30, 2023. The contingent earn-out payments to the sellers for each acquisition are based on the achievement of certain revenue thresholds.</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Accrued contingent consideration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Payments made on contingent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Contingent consideration – end of period</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included contingent consideration within accrued expenses and other current liabilities on its consolidated balance sheets as of September 30, 2023 and December 31, 2022.</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3" w:name="page214"/>
    <w:bookmarkEnd w:id="2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See below for additional information related to each acquisition’s contingent consideration.</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PurePressure</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$0.6 million and their second earn-out by approximately $0.2 million. As required by ASC Topic 805 Business Combination (“ASC 805”), the change in contingent consideration was recorded as a reduction in operating expenses during the third and fourth quarters of 2022, respectively.</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Lab Society</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$0.5 million. As required by ASC 805, the change in contingent consideration was recorded as a reduction in operating expenses during the second and fourth quarters of 2022, respectively.</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Precision and Cascade</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$0.1 million,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Liabilities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estimated fair value of the warrant liabilities on September 30,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95"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However, inherent uncertainties are involved. If factors or assumptions change, the estimated fair values could be materially different.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4" w:name="page215"/>
    <w:bookmarkEnd w:id="2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January 2022 Warrants</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1,496.00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1,496.00</w:t>
            </w:r>
          </w:p>
        </w:tc>
      </w:tr>
      <w:tr>
        <w:trPr>
          <w:trHeight w:val="26"/>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4.58</w:t>
            </w: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r>
      <w:tr>
        <w:trPr>
          <w:trHeight w:val="26"/>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6"/>
        </w:trPr>
        <w:tc>
          <w:tcPr>
            <w:tcW w:w="3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r>
      <w:tr>
        <w:trPr>
          <w:trHeight w:val="28"/>
        </w:trPr>
        <w:tc>
          <w:tcPr>
            <w:tcW w:w="5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4"/>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57"/>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tcPr>
          <w:p>
            <w:pPr>
              <w:spacing w:after="0"/>
              <w:rPr>
                <w:sz w:val="22"/>
                <w:szCs w:val="22"/>
                <w:color w:val="auto"/>
              </w:rPr>
            </w:pPr>
          </w:p>
        </w:tc>
      </w:tr>
      <w:tr>
        <w:trPr>
          <w:trHeight w:val="231"/>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31"/>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238"/>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March 2022 Warrants</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6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430.00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430.00</w:t>
            </w:r>
          </w:p>
        </w:tc>
      </w:tr>
      <w:tr>
        <w:trPr>
          <w:trHeight w:val="26"/>
        </w:trPr>
        <w:tc>
          <w:tcPr>
            <w:tcW w:w="2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2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1240"/>
              <w:spacing w:after="0"/>
              <w:rPr>
                <w:sz w:val="20"/>
                <w:szCs w:val="20"/>
                <w:color w:val="auto"/>
              </w:rPr>
            </w:pPr>
            <w:r>
              <w:rPr>
                <w:rFonts w:ascii="Times New Roman" w:cs="Times New Roman" w:eastAsia="Times New Roman" w:hAnsi="Times New Roman"/>
                <w:sz w:val="16"/>
                <w:szCs w:val="16"/>
                <w:color w:val="auto"/>
              </w:rPr>
              <w:t>F-93</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15" w:name="page216"/>
    <w:bookmarkEnd w:id="21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ectPr>
          <w:pgSz w:w="11900" w:h="16840" w:orient="portrait"/>
          <w:cols w:equalWidth="0" w:num="1">
            <w:col w:w="9020"/>
          </w:cols>
          <w:pgMar w:left="1440" w:top="5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36195</wp:posOffset>
            </wp:positionV>
            <wp:extent cx="4573270" cy="167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Warrant liabilities – beginning of period</w:t>
      </w:r>
    </w:p>
    <w:p>
      <w:pPr>
        <w:spacing w:after="0" w:line="1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Warrant liabilities – March 31, 2023</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Warrant liabilities – June 30, 2023</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Warrant liabilities – September 30, 2023</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Warrants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w:t>
      </w:r>
    </w:p>
    <w:p>
      <w:pPr>
        <w:spacing w:after="0" w:line="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74" w:lineRule="exact"/>
        <w:rPr>
          <w:sz w:val="20"/>
          <w:szCs w:val="20"/>
          <w:color w:val="auto"/>
        </w:rPr>
      </w:pPr>
    </w:p>
    <w:p>
      <w:pPr>
        <w:ind w:left="920" w:hanging="912"/>
        <w:spacing w:after="0"/>
        <w:tabs>
          <w:tab w:leader="none" w:pos="9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w:t>
      </w:r>
    </w:p>
    <w:p>
      <w:pPr>
        <w:spacing w:after="0" w:line="92"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39</w:t>
      </w:r>
    </w:p>
    <w:p>
      <w:pPr>
        <w:spacing w:after="0" w:line="80"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(7)</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32</w:t>
      </w:r>
    </w:p>
    <w:p>
      <w:pPr>
        <w:spacing w:after="0" w:line="80"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(17)</w:t>
      </w:r>
    </w:p>
    <w:p>
      <w:pPr>
        <w:spacing w:after="0" w:line="92" w:lineRule="exact"/>
        <w:rPr>
          <w:sz w:val="20"/>
          <w:szCs w:val="20"/>
          <w:color w:val="auto"/>
        </w:rPr>
      </w:pPr>
    </w:p>
    <w:p>
      <w:pPr>
        <w:ind w:left="920" w:hanging="912"/>
        <w:spacing w:after="0"/>
        <w:tabs>
          <w:tab w:leader="none" w:pos="9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7818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536" w:lineRule="exact"/>
        <w:rPr>
          <w:sz w:val="20"/>
          <w:szCs w:val="20"/>
          <w:color w:val="auto"/>
        </w:rPr>
      </w:pPr>
    </w:p>
    <w:p>
      <w:pPr>
        <w:sectPr>
          <w:pgSz w:w="11900" w:h="16840" w:orient="portrait"/>
          <w:cols w:equalWidth="0" w:num="2">
            <w:col w:w="6180" w:space="720"/>
            <w:col w:w="2120"/>
          </w:cols>
          <w:pgMar w:left="1440" w:top="557" w:right="1440" w:bottom="1440" w:gutter="0" w:footer="0" w:header="0"/>
          <w:type w:val="continuous"/>
        </w:sect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3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246.00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246.00</w:t>
            </w:r>
          </w:p>
        </w:tc>
      </w:tr>
      <w:tr>
        <w:trPr>
          <w:trHeight w:val="26"/>
        </w:trPr>
        <w:tc>
          <w:tcPr>
            <w:tcW w:w="3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3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3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28"/>
        </w:trPr>
        <w:tc>
          <w:tcPr>
            <w:tcW w:w="30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3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r>
      <w:tr>
        <w:trPr>
          <w:trHeight w:val="231"/>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r>
      <w:tr>
        <w:trPr>
          <w:trHeight w:val="231"/>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r>
      <w:tr>
        <w:trPr>
          <w:trHeight w:val="238"/>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30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2282"/>
              <w:spacing w:after="0"/>
              <w:rPr>
                <w:sz w:val="20"/>
                <w:szCs w:val="20"/>
                <w:color w:val="auto"/>
              </w:rPr>
            </w:pPr>
            <w:r>
              <w:rPr>
                <w:rFonts w:ascii="Times New Roman" w:cs="Times New Roman" w:eastAsia="Times New Roman" w:hAnsi="Times New Roman"/>
                <w:sz w:val="16"/>
                <w:szCs w:val="16"/>
                <w:color w:val="auto"/>
              </w:rPr>
              <w:t>F-94</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type w:val="continuous"/>
        </w:sectPr>
      </w:pPr>
    </w:p>
    <w:bookmarkStart w:id="216" w:name="page217"/>
    <w:bookmarkEnd w:id="21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December 2022 Warrants</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3.45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13.00</w:t>
            </w:r>
          </w:p>
        </w:tc>
      </w:tr>
      <w:tr>
        <w:trPr>
          <w:trHeight w:val="26"/>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4.98</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r>
      <w:tr>
        <w:trPr>
          <w:trHeight w:val="26"/>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3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5,854</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44"/>
              <w:spacing w:after="0"/>
              <w:rPr>
                <w:sz w:val="20"/>
                <w:szCs w:val="20"/>
                <w:color w:val="auto"/>
              </w:rPr>
            </w:pPr>
            <w:r>
              <w:rPr>
                <w:rFonts w:ascii="Times New Roman" w:cs="Times New Roman" w:eastAsia="Times New Roman" w:hAnsi="Times New Roman"/>
                <w:sz w:val="16"/>
                <w:szCs w:val="16"/>
                <w:color w:val="auto"/>
                <w:w w:val="98"/>
              </w:rPr>
              <w:t>(3,493)</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2,361</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color w:val="auto"/>
                <w:w w:val="99"/>
              </w:rPr>
              <w:t>1,885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4,246</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44"/>
              <w:spacing w:after="0"/>
              <w:rPr>
                <w:sz w:val="20"/>
                <w:szCs w:val="20"/>
                <w:color w:val="auto"/>
              </w:rPr>
            </w:pPr>
            <w:r>
              <w:rPr>
                <w:rFonts w:ascii="Times New Roman" w:cs="Times New Roman" w:eastAsia="Times New Roman" w:hAnsi="Times New Roman"/>
                <w:sz w:val="16"/>
                <w:szCs w:val="16"/>
                <w:color w:val="auto"/>
                <w:w w:val="98"/>
              </w:rPr>
              <w:t>(1,916)</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2,330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5 — Loans Receivable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portion of the capital raised from the Company’s IPO was allocated to launch the Company’s TTK Solution program. The TTK Solution is the industry’s first -of-its-kind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98"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0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7" w:name="page218"/>
    <w:bookmarkEnd w:id="2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5 — Loans Receivable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4" w:lineRule="auto"/>
        <w:rPr>
          <w:sz w:val="20"/>
          <w:szCs w:val="20"/>
          <w:color w:val="auto"/>
        </w:rPr>
      </w:pPr>
      <w:r>
        <w:rPr>
          <w:rFonts w:ascii="Times New Roman" w:cs="Times New Roman" w:eastAsia="Times New Roman" w:hAnsi="Times New Roman"/>
          <w:sz w:val="14"/>
          <w:szCs w:val="14"/>
          <w:color w:val="auto"/>
        </w:rPr>
        <w:t>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June 30, 2023, the Greenstone loan was fully written off against the reserve as a result of the sale of Greenstone to Denver Greens. It was agreed that Denver Greens would not have to pay back Greenstone’s Loan.</w:t>
      </w:r>
    </w:p>
    <w:p>
      <w:pPr>
        <w:spacing w:after="0" w:line="6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breakdown of loans receivable by customer as of September 30, 2023 and December 31, 2022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139</w:t>
            </w: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Customer 136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125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Customer 24096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 Non-TTK Solution</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3,178</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w:t>
            </w:r>
            <w:r>
              <w:rPr>
                <w:rFonts w:ascii="Times New Roman" w:cs="Times New Roman" w:eastAsia="Times New Roman" w:hAnsi="Times New Roman"/>
                <w:sz w:val="19"/>
                <w:szCs w:val="19"/>
                <w:color w:val="auto"/>
                <w:vertAlign w:val="superscript"/>
              </w:rPr>
              <w:t>(2)(3)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(33,050)</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loan receivable</w:t>
            </w: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shd w:val="clear" w:color="auto" w:fill="CCEEFF"/>
          </w:tcPr>
          <w:p>
            <w:pPr>
              <w:spacing w:after="0"/>
              <w:rPr>
                <w:sz w:val="20"/>
                <w:szCs w:val="20"/>
                <w:color w:val="auto"/>
              </w:rPr>
            </w:pP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20" w:hanging="394"/>
        <w:spacing w:after="0" w:line="262" w:lineRule="auto"/>
        <w:tabs>
          <w:tab w:leader="none" w:pos="13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loan receivable is included within Note 3 — Supplemental Consolidated Balance Sheet Information, included elsewhere in the notes to the consolidated financial statements.</w:t>
      </w:r>
    </w:p>
    <w:p>
      <w:pPr>
        <w:ind w:left="1300" w:hanging="394"/>
        <w:spacing w:after="0"/>
        <w:tabs>
          <w:tab w:leader="none" w:pos="13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written off at December 31, 2022 due to the cancellation of this TTK Solution project.</w:t>
      </w:r>
    </w:p>
    <w:p>
      <w:pPr>
        <w:spacing w:after="0" w:line="7" w:lineRule="exact"/>
        <w:rPr>
          <w:rFonts w:ascii="Times New Roman" w:cs="Times New Roman" w:eastAsia="Times New Roman" w:hAnsi="Times New Roman"/>
          <w:sz w:val="14"/>
          <w:szCs w:val="14"/>
          <w:color w:val="auto"/>
        </w:rPr>
      </w:pPr>
    </w:p>
    <w:p>
      <w:pPr>
        <w:ind w:left="1300" w:right="920" w:hanging="394"/>
        <w:spacing w:after="0" w:line="267" w:lineRule="auto"/>
        <w:tabs>
          <w:tab w:leader="none" w:pos="13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established an allowance for credit losses of approximately $14.7 million related to Bud &amp; Mary’s ongoing litigation. Approximately $4.5 million relates to Hannah.</w:t>
      </w:r>
    </w:p>
    <w:p>
      <w:pPr>
        <w:spacing w:after="0" w:line="8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The Company’s loan receivable from Greenstone was written off in full during the quarter ending June 30, 2023.</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6 — Inventory</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with cost principally determined by the weighted-average cost method on a first- in, first-out basis. Such costs include the acquisition cost for raw materials and operating supplies. The Company’s standard payment terms with suppliers may require making payments in advance of delivery of the Company’s products. The Company’s prepaid inventory is a short -term, non-interest-bearing asset that is applied to the purchase of products once they are delivered.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Inventory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3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8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Inventory for resale</w:t>
            </w: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gross</w:t>
            </w:r>
          </w:p>
        </w:tc>
        <w:tc>
          <w:tcPr>
            <w:tcW w:w="2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Inventory reserves</w:t>
            </w: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(32,759)</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inventory, net</w:t>
            </w:r>
          </w:p>
        </w:tc>
        <w:tc>
          <w:tcPr>
            <w:tcW w:w="26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340" w:type="dxa"/>
            <w:vAlign w:val="bottom"/>
            <w:vMerge w:val="continue"/>
            <w:shd w:val="clear" w:color="auto" w:fill="CCEEFF"/>
          </w:tcPr>
          <w:p>
            <w:pPr>
              <w:spacing w:after="0"/>
              <w:rPr>
                <w:sz w:val="20"/>
                <w:szCs w:val="20"/>
                <w:color w:val="auto"/>
              </w:rPr>
            </w:pPr>
          </w:p>
        </w:tc>
        <w:tc>
          <w:tcPr>
            <w:tcW w:w="28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17,724</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F-96</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8" w:name="page219"/>
    <w:bookmarkEnd w:id="2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6 — Inventory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Inventory Reserves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inventory reserve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beginning of period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inventory reserves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31,817</w:t>
            </w:r>
          </w:p>
        </w:tc>
      </w:tr>
      <w:tr>
        <w:trPr>
          <w:trHeight w:val="238"/>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end of period</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7 — Goodwill and Intangible Assets, Net</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goodwill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0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beginning of period</w:t>
            </w:r>
          </w:p>
        </w:tc>
        <w:tc>
          <w:tcPr>
            <w:tcW w:w="3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Goodwill acquired during period</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purchase accounting adjustment</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loss</w:t>
            </w: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(54,747)</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end of period</w:t>
            </w:r>
          </w:p>
        </w:tc>
        <w:tc>
          <w:tcPr>
            <w:tcW w:w="30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vMerge w:val="continue"/>
            <w:shd w:val="clear" w:color="auto" w:fill="CCEEFF"/>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2362"/>
              <w:spacing w:after="0"/>
              <w:rPr>
                <w:sz w:val="20"/>
                <w:szCs w:val="20"/>
                <w:color w:val="auto"/>
              </w:rPr>
            </w:pPr>
            <w:r>
              <w:rPr>
                <w:rFonts w:ascii="Times New Roman" w:cs="Times New Roman" w:eastAsia="Times New Roman" w:hAnsi="Times New Roman"/>
                <w:sz w:val="16"/>
                <w:szCs w:val="16"/>
                <w:color w:val="auto"/>
              </w:rPr>
              <w:t>F-97</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9" w:name="page220"/>
    <w:bookmarkEnd w:id="2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7 — Goodwill and Intangible Assets, Net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2022 were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8"/>
          </w:tcPr>
          <w:p>
            <w:pPr>
              <w:ind w:left="28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0"/>
              <w:spacing w:after="0" w:line="134" w:lineRule="exact"/>
              <w:rPr>
                <w:sz w:val="20"/>
                <w:szCs w:val="20"/>
                <w:color w:val="auto"/>
              </w:rPr>
            </w:pPr>
            <w:r>
              <w:rPr>
                <w:rFonts w:ascii="Times New Roman" w:cs="Times New Roman" w:eastAsia="Times New Roman" w:hAnsi="Times New Roman"/>
                <w:sz w:val="13"/>
                <w:szCs w:val="13"/>
                <w:b w:val="1"/>
                <w:bCs w:val="1"/>
                <w:color w:val="auto"/>
              </w:rPr>
              <w:t>Additions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Expense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January 1, Retirements, December 31,</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Retirements,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December 31,</w:t>
            </w:r>
          </w:p>
        </w:tc>
        <w:tc>
          <w:tcPr>
            <w:tcW w:w="0" w:type="dxa"/>
            <w:vAlign w:val="bottom"/>
          </w:tcPr>
          <w:p>
            <w:pPr>
              <w:spacing w:after="0"/>
              <w:rPr>
                <w:sz w:val="1"/>
                <w:szCs w:val="1"/>
                <w:color w:val="auto"/>
              </w:rPr>
            </w:pPr>
          </w:p>
        </w:tc>
      </w:tr>
      <w:tr>
        <w:trPr>
          <w:trHeight w:val="174"/>
        </w:trPr>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(6,152)</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(6,343)</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Non-compete</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website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8 — Debt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Company’s debt consisted of:</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 Exchange Note</w:t>
            </w: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PPP Loan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Navitas loan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notes payable</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debt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Unamortized debt premium (discount)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(3,415)</w:t>
            </w:r>
          </w:p>
        </w:tc>
        <w:tc>
          <w:tcPr>
            <w:tcW w:w="0" w:type="dxa"/>
            <w:vAlign w:val="bottom"/>
          </w:tcPr>
          <w:p>
            <w:pPr>
              <w:spacing w:after="0"/>
              <w:rPr>
                <w:sz w:val="1"/>
                <w:szCs w:val="1"/>
                <w:color w:val="auto"/>
              </w:rPr>
            </w:pPr>
          </w:p>
        </w:tc>
      </w:tr>
      <w:tr>
        <w:trPr>
          <w:trHeight w:val="225"/>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debt, net of debt discount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net of current unamortized debt discount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(28,832)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Long-term debt, net of current</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hanging="394"/>
        <w:spacing w:after="0"/>
        <w:tabs>
          <w:tab w:leader="none" w:pos="13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notes payable relates to a one-year insurance premium that was financed over nine-months.</w:t>
      </w:r>
    </w:p>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Payable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Securities Exchange Agreement</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$0.3 million in repayments for other fees under the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0" w:name="page221"/>
    <w:bookmarkEnd w:id="2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Exchange Note is a senior secured obligation of the Company and ranks senior to all indebtedness of the Company. The Exchange Note will mature on the three -year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the Company in connection with any equity financing, which will reduce the outstanding principal amount under the Exchange Note.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any time, the Company may prepay all of the Exchange Note by redemption at a price equal to 102.5% of the then-outstanding principal amount under the Note plus accrued but unpaid interest. The holder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holder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1" w:name="page222"/>
    <w:bookmarkEnd w:id="2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August 2022 Warrants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 first day after notice of such request by the Investor to increase its beneficial ownership limit has been delivered to the Company).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Notes Payable</w:t>
      </w:r>
    </w:p>
    <w:p>
      <w:pPr>
        <w:spacing w:after="0" w:line="120"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On March 8, 2023, the Company entered into a Securities Exchange Agreement (the “Exchange Agreement” or “Second Amendment”) with the Investor. Pursuant to the Exchange Agreement, at closing the Company prepaid approximately $10.3 million in principal amount under the August 2022 Note and exchange $10.0 in principal amount of the remaining balance of the August 2022 Note for a new senior secured convertible note (the “Convertible Note”) with an original principal amount of $ 10.0 million. After the closing of the Exchange Agreement, the August 2022 Note remained outstanding with a remaining balance of $11.7 million.</w:t>
      </w:r>
    </w:p>
    <w:p>
      <w:pPr>
        <w:spacing w:after="0" w:line="7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as a result of the Exchange Agreement, the Company issued a Convertible Note to the Investor with a principal balance of $10 million. The Convertible Note bears a 9.0% annualized interest rate, with interest to be paid monthly, in cash, beginning April 1, 2023. The principal amount of the Convertible Note will be payable on the Maturity Date, provided that the holder will be entitled to a cash sweep of 30% of the proceeds of any at- the-market equity offering and 20% of the proceeds received by the Company in connection with any other equity financing, which will reduce the outstanding principal amount under the August 2022 Note or the Convertible Note.</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At any time, the Company may prepay all of the Convertible Note by redemption at a price equal to 102.5% of the then-outstanding principal amount under the Convertible Note plus accrued but unpaid interest. The holder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holder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holder delivers a notice of acceleration; (b) the total then outstanding principal amount under the Convertible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2" w:name="page223"/>
    <w:bookmarkEnd w:id="2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Note (in thousands); and (c) the greater of (1) the highest daily volume weighted average price (“VWAP”) per share of Common Stock occurring during the fifteen consecutive trading days ending on, and including, the trading day immediately before the date the holder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Convertible Note is fully repaid, the holder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If the holder elects to convert the Convertible Note, the conversion price per share will be $7.64, subject to customary adjustments for certain corporate events. The conversion of the Convertible Note will be subject to certain customary conditions. The Convertible Note may not be converted into shares of Common Stock if such conversion would result in the holder and its affiliates owning an aggregate of in excess of 4.99% of the then-outstanding shares of Common Stock, provided that upon 61 days’ notice, such ownership limitation may be adjusted by the holder, but in any case, to no greater than 9.99%.</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the embedded features in accordance with ASC 815-15-25 and the determined embedded features are not required to be bifurcated and separately measured at fair value.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Interest expense related to the Convertible Notes described above was $1,757,931 for the nine months ended September 30, 2023. Accrued interest totaled $1,041,388 as of September 30, 2023.</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Conversion</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Pursuant to the Exchange Agreement the Company entered into with High Trail Special Situations LLC on March 8, 2023, the Investor elected, on April 26, 2023, to convert $1.6 million of the remaining outstanding principal amount on the Convertible Note for 153,617 shares of Common Stock of the Company.</w:t>
      </w:r>
    </w:p>
    <w:p>
      <w:pPr>
        <w:spacing w:after="0" w:line="92"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May 1, 2023, the Company entered into a letter agreement with the above referenced accredited Lender (the “Letter Agreement”), pursuant to which the Company and the Investor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Investor, with the remaining 375,629 shares held in abeyance until the balance (or portion thereof) may be issued in compliance with such limitations. As a result, the Company recognized a loss on the redemption of $11,609.</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short-term and long-term portions of the Exchange Note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payable, net</w:t>
            </w: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r>
      <w:tr>
        <w:trPr>
          <w:trHeight w:val="257"/>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premium</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38"/>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carrying amount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As of September 30, 2023, future minimum payments were as follows:</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p>
      <w:pPr>
        <w:spacing w:after="0" w:line="3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2023</w:t>
            </w:r>
          </w:p>
        </w:tc>
        <w:tc>
          <w:tcPr>
            <w:tcW w:w="35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6"/>
        </w:trPr>
        <w:tc>
          <w:tcPr>
            <w:tcW w:w="2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18,628</w:t>
            </w:r>
          </w:p>
        </w:tc>
      </w:tr>
      <w:tr>
        <w:trPr>
          <w:trHeight w:val="23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future payments</w:t>
            </w:r>
          </w:p>
        </w:tc>
        <w:tc>
          <w:tcPr>
            <w:tcW w:w="3620" w:type="dxa"/>
            <w:vAlign w:val="bottom"/>
            <w:gridSpan w:val="2"/>
          </w:tcPr>
          <w:p>
            <w:pPr>
              <w:spacing w:after="0"/>
              <w:rPr>
                <w:sz w:val="20"/>
                <w:szCs w:val="20"/>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20,024</w:t>
            </w:r>
          </w:p>
        </w:tc>
      </w:tr>
      <w:tr>
        <w:trPr>
          <w:trHeight w:val="20"/>
        </w:trPr>
        <w:tc>
          <w:tcPr>
            <w:tcW w:w="248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3"/>
        </w:trPr>
        <w:tc>
          <w:tcPr>
            <w:tcW w:w="24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2622"/>
              <w:spacing w:after="0"/>
              <w:rPr>
                <w:sz w:val="20"/>
                <w:szCs w:val="20"/>
                <w:color w:val="auto"/>
              </w:rPr>
            </w:pPr>
            <w:r>
              <w:rPr>
                <w:rFonts w:ascii="Times New Roman" w:cs="Times New Roman" w:eastAsia="Times New Roman" w:hAnsi="Times New Roman"/>
                <w:sz w:val="16"/>
                <w:szCs w:val="16"/>
                <w:color w:val="auto"/>
              </w:rPr>
              <w:t>F-101</w:t>
            </w:r>
          </w:p>
        </w:tc>
        <w:tc>
          <w:tcPr>
            <w:tcW w:w="7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23" w:name="page224"/>
    <w:bookmarkEnd w:id="2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Related party debt</w:t>
      </w:r>
    </w:p>
    <w:p>
      <w:pPr>
        <w:spacing w:after="0" w:line="118" w:lineRule="exact"/>
        <w:rPr>
          <w:sz w:val="20"/>
          <w:szCs w:val="20"/>
          <w:color w:val="auto"/>
        </w:rPr>
      </w:pPr>
    </w:p>
    <w:p>
      <w:pPr>
        <w:jc w:val="both"/>
        <w:ind w:left="900" w:right="920" w:firstLine="384"/>
        <w:spacing w:after="0" w:line="277" w:lineRule="auto"/>
        <w:rPr>
          <w:sz w:val="20"/>
          <w:szCs w:val="20"/>
          <w:color w:val="auto"/>
        </w:rPr>
      </w:pPr>
      <w:r>
        <w:rPr>
          <w:rFonts w:ascii="Times New Roman" w:cs="Times New Roman" w:eastAsia="Times New Roman" w:hAnsi="Times New Roman"/>
          <w:sz w:val="14"/>
          <w:szCs w:val="14"/>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$500,000 to the Company, $300,000 of which was delivered at issuance and the remaining $200,000 delivered on July 31, 2023. The Related Party Note bears interest at a rate of 10% per annum, will mature in full on August 6, 2023, and may be prepaid without any fee or penalty. The Related Party Note ranks junior to all existing secured indebtedness of the Company. The maturity date of the Related Party Note was subsequently amended to December 31, 2023 at which point principal and accrued interest will be repaid in full.</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Paycheck Protection Program Loan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Paycheck Protection Program Loans under the Coronavirus Aid, Relief, and Economic Security Act</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May 2020, the Company entered into a PPP Loan with Bank of America pursuant to the PPP under the CARES Act administered by the SBA.</w:t>
      </w:r>
    </w:p>
    <w:p>
      <w:pPr>
        <w:spacing w:after="0" w:line="83" w:lineRule="exact"/>
        <w:rPr>
          <w:sz w:val="20"/>
          <w:szCs w:val="20"/>
          <w:color w:val="auto"/>
        </w:rPr>
      </w:pPr>
    </w:p>
    <w:p>
      <w:pPr>
        <w:jc w:val="both"/>
        <w:ind w:left="900" w:right="900" w:firstLine="384"/>
        <w:spacing w:after="0" w:line="281" w:lineRule="auto"/>
        <w:rPr>
          <w:sz w:val="20"/>
          <w:szCs w:val="20"/>
          <w:color w:val="auto"/>
        </w:rPr>
      </w:pPr>
      <w:r>
        <w:rPr>
          <w:rFonts w:ascii="Times New Roman" w:cs="Times New Roman" w:eastAsia="Times New Roman" w:hAnsi="Times New Roman"/>
          <w:sz w:val="14"/>
          <w:szCs w:val="14"/>
          <w:color w:val="auto"/>
        </w:rPr>
        <w:t>The Company received total proceeds of approximately $0.8 million from the unsecured PPP Loan, which was originally scheduled to mature on May 7, 2022. The Company applied for forgiveness on the $0.8 million of</w:t>
      </w:r>
    </w:p>
    <w:p>
      <w:pPr>
        <w:spacing w:after="0" w:line="1" w:lineRule="exact"/>
        <w:rPr>
          <w:sz w:val="20"/>
          <w:szCs w:val="20"/>
          <w:color w:val="auto"/>
        </w:rPr>
      </w:pPr>
    </w:p>
    <w:p>
      <w:pPr>
        <w:jc w:val="both"/>
        <w:ind w:left="900" w:right="920" w:firstLine="6"/>
        <w:spacing w:after="0" w:line="236" w:lineRule="auto"/>
        <w:tabs>
          <w:tab w:leader="none" w:pos="120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breakdown of PPP Loan balances by current and non-current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PPP Loan, current</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current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57"/>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PPP Loan, non-current</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8"/>
        </w:trPr>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PPP Loan outstanding</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9 — Leases</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7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As the implicit interest rate in its leases was generally not known, the Company’s used its incremental borrowing rate as the discount rate for purposes of determining the present value of its lease liabilities. At September 30, 2023, the Company’s weighted-average discount rate utilized for its leases was 7.39%.</w:t>
      </w:r>
    </w:p>
    <w:p>
      <w:pPr>
        <w:spacing w:after="0" w:line="92"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When a contract contained lease and non-lease elements, both were accounted for as a single lease component.</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had several non-cancelable finance leases for machinery and equipment. The Company’s finance leases have remaining lease terms of one year to five years.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4" w:name="page225"/>
    <w:bookmarkEnd w:id="2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Leases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on the Company’s operating and financing lease activity was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0" w:type="dxa"/>
            <w:vAlign w:val="bottom"/>
          </w:tcPr>
          <w:p>
            <w:pPr>
              <w:spacing w:after="0"/>
              <w:rPr>
                <w:sz w:val="19"/>
                <w:szCs w:val="19"/>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Finance lease cost: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Pr>
          <w:p>
            <w:pPr>
              <w:spacing w:after="0"/>
              <w:rPr>
                <w:sz w:val="21"/>
                <w:szCs w:val="21"/>
                <w:color w:val="auto"/>
              </w:rPr>
            </w:pPr>
          </w:p>
        </w:tc>
      </w:tr>
      <w:tr>
        <w:trPr>
          <w:trHeight w:val="257"/>
        </w:trPr>
        <w:tc>
          <w:tcPr>
            <w:tcW w:w="2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2"/>
                <w:szCs w:val="22"/>
                <w:color w:val="auto"/>
              </w:rPr>
            </w:pPr>
          </w:p>
        </w:tc>
      </w:tr>
      <w:tr>
        <w:trPr>
          <w:trHeight w:val="23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0" w:type="dxa"/>
            <w:vAlign w:val="bottom"/>
          </w:tcPr>
          <w:p>
            <w:pPr>
              <w:spacing w:after="0"/>
              <w:rPr>
                <w:sz w:val="20"/>
                <w:szCs w:val="20"/>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40" w:orient="portrait"/>
          <w:cols w:equalWidth="0" w:num="1">
            <w:col w:w="9020"/>
          </w:cols>
          <w:pgMar w:left="1440" w:top="557" w:right="1440" w:bottom="1440" w:gutter="0" w:footer="0" w:header="0"/>
        </w:sect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9" w:lineRule="exact"/>
        <w:rPr>
          <w:sz w:val="20"/>
          <w:szCs w:val="20"/>
          <w:color w:val="auto"/>
        </w:rPr>
      </w:pPr>
    </w:p>
    <w:p>
      <w:pPr>
        <w:sectPr>
          <w:pgSz w:w="11900" w:h="16840" w:orient="portrait"/>
          <w:cols w:equalWidth="0" w:num="2">
            <w:col w:w="6800" w:space="320"/>
            <w:col w:w="1900"/>
          </w:cols>
          <w:pgMar w:left="1440" w:top="557" w:right="1440" w:bottom="1440" w:gutter="0" w:footer="0" w:header="0"/>
          <w:type w:val="continuous"/>
        </w:sectPr>
      </w:pPr>
    </w:p>
    <w:tbl>
      <w:tblPr>
        <w:tblLayout w:type="fixed"/>
        <w:tblInd w:w="90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3.23 years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7"/>
              </w:rPr>
              <w:t>3.59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Weighted-average remaining lease term – finance leases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w w:val="96"/>
              </w:rPr>
              <w:t>0 years</w:t>
            </w:r>
          </w:p>
        </w:tc>
        <w:tc>
          <w:tcPr>
            <w:tcW w:w="12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2.30 years</w:t>
            </w:r>
          </w:p>
        </w:tc>
        <w:tc>
          <w:tcPr>
            <w:tcW w:w="0" w:type="dxa"/>
            <w:vAlign w:val="bottom"/>
          </w:tcPr>
          <w:p>
            <w:pPr>
              <w:spacing w:after="0"/>
              <w:rPr>
                <w:sz w:val="1"/>
                <w:szCs w:val="1"/>
                <w:color w:val="auto"/>
              </w:rPr>
            </w:pPr>
          </w:p>
        </w:tc>
      </w:tr>
      <w:tr>
        <w:trPr>
          <w:trHeight w:val="26"/>
        </w:trPr>
        <w:tc>
          <w:tcPr>
            <w:tcW w:w="2420" w:type="dxa"/>
            <w:vAlign w:val="bottom"/>
            <w:gridSpan w:val="3"/>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5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5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Right-of-use, net</w:t>
            </w: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0" w:type="dxa"/>
            <w:vAlign w:val="bottom"/>
          </w:tcPr>
          <w:p>
            <w:pPr>
              <w:spacing w:after="0"/>
              <w:rPr>
                <w:sz w:val="1"/>
                <w:szCs w:val="1"/>
                <w:color w:val="auto"/>
              </w:rPr>
            </w:pPr>
          </w:p>
        </w:tc>
      </w:tr>
      <w:tr>
        <w:trPr>
          <w:trHeight w:val="26"/>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assets</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Operating lease liabilities, non-</w:t>
            </w: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8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Finance lease liabilities, non-current</w:t>
            </w:r>
          </w:p>
        </w:tc>
        <w:tc>
          <w:tcPr>
            <w:tcW w:w="80" w:type="dxa"/>
            <w:vAlign w:val="bottom"/>
          </w:tcPr>
          <w:p>
            <w:pPr>
              <w:spacing w:after="0"/>
              <w:rPr>
                <w:sz w:val="22"/>
                <w:szCs w:val="2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6"/>
                <w:szCs w:val="16"/>
                <w:color w:val="auto"/>
              </w:rPr>
              <w:t>F-103</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type w:val="continuous"/>
        </w:sectPr>
      </w:pPr>
    </w:p>
    <w:bookmarkStart w:id="225" w:name="page226"/>
    <w:bookmarkEnd w:id="2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Leases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Maturities of operating and finance lease liabilities as of September 30, 2023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8"/>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10 — Stockholders’ Equity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6" w:name="page227"/>
    <w:bookmarkEnd w:id="2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Issuance of Common Stock in Connection with Acquisitions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At The Marketing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$0.5 million and legal fees totaling $0.1 million.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issued 594,232 shares of its Common Stock, Pre- 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98"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6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7" w:name="page228"/>
    <w:bookmarkEnd w:id="2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Stockholders’ Equity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the Company’s own stock.</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Raymond Chang, Chairman and CEO, participated in the Offering and purchased 115,385 shares of Common Stock and 230,769 December 2022 Warrants for an aggregate purchase price of approximately $1.5 million.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regarding the Company’s December 2022 Warrants may be found in Note 1</w:t>
      </w:r>
    </w:p>
    <w:p>
      <w:pPr>
        <w:spacing w:after="0" w:line="1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11 — Stock-Based Compensation and Employee Benefit Plans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2022 Omnibus Equity Incentive Plan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September 30, 2023, there were 13,198 shares of Common Stock available to be granted under the Company’s 2022 Plan.</w:t>
      </w:r>
    </w:p>
    <w:p>
      <w:pPr>
        <w:spacing w:after="0" w:line="9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Company’s stock compensation expense was $0.5 million and $1.6 million for the three months ended September 30, 2023 and 2022, respectively. The Company’s stock compensation expense was $2.1 million and $3.5 million for the nine months ended September 30, 2023 and 2022, respectively.</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and nine months ended September 30, 2023 and 2022.</w:t>
      </w:r>
    </w:p>
    <w:p>
      <w:pPr>
        <w:spacing w:after="0" w:line="9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 -free interest rate is based upon quoted market yields for United States Treasury debt securities with a term similar to the expected term.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8" w:name="page229"/>
    <w:bookmarkEnd w:id="2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1" w:lineRule="auto"/>
        <w:rPr>
          <w:sz w:val="20"/>
          <w:szCs w:val="20"/>
          <w:color w:val="auto"/>
        </w:rPr>
      </w:pPr>
      <w:r>
        <w:rPr>
          <w:rFonts w:ascii="Times New Roman" w:cs="Times New Roman" w:eastAsia="Times New Roman" w:hAnsi="Times New Roman"/>
          <w:sz w:val="16"/>
          <w:szCs w:val="16"/>
          <w:color w:val="auto"/>
        </w:rPr>
        <w:t>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 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for the three and six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8"/>
        </w:trPr>
        <w:tc>
          <w:tcPr>
            <w:tcW w:w="3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January 1, 2023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8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September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1,540.76</w:t>
            </w:r>
          </w:p>
        </w:tc>
        <w:tc>
          <w:tcPr>
            <w:tcW w:w="2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as of September 30, 2023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7"/>
              </w:rPr>
              <w:t>Options vested and expected to vest as of September 30, 2023</w:t>
            </w: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1,498.89</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vMerge w:val="continue"/>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12,124</w:t>
            </w:r>
          </w:p>
        </w:tc>
        <w:tc>
          <w:tcPr>
            <w:tcW w:w="1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options under the Company’s 2022 Plan was $1.3 million, which is expected to be recognized over a weighted average period of 0.46 years.</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vested and exercisable at September 30, 2023:</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1460" w:type="dxa"/>
            <w:vAlign w:val="bottom"/>
          </w:tcPr>
          <w:p>
            <w:pPr>
              <w:spacing w:after="0"/>
              <w:rPr>
                <w:sz w:val="16"/>
                <w:szCs w:val="16"/>
                <w:color w:val="auto"/>
              </w:rPr>
            </w:pPr>
          </w:p>
        </w:tc>
      </w:tr>
      <w:tr>
        <w:trPr>
          <w:trHeight w:val="28"/>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6"/>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3,758</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1140" w:type="dxa"/>
            <w:vAlign w:val="bottom"/>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3,526</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1,536.00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1,536.00</w:t>
            </w:r>
          </w:p>
        </w:tc>
      </w:tr>
      <w:tr>
        <w:trPr>
          <w:trHeight w:val="238"/>
        </w:trPr>
        <w:tc>
          <w:tcPr>
            <w:tcW w:w="1140" w:type="dxa"/>
            <w:vAlign w:val="bottom"/>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1,840.00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12.39</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1,840.00</w:t>
            </w:r>
          </w:p>
        </w:tc>
      </w:tr>
      <w:tr>
        <w:trPr>
          <w:trHeight w:val="26"/>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2,768.00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3,924</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r>
      <w:tr>
        <w:trPr>
          <w:trHeight w:val="336"/>
        </w:trPr>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color w:val="auto"/>
              </w:rPr>
              <w:t>F-107</w:t>
            </w: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29" w:name="page230"/>
    <w:bookmarkEnd w:id="2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expected to vest after September 30, 2023:</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 Vested and Expected to Vest</w:t>
            </w:r>
          </w:p>
        </w:tc>
        <w:tc>
          <w:tcPr>
            <w:tcW w:w="1380" w:type="dxa"/>
            <w:vAlign w:val="bottom"/>
          </w:tcPr>
          <w:p>
            <w:pPr>
              <w:spacing w:after="0"/>
              <w:rPr>
                <w:sz w:val="16"/>
                <w:szCs w:val="16"/>
                <w:color w:val="auto"/>
              </w:rPr>
            </w:pPr>
          </w:p>
        </w:tc>
      </w:tr>
      <w:tr>
        <w:trPr>
          <w:trHeight w:val="28"/>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6"/>
        </w:trPr>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11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4"/>
        </w:trPr>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3,566</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1,536.00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1,536.00</w:t>
            </w:r>
          </w:p>
        </w:tc>
      </w:tr>
      <w:tr>
        <w:trPr>
          <w:trHeight w:val="238"/>
        </w:trPr>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1,840.00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12.39</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1,840.00</w:t>
            </w:r>
          </w:p>
        </w:tc>
      </w:tr>
      <w:tr>
        <w:trPr>
          <w:trHeight w:val="26"/>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8"/>
        </w:trPr>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2,768.00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4,500</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r>
      <w:tr>
        <w:trPr>
          <w:trHeight w:val="26"/>
        </w:trPr>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3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900" w:type="dxa"/>
            <w:vAlign w:val="bottom"/>
            <w:tcBorders>
              <w:bottom w:val="single" w:sz="8" w:color="CCEEFF"/>
            </w:tcBorders>
            <w:gridSpan w:val="2"/>
            <w:shd w:val="clear" w:color="auto" w:fill="CCEEFF"/>
          </w:tcPr>
          <w:p>
            <w:pPr>
              <w:jc w:val="center"/>
              <w:ind w:left="464"/>
              <w:spacing w:after="0"/>
              <w:rPr>
                <w:sz w:val="20"/>
                <w:szCs w:val="20"/>
                <w:color w:val="auto"/>
              </w:rPr>
            </w:pPr>
            <w:r>
              <w:rPr>
                <w:rFonts w:ascii="Times New Roman" w:cs="Times New Roman" w:eastAsia="Times New Roman" w:hAnsi="Times New Roman"/>
                <w:sz w:val="16"/>
                <w:szCs w:val="16"/>
                <w:color w:val="auto"/>
                <w:w w:val="99"/>
              </w:rPr>
              <w:t>7,691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6"/>
                <w:szCs w:val="16"/>
                <w:color w:val="auto"/>
                <w:w w:val="98"/>
              </w:rPr>
              <w:t>(2,406)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gridSpan w:val="3"/>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8"/>
              </w:rPr>
              <w:t>(3,100)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Unvested at September 30, 2023</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center"/>
              <w:ind w:left="464"/>
              <w:spacing w:after="0"/>
              <w:rPr>
                <w:sz w:val="20"/>
                <w:szCs w:val="20"/>
                <w:color w:val="auto"/>
              </w:rPr>
            </w:pPr>
            <w:r>
              <w:rPr>
                <w:rFonts w:ascii="Times New Roman" w:cs="Times New Roman" w:eastAsia="Times New Roman" w:hAnsi="Times New Roman"/>
                <w:sz w:val="16"/>
                <w:szCs w:val="16"/>
                <w:color w:val="auto"/>
                <w:w w:val="99"/>
              </w:rPr>
              <w:t>2,185</w:t>
            </w: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restricted stock units was $0.7 million, which is expected to be recognized over a weighted average period of 2.10 years.</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2022 Employee Stock Purchase Plan</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Employee Stock Purchase Plan (“ESPP”). The Company has initially reserved 2,500 shares of Common Stock for issuance under the ESPP. On September 30, 2023, 2,500 shares were available for future issuance.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$ 25 thousand worth of Common Stock annually. No Common Stock was granted under the 2022 ESPP during the three and nine months ended September 30, 2023.</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Employee Benefit Plan</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nine months ended September 30, 2023, the Company did not contribute to the 401(k) Plan.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0" w:name="page231"/>
    <w:bookmarkEnd w:id="2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12 — Stock Warrants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tables present all warrant activity of the Company for the nine months ended September 30,</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September 30, 2023</w:t>
            </w: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1,495,001</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40" w:orient="portrait"/>
          <w:cols w:equalWidth="0" w:num="1">
            <w:col w:w="9020"/>
          </w:cols>
          <w:pgMar w:left="1440" w:top="557" w:right="1440" w:bottom="1440" w:gutter="0" w:footer="0" w:header="0"/>
        </w:sectPr>
      </w:pPr>
    </w:p>
    <w:p>
      <w:pPr>
        <w:spacing w:after="0" w:line="3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Exercise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Price</w:t>
      </w:r>
    </w:p>
    <w:p>
      <w:pPr>
        <w:spacing w:after="0" w:line="39" w:lineRule="exact"/>
        <w:rPr>
          <w:sz w:val="20"/>
          <w:szCs w:val="20"/>
          <w:color w:val="auto"/>
        </w:rPr>
      </w:pPr>
    </w:p>
    <w:p>
      <w:pPr>
        <w:sectPr>
          <w:pgSz w:w="11900" w:h="16840" w:orient="portrait"/>
          <w:cols w:equalWidth="0" w:num="2">
            <w:col w:w="6740" w:space="500"/>
            <w:col w:w="1780"/>
          </w:cols>
          <w:pgMar w:left="1440" w:top="557" w:right="1440" w:bottom="1440" w:gutter="0" w:footer="0" w:header="0"/>
          <w:type w:val="continuous"/>
        </w:sectPr>
      </w:pPr>
    </w:p>
    <w:tbl>
      <w:tblPr>
        <w:tblLayout w:type="fixed"/>
        <w:tblInd w:w="900" w:type="dxa"/>
        <w:tblCellMar>
          <w:top w:w="0" w:type="dxa"/>
          <w:left w:w="0" w:type="dxa"/>
          <w:bottom w:w="0" w:type="dxa"/>
          <w:right w:w="0" w:type="dxa"/>
        </w:tblCellMar>
      </w:tblPr>
      <w:tr>
        <w:trPr>
          <w:trHeight w:val="20"/>
        </w:trPr>
        <w:tc>
          <w:tcPr>
            <w:tcW w:w="50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Warrants outstanding at September 30, 2022</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121,539</w:t>
            </w:r>
          </w:p>
        </w:tc>
        <w:tc>
          <w:tcPr>
            <w:tcW w:w="10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received proceeds from the exercise of cashless warrants of $0 for the three and nine months ended September 30, 2023, and $1 thousand and $2 thousand for the three and nine months ended September 30, 2022,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13 — 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effective income tax rate was 0.0% and 0.2% for the nine months ended September 30, 2023 and 2022, respectively. The provision for (benefit from) income taxes was $ 0 and $0.2 million for the nine months ended September 30, 2023 and 2022, respectively. The difference between the Company’s effective tax rates for the 2023 and 2022 periods and the U.S. statutory tax rate of 21% was primarily due a valuation allowance recorded against certain deferred tax assets. 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14 — Net Loss Per Share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231" w:name="page232"/>
    <w:bookmarkEnd w:id="2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14 — Net Loss Per Share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components of basic and diluted net loss per share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9"/>
                <w:szCs w:val="19"/>
                <w:color w:val="auto"/>
              </w:rPr>
            </w:pPr>
          </w:p>
        </w:tc>
        <w:tc>
          <w:tcPr>
            <w:tcW w:w="6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r>
      <w:tr>
        <w:trPr>
          <w:trHeight w:val="28"/>
        </w:trPr>
        <w:tc>
          <w:tcPr>
            <w:tcW w:w="3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(57,413)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r>
      <w:tr>
        <w:trPr>
          <w:trHeight w:val="26"/>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1,649,741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129,832</w:t>
            </w:r>
          </w:p>
        </w:tc>
      </w:tr>
      <w:tr>
        <w:trPr>
          <w:trHeight w:val="155"/>
        </w:trPr>
        <w:tc>
          <w:tcPr>
            <w:tcW w:w="316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16"/>
        </w:trPr>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  $</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(429.</w:t>
            </w:r>
            <w:r>
              <w:rPr>
                <w:rFonts w:ascii="Times New Roman" w:cs="Times New Roman" w:eastAsia="Times New Roman" w:hAnsi="Times New Roman"/>
                <w:sz w:val="16"/>
                <w:szCs w:val="16"/>
                <w:u w:val="single" w:color="auto"/>
                <w:color w:val="auto"/>
              </w:rPr>
              <w:t>98</w:t>
            </w: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(13.48)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(1,003.</w:t>
            </w:r>
            <w:r>
              <w:rPr>
                <w:rFonts w:ascii="Times New Roman" w:cs="Times New Roman" w:eastAsia="Times New Roman" w:hAnsi="Times New Roman"/>
                <w:sz w:val="16"/>
                <w:szCs w:val="16"/>
                <w:u w:val="single" w:color="auto"/>
                <w:color w:val="auto"/>
              </w:rPr>
              <w:t>10</w:t>
            </w:r>
            <w:r>
              <w:rPr>
                <w:rFonts w:ascii="Times New Roman" w:cs="Times New Roman" w:eastAsia="Times New Roman" w:hAnsi="Times New Roman"/>
                <w:sz w:val="16"/>
                <w:szCs w:val="16"/>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5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Shares subject to unvested restricted stock units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8,965</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warrants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1,495,001</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121,539</w:t>
            </w:r>
          </w:p>
        </w:tc>
        <w:tc>
          <w:tcPr>
            <w:tcW w:w="20" w:type="dxa"/>
            <w:vAlign w:val="bottom"/>
          </w:tcPr>
          <w:p>
            <w:pPr>
              <w:spacing w:after="0"/>
              <w:rPr>
                <w:sz w:val="22"/>
                <w:szCs w:val="22"/>
                <w:color w:val="auto"/>
              </w:rPr>
            </w:pPr>
          </w:p>
        </w:tc>
      </w:tr>
      <w:tr>
        <w:trPr>
          <w:trHeight w:val="238"/>
        </w:trPr>
        <w:tc>
          <w:tcPr>
            <w:tcW w:w="50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1,508,565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144,790</w:t>
            </w:r>
          </w:p>
        </w:tc>
      </w:tr>
      <w:tr>
        <w:trPr>
          <w:trHeight w:val="20"/>
        </w:trPr>
        <w:tc>
          <w:tcPr>
            <w:tcW w:w="5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15 — Commitments and Contingencies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Legal Matters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Bud &amp; Mary’s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2" w:name="page233"/>
    <w:bookmarkEnd w:id="2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1" w:lineRule="auto"/>
        <w:rPr>
          <w:sz w:val="20"/>
          <w:szCs w:val="20"/>
          <w:color w:val="auto"/>
        </w:rPr>
      </w:pPr>
      <w:r>
        <w:rPr>
          <w:rFonts w:ascii="Times New Roman" w:cs="Times New Roman" w:eastAsia="Times New Roman" w:hAnsi="Times New Roman"/>
          <w:sz w:val="16"/>
          <w:szCs w:val="16"/>
          <w:color w:val="auto"/>
        </w:rPr>
        <w:t>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during October 2023, and Agrify will be permitted to make responsive filings, which may include an answer and counterclaim.</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Bowdoin Construction Corp.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 Agrify Corporation, Bud &amp; Mary’s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Cultivation, Inc. and BMLC2, LLC </w:t>
      </w:r>
      <w:r>
        <w:rPr>
          <w:rFonts w:ascii="Times New Roman" w:cs="Times New Roman" w:eastAsia="Times New Roman" w:hAnsi="Times New Roman"/>
          <w:sz w:val="16"/>
          <w:szCs w:val="16"/>
          <w:color w:val="auto"/>
        </w:rPr>
        <w:t>, case no. 2382CV00173. The Bowdoin Complaint relates to a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17 — Subsequent Events.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TRC Electronics Litigation</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 -judgment interest. The Company has filed an answer denying liability on TRC’s claims and is proceeding with discovery.</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3" w:name="page234"/>
    <w:bookmarkEnd w:id="2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Sinclair Scientific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Litigation</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expense, net per the Condensed Consolidated Statement of Operations for the quarter ended September 30, 2023, with the approximate $0.9 million receivable balance recognized as part of Prepaid expenses and other current assets, per the Condensed Consolidated Balance Sheet, as of September 30, 2023. The settlement also resulted in the return of equipment to the Company, in October 2023.</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addition to the above, the Company entered into several additional vendor settlement agreements during the quarter ended September 30, 2023, which resulted in an aggregate gain being recognized for the quarter ended September 30, 2023, and a corresponding reduction in accounts payable owing by the Company, as of September 30, 2023, of approximately $1 million.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Supply Agreement with 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June 30, 2023, the Company owed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4" w:name="page235"/>
    <w:bookmarkEnd w:id="2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17 — Subsequent Events.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Distribution Agreements with Related Party — Bluezone Products, Inc.</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7, 2019, the Company entered into a distribution agreement with Bluezone Products, Inc. (“Bluezone”) for distribution rights to the Bluezone products with certain exclusivity rights. The agreement requires minimum purchases amounting to $0.5 million and $0.6 million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$0.3 million of the committed $0.7 million second-year purchases through December 31, 2021. Bluezone is a related party to the Company.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Party–4D Bios, Inc.</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$0.9 million paid to 4D. 4D is a related party to the Company. The Company settled all outstanding commitments, leaving no open committed purchases as of December 31, 2021.</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Ora Pharm</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Refer to Note 8 — Debt, included elsewhere in the notes to the consolidated financial statements for details of the Company’s future minimum debt payments. Refer to Note 9 — Leases, included elsewhere in the notes to the consolidated financial statements for details of the Company’s future minimum lease payments under operating and financing lease liabilities. Refer to Note 13 — Income Taxes, included elsewhere in the notes to the consolidated financial statements for information regarding income tax contingencies.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5" w:name="page236"/>
    <w:bookmarkEnd w:id="2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16 — Related Parties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Some of the officers and directors of the Company are involved in other business activities and may, in the future, become involved in other business opportunities that become available.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net purchasing (sales) activity with entities identified as related parties to the Company:</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8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bottom w:val="single" w:sz="8" w:color="CCEEFF"/>
            </w:tcBorders>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5</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w:t>
            </w:r>
          </w:p>
        </w:tc>
      </w:tr>
      <w:tr>
        <w:trPr>
          <w:trHeight w:val="26"/>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71</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NEIA</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(1,763)</w:t>
            </w:r>
          </w:p>
        </w:tc>
      </w:tr>
      <w:tr>
        <w:trPr>
          <w:trHeight w:val="26"/>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Greenstone Holdings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392</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Valiant Americas, LLC</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4"/>
              </w:rPr>
              <w:t>1,315</w:t>
            </w:r>
          </w:p>
        </w:tc>
        <w:tc>
          <w:tcPr>
            <w:tcW w:w="680" w:type="dxa"/>
            <w:vAlign w:val="bottom"/>
          </w:tcPr>
          <w:p>
            <w:pPr>
              <w:spacing w:after="0"/>
              <w:rPr>
                <w:sz w:val="20"/>
                <w:szCs w:val="20"/>
                <w:color w:val="auto"/>
              </w:rPr>
            </w:pP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11,120</w:t>
            </w:r>
          </w:p>
        </w:tc>
      </w:tr>
    </w:tbl>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net related party (payable) receivable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4"/>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Valiant Americas, LLC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r>
      <w:tr>
        <w:trPr>
          <w:trHeight w:val="26"/>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w:t>
            </w:r>
          </w:p>
        </w:tc>
      </w:tr>
      <w:tr>
        <w:trPr>
          <w:trHeight w:val="26"/>
        </w:trPr>
        <w:tc>
          <w:tcPr>
            <w:tcW w:w="4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July 12, 2023, the Company issued an unsecured promissory note in favor of GIC Acquisition, LLC, an entity that is owned and managed by the Company’s Chairman and Chief Executive Officer. Refer to footnote 8 for further disclosure related to this Related Party Note.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17 — Subsequent Events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financial statements were issued.</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 The Company filed its 2022 Form 10-K, First Quarter 2023 Form 10-Q and Second Quarter 2023 Form 10-Q, on November 28, 2023, November 28, 2023 and December 12, 2023, respectively.</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Mack Molding Modification Agreement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6" w:name="page237"/>
    <w:bookmarkEnd w:id="2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0" w:lineRule="auto"/>
        <w:rPr>
          <w:sz w:val="20"/>
          <w:szCs w:val="20"/>
          <w:color w:val="auto"/>
        </w:rPr>
      </w:pPr>
      <w:r>
        <w:rPr>
          <w:rFonts w:ascii="Times New Roman" w:cs="Times New Roman" w:eastAsia="Times New Roman" w:hAnsi="Times New Roman"/>
          <w:sz w:val="14"/>
          <w:szCs w:val="14"/>
          <w:color w:val="auto"/>
        </w:rPr>
        <w:t>2024, respectively. The Company has made the first of these two payments in the amount of $500,000. Following the November 1, 2023 payment, the Company is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7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Purchase</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the Company’s Chief Executive Officer, purchased the Exchange Note and the Convertible Note from their holder (the “Note Purchase”).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Issuance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as a condition precedent to the Note Purchase, the Company entered into a letter agreement (the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Investor under the terms of the Letter Agreement for a warrant to purchase 375,629 shares of common stock (the “Abeyance Warrant”).</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0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7" w:name="page238"/>
    <w:bookmarkEnd w:id="2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Subsequent Events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Amendment and Secured Promissory Note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October 27, 2023, GIC and the Company amended and restated the Related Party Note (the “Restated Related Party Note”). Pursuant to the terms of the Restated Related Party Note, the Maturity Date was extended until December 31, 2023 and the Company granted a security interest in the Company’s assets that ranks junior to the Exchange Note and the Convertible Note.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Concurrent with the Restated Related Party Note, the Company issued a junior secured promissory note (the “Junior Secured Note”) to the New Lender. Pursuant to the Junior Secured Note, the New Lender will lend up to $3,000,000 to the Company, of which $ 2,000,000 was drawn. The Junior Secured Note bears interest at a rate of 10% per annum, will mature in full on December 31, 2023, and may be prepaid without any fee or penalty. The Junior Secured Note is a secured obligation of the Company that ranks junior to the notes acquired in the Note Purchase</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December 4, 2023, the New Lender and the Company amended and restated the Junior Secured Note (the “Junior Secured Note Amendment”). Pursuant to the terms of the Junior Secured Note Amendment, the maximum principal amount that may be loaned by CP to the Company was increased to $4,000,000.</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8" w:name="page239"/>
    <w:bookmarkEnd w:id="23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226695</wp:posOffset>
            </wp:positionV>
            <wp:extent cx="457327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000"/>
        <w:spacing w:after="0" w:line="260" w:lineRule="auto"/>
        <w:rPr>
          <w:sz w:val="20"/>
          <w:szCs w:val="20"/>
          <w:color w:val="auto"/>
        </w:rPr>
      </w:pPr>
      <w:r>
        <w:rPr>
          <w:rFonts w:ascii="Times New Roman" w:cs="Times New Roman" w:eastAsia="Times New Roman" w:hAnsi="Times New Roman"/>
          <w:sz w:val="25"/>
          <w:szCs w:val="25"/>
          <w:b w:val="1"/>
          <w:bCs w:val="1"/>
          <w:color w:val="auto"/>
        </w:rPr>
        <w:t>2,288,330 Shares of Common Stock and Pre-Funded Warrants to Purchase 2,288,330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1598295</wp:posOffset>
            </wp:positionV>
            <wp:extent cx="457327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478155</wp:posOffset>
            </wp:positionV>
            <wp:extent cx="739140" cy="617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91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236855</wp:posOffset>
            </wp:positionV>
            <wp:extent cx="457327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ALEXANDER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519430</wp:posOffset>
            </wp:positionV>
            <wp:extent cx="457327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854710</wp:posOffset>
            </wp:positionV>
            <wp:extent cx="457327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9" w:name="page240"/>
    <w:bookmarkEnd w:id="23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Item 13. Other Expenses of Issuance and Distribution.</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all expenses to be paid by us in connection with this offering, other than placement agent fees and commissions. All amounts shown are estimates except for the SEC registration fee.</w:t>
      </w:r>
    </w:p>
    <w:p>
      <w:pPr>
        <w:spacing w:after="0" w:line="132"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and Exchange Commission registration fee</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509.22</w:t>
            </w:r>
          </w:p>
        </w:tc>
        <w:tc>
          <w:tcPr>
            <w:tcW w:w="20" w:type="dxa"/>
            <w:vAlign w:val="bottom"/>
          </w:tcPr>
          <w:p>
            <w:pPr>
              <w:spacing w:after="0"/>
              <w:rPr>
                <w:sz w:val="21"/>
                <w:szCs w:val="21"/>
                <w:color w:val="auto"/>
              </w:rPr>
            </w:pPr>
          </w:p>
        </w:tc>
      </w:t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FINRA Filing Fee</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6"/>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0" w:type="dxa"/>
            <w:vAlign w:val="bottom"/>
          </w:tcPr>
          <w:p>
            <w:pPr>
              <w:spacing w:after="0"/>
              <w:rPr>
                <w:sz w:val="21"/>
                <w:szCs w:val="21"/>
                <w:color w:val="auto"/>
              </w:rPr>
            </w:pPr>
          </w:p>
        </w:tc>
      </w:t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agent fees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 w:type="dxa"/>
            <w:vAlign w:val="bottom"/>
          </w:tcPr>
          <w:p>
            <w:pPr>
              <w:spacing w:after="0"/>
              <w:rPr>
                <w:sz w:val="21"/>
                <w:szCs w:val="21"/>
                <w:color w:val="auto"/>
              </w:rPr>
            </w:pPr>
          </w:p>
        </w:tc>
      </w:t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Printing expenses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tcPr>
          <w:p>
            <w:pPr>
              <w:spacing w:after="0"/>
              <w:rPr>
                <w:sz w:val="20"/>
                <w:szCs w:val="20"/>
                <w:color w:val="auto"/>
              </w:rPr>
            </w:pPr>
          </w:p>
        </w:tc>
      </w:tr>
      <w:tr>
        <w:trPr>
          <w:trHeight w:val="26"/>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6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tcPr>
          <w:p>
            <w:pPr>
              <w:spacing w:after="0"/>
              <w:rPr>
                <w:sz w:val="22"/>
                <w:szCs w:val="22"/>
                <w:color w:val="auto"/>
              </w:rPr>
            </w:pPr>
          </w:p>
        </w:tc>
      </w:tr>
      <w:tr>
        <w:trPr>
          <w:trHeight w:val="231"/>
        </w:trPr>
        <w:tc>
          <w:tcPr>
            <w:tcW w:w="6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211,509.22</w:t>
            </w:r>
          </w:p>
        </w:tc>
        <w:tc>
          <w:tcPr>
            <w:tcW w:w="2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9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are a Nevada corporation and generally governed by the Nevada Private Corporations Code, Title 78 of the Nevada Revised Statutes, or NRS.</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01"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6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0" w:name="page241"/>
    <w:bookmarkEnd w:id="24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75"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75"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73"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3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Item 15. Recent Sales of Unregistered Securities.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Set forth below is information regarding the shares of common stock and preferred stock and the warrants issued, and options granted, by us in the three years preceding the filing of this registration statement that were not registered under the Securities Act.</w:t>
      </w:r>
    </w:p>
    <w:p>
      <w:pPr>
        <w:spacing w:after="0" w:line="92" w:lineRule="exact"/>
        <w:rPr>
          <w:sz w:val="20"/>
          <w:szCs w:val="20"/>
          <w:color w:val="auto"/>
        </w:rPr>
      </w:pPr>
    </w:p>
    <w:p>
      <w:pPr>
        <w:jc w:val="both"/>
        <w:ind w:left="1680" w:right="900" w:hanging="389"/>
        <w:spacing w:after="0" w:line="247" w:lineRule="auto"/>
        <w:tabs>
          <w:tab w:leader="none" w:pos="163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17, 2021, we granted ten-year options to purchase an aggregate of 5,250 shares of common stock pursuant to ours 2020 Omnibus Equity Incentive Plan to executive officers and directors. The stock options provide for an exercise price per share of $2,768.</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3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2021, we issued stock options to purchase an aggregate of 40shares of common stock to an employee in consideration of achieving certain milestones from the acquisition of Harbor Mountain Holdings, LLC.</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1" w:lineRule="auto"/>
        <w:tabs>
          <w:tab w:leader="none" w:pos="163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2021, we issued an aggregate of 3,332 shares of its common stock to shareholders of Sinclair Scientific in connection with the acquisition of Precision Extraction Solutions and Cascade Sciences. In addition to the shares issued at the closing of the acquisition, we also held back an additional 588 shares of common stock due to shareholders of Sinclair Scientific, which were scheduled to be issued six (6) months after the close, subject to the satisfaction of certain covenants.</w:t>
      </w:r>
    </w:p>
    <w:p>
      <w:pPr>
        <w:spacing w:after="0" w:line="96" w:lineRule="exact"/>
        <w:rPr>
          <w:rFonts w:ascii="Times New Roman" w:cs="Times New Roman" w:eastAsia="Times New Roman" w:hAnsi="Times New Roman"/>
          <w:sz w:val="16"/>
          <w:szCs w:val="16"/>
          <w:color w:val="auto"/>
        </w:rPr>
      </w:pPr>
    </w:p>
    <w:p>
      <w:pPr>
        <w:jc w:val="both"/>
        <w:ind w:left="1680" w:right="920" w:hanging="389"/>
        <w:spacing w:after="0" w:line="241" w:lineRule="auto"/>
        <w:tabs>
          <w:tab w:leader="none" w:pos="163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2021, we issued an aggregate of 1,202 shares of its common stock to the former shareholders of PurePressure in connection with the acquisition of PurePressure. Additionally, we held back 444 shares of common stock, representing 15% of the value of the closing consideration amount. The shares were held back for a period of twelve months for purposes of satisfying any post-closing adjustments.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1" w:name="page242"/>
    <w:bookmarkEnd w:id="24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74" w:lineRule="auto"/>
        <w:tabs>
          <w:tab w:leader="none" w:pos="163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2022, we entered into a Securities Purchase Agreement with an institutional investor and other accredited investors for the sale by us of (i) 12,252 shares of common stock, (ii) pre-funded warrants to purchase up to an aggregate of 7,853 shares of common stock and (iii) common warrants to purchase up to an aggregate of 15,079 shares of common stock in a private placement offering. The combined purchase price for one share of common stock (or one pre-funded warrant) and accompanying fraction of a common warrant was $6.80. Subject to certain ownership limitations, the common warrants became exercisable six months from issuance. Each pre-funded warrant was exercisable into one share of common stock at a price per share of $0.001. Each common warrant is exercisable into one share of common stock at a price per share of $1,496 and will expire on the fifth anniversary of the initial exercise date. The gross proceeds to the Company from the private placement approximately $27.3 million, before deducting the placement agent’s fees and other offering expenses, and excluding the proceeds, if any, from the exercise of the warrants.</w:t>
      </w:r>
    </w:p>
    <w:p>
      <w:pPr>
        <w:spacing w:after="0" w:line="258" w:lineRule="exact"/>
        <w:rPr>
          <w:rFonts w:ascii="Times New Roman" w:cs="Times New Roman" w:eastAsia="Times New Roman" w:hAnsi="Times New Roman"/>
          <w:sz w:val="14"/>
          <w:szCs w:val="14"/>
          <w:color w:val="auto"/>
        </w:rPr>
      </w:pPr>
    </w:p>
    <w:p>
      <w:pPr>
        <w:jc w:val="both"/>
        <w:ind w:left="1680" w:right="920" w:hanging="389"/>
        <w:spacing w:after="0" w:line="243" w:lineRule="auto"/>
        <w:tabs>
          <w:tab w:leader="none" w:pos="16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 2022, we issued an aggregate of 1,490 shares of common stock to the former shareholders of LS Holdings Corp. (“Lab Society”) in connection with the acquisition of Lab Society. Additionally, as per the purchase agreement, we held back 638 shares of common stock for a period of twelve months for purposes of satisfying any post-closing adjustments.</w:t>
      </w:r>
    </w:p>
    <w:p>
      <w:pPr>
        <w:spacing w:after="0" w:line="95" w:lineRule="exact"/>
        <w:rPr>
          <w:rFonts w:ascii="Times New Roman" w:cs="Times New Roman" w:eastAsia="Times New Roman" w:hAnsi="Times New Roman"/>
          <w:sz w:val="16"/>
          <w:szCs w:val="16"/>
          <w:color w:val="auto"/>
        </w:rPr>
      </w:pPr>
    </w:p>
    <w:p>
      <w:pPr>
        <w:jc w:val="both"/>
        <w:ind w:left="1680" w:right="900" w:hanging="389"/>
        <w:spacing w:after="0" w:line="237" w:lineRule="auto"/>
        <w:tabs>
          <w:tab w:leader="none" w:pos="16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14, 2022, we entered into a Securities Purchase Agreement with the Former Lender, pursuant to which we sold to the Former Lender, in exchange for the payment by the Former Lender of $65,000,000, less applicable expenses, (i) a senior secured promissory note in an aggregate principal amount of $65,000,000 (the “Original Note”), and (ii) a warrant (the “Original Warrant”) to purchase up to an aggregate of 34,406 shares of common stock. Each warrant had an exercise price of $1,350 per share, subject to adjustment for stock splits, reverse stock splits, stock dividends and similar transactions, was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 shall also be exercisable on a cashless exercise basis at the holder’s election.</w:t>
      </w:r>
    </w:p>
    <w:p>
      <w:pPr>
        <w:spacing w:after="0" w:line="103"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17, 2022, we issued 435 shares of Common Stock to the Sinclair Scientific in connection with the finalization of the net working capital settlement from the acquisition of Precision Extraction Solutions and Cascade Sciences.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72" w:lineRule="auto"/>
        <w:tabs>
          <w:tab w:leader="none" w:pos="163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18, 2022, we entered into a Securities Exchange Agreement with the Former Lender, pursuant to which we partially prepaid $35.2 million under the Original Note and exchanged the remaining balance of the Original Note for (i) a new senior secured note (the “Exchange Note”) with an aggregate original principal amount of $35.0 million and (ii) a new warrant to purchase 71,138 shares of common stock (the “</w:t>
      </w:r>
      <w:r>
        <w:rPr>
          <w:rFonts w:ascii="Times New Roman" w:cs="Times New Roman" w:eastAsia="Times New Roman" w:hAnsi="Times New Roman"/>
          <w:sz w:val="14"/>
          <w:szCs w:val="14"/>
          <w:u w:val="single" w:color="auto"/>
          <w:color w:val="auto"/>
        </w:rPr>
        <w:t>Note Exchange Warrant</w:t>
      </w:r>
      <w:r>
        <w:rPr>
          <w:rFonts w:ascii="Times New Roman" w:cs="Times New Roman" w:eastAsia="Times New Roman" w:hAnsi="Times New Roman"/>
          <w:sz w:val="14"/>
          <w:szCs w:val="14"/>
          <w:color w:val="auto"/>
        </w:rPr>
        <w:t xml:space="preserve"> ”). Additionally, we exchanged the Original Warrant for a new warrant for the same number of underlying shares but with a reduced exercise price (the “Warrant Exchange Warrant”). The Warrant Exchange Warrant has an exercise price of $430 per share, subject to adjustment for stock splits, reverse stock splits, stock dividends and similar transactions, will be exercisable on and after the six-month anniversary of issuance, has a term of five and one-half years from the date of issuance and is exercisable on a cash basis, unless there is not an effective registration statement covering the resale of the shares issuable upon exercise of the Warrant Exchange Warrant, in which case the Warrant Exchange Warrant will also be exercisable on a cashless exercise basis at the holder’s election. The Note Exchange Warrant has an exercise price of $246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warrant, in which case the Note Exchange Warrant will also be exercisable on a cashless exercise basis at the holder’s election.</w:t>
      </w:r>
    </w:p>
    <w:p>
      <w:pPr>
        <w:spacing w:after="0" w:line="200" w:lineRule="exact"/>
        <w:rPr>
          <w:rFonts w:ascii="Times New Roman" w:cs="Times New Roman" w:eastAsia="Times New Roman" w:hAnsi="Times New Roman"/>
          <w:sz w:val="14"/>
          <w:szCs w:val="14"/>
          <w:color w:val="auto"/>
        </w:rPr>
      </w:pPr>
    </w:p>
    <w:p>
      <w:pPr>
        <w:spacing w:after="0" w:line="241" w:lineRule="exact"/>
        <w:rPr>
          <w:rFonts w:ascii="Times New Roman" w:cs="Times New Roman" w:eastAsia="Times New Roman" w:hAnsi="Times New Roman"/>
          <w:sz w:val="14"/>
          <w:szCs w:val="14"/>
          <w:color w:val="auto"/>
        </w:rPr>
      </w:pPr>
    </w:p>
    <w:p>
      <w:pPr>
        <w:jc w:val="both"/>
        <w:ind w:left="1680" w:right="900" w:hanging="389"/>
        <w:spacing w:after="0" w:line="241" w:lineRule="auto"/>
        <w:tabs>
          <w:tab w:leader="none" w:pos="163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(the “Convertible Note”) with an original principal amount of $10.0 million. At issuance, the conversion price under the Convertible Note was $7.64.</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2" w:name="page243"/>
    <w:bookmarkEnd w:id="24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38" w:lineRule="auto"/>
        <w:tabs>
          <w:tab w:leader="none" w:pos="165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26, 2023, we entered into a letter agreement with the Former Lender, pursuant to which we agreed to exchange $2.0 million of the remaining outstanding principal amount under the Exchange Note for 445,196 shares (the “Exchange Shares”) of common stock. To the extent that receipt of Exchange Shares would cause the Former Lender to beneficially own in excess of 4.99% of common stock immediately after such exchange, we will only issue that number of Exchange Shares that would not cause the Former Lender to exceed the beneficial ownership limitation, with the balance to be held in abeyance until such balance (or a portion thereof) may be issued in compliance with the beneficial ownership limitation.</w:t>
      </w:r>
    </w:p>
    <w:p>
      <w:pPr>
        <w:spacing w:after="0" w:line="100"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4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12, 2023, we issued a promissory note with an original principal amount of $500,000 in favor of GIC Acquisition, LLC, an entity that is owned and managed by Raymond Chang, our Chairman and Chief Executive Officer.</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5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27, 2023, we issued a junior secured promissory note to CP Acquisitions, LLC, an entity that is owned and managed by Raymond Chang, our Chairman and Chief Executive Officer, and I-Tseng Jenny Chan, a member of our Board of Directors. Pursuant to the note, CP Acquisitions will lend up to $3,000,000.</w:t>
      </w:r>
    </w:p>
    <w:p>
      <w:pPr>
        <w:spacing w:after="0" w:line="95"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3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27, 2023, and with an effective date as of October 18, 2023, we entered into a Modification and Settlement Agreement with Mack Molding Company. As part of the Modification Agreement, we issued to Mack a warrant to purchase 750,000 shares of the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the holder’s election.</w:t>
      </w:r>
    </w:p>
    <w:p>
      <w:pPr>
        <w:spacing w:after="0" w:line="97" w:lineRule="exact"/>
        <w:rPr>
          <w:rFonts w:ascii="Times New Roman" w:cs="Times New Roman" w:eastAsia="Times New Roman" w:hAnsi="Times New Roman"/>
          <w:sz w:val="16"/>
          <w:szCs w:val="16"/>
          <w:color w:val="auto"/>
        </w:rPr>
      </w:pPr>
    </w:p>
    <w:p>
      <w:pPr>
        <w:jc w:val="both"/>
        <w:ind w:left="1680" w:right="900" w:hanging="389"/>
        <w:spacing w:after="0" w:line="238" w:lineRule="auto"/>
        <w:tabs>
          <w:tab w:leader="none" w:pos="163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27, 2023, we entered into a letter agreement with the Former Lender, pursuant to which we agreed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as Exchange Shares under the April 26, 2023 letter agreement for a warrant to purchase 375,629 shares of common stock (the “Abeyance Warrant”). Each warrant has an exercise price of $0.001 per share, was exercisable upon issuance, has a term of five years from the date of issuance and is exercisable on a cash basis or on a cashless exercise basis at the holder’s election.</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offers, sales and issuances of the securities described in this Item 15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p>
      <w:pPr>
        <w:spacing w:after="0" w:line="118" w:lineRule="exact"/>
        <w:rPr>
          <w:sz w:val="20"/>
          <w:szCs w:val="20"/>
          <w:color w:val="auto"/>
        </w:rPr>
      </w:pPr>
    </w:p>
    <w:p>
      <w:pPr>
        <w:ind w:left="1280" w:hanging="374"/>
        <w:spacing w:after="0"/>
        <w:tabs>
          <w:tab w:leader="none" w:pos="12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16"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Exhibit Index immediately before the Signature Pages.</w:t>
      </w:r>
    </w:p>
    <w:p>
      <w:pPr>
        <w:spacing w:after="0" w:line="116" w:lineRule="exact"/>
        <w:rPr>
          <w:rFonts w:ascii="Times New Roman" w:cs="Times New Roman" w:eastAsia="Times New Roman" w:hAnsi="Times New Roman"/>
          <w:sz w:val="16"/>
          <w:szCs w:val="16"/>
          <w:color w:val="auto"/>
        </w:rPr>
      </w:pPr>
    </w:p>
    <w:p>
      <w:pPr>
        <w:ind w:left="1240" w:hanging="334"/>
        <w:spacing w:after="0"/>
        <w:tabs>
          <w:tab w:leader="none" w:pos="12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w:t>
      </w:r>
    </w:p>
    <w:p>
      <w:pPr>
        <w:spacing w:after="0" w:line="116"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All schedules have been omitted because they are either inapplicable or the required information has been given in the financial statements or notes thereto.</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118" w:lineRule="exact"/>
        <w:rPr>
          <w:sz w:val="20"/>
          <w:szCs w:val="20"/>
          <w:color w:val="auto"/>
        </w:rPr>
      </w:pPr>
    </w:p>
    <w:p>
      <w:pPr>
        <w:jc w:val="both"/>
        <w:ind w:left="1300" w:right="920" w:hanging="394"/>
        <w:spacing w:after="0" w:line="239" w:lineRule="auto"/>
        <w:tabs>
          <w:tab w:leader="none" w:pos="128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3" w:name="page244"/>
    <w:bookmarkEnd w:id="24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1300" w:right="900"/>
        <w:spacing w:after="0" w:line="241" w:lineRule="auto"/>
        <w:rPr>
          <w:sz w:val="20"/>
          <w:szCs w:val="20"/>
          <w:color w:val="auto"/>
        </w:rPr>
      </w:pPr>
      <w:r>
        <w:rPr>
          <w:rFonts w:ascii="Times New Roman" w:cs="Times New Roman" w:eastAsia="Times New Roman" w:hAnsi="Times New Roman"/>
          <w:sz w:val="16"/>
          <w:szCs w:val="16"/>
          <w:color w:val="auto"/>
        </w:rPr>
        <w:t>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sz w:val="20"/>
          <w:szCs w:val="20"/>
          <w:color w:val="auto"/>
        </w:rPr>
      </w:pPr>
    </w:p>
    <w:p>
      <w:pPr>
        <w:ind w:left="1240" w:hanging="334"/>
        <w:spacing w:after="0"/>
        <w:tabs>
          <w:tab w:leader="none" w:pos="12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83" w:lineRule="exact"/>
        <w:rPr>
          <w:rFonts w:ascii="Times New Roman" w:cs="Times New Roman" w:eastAsia="Times New Roman" w:hAnsi="Times New Roman"/>
          <w:sz w:val="16"/>
          <w:szCs w:val="16"/>
          <w:color w:val="auto"/>
        </w:rPr>
      </w:pPr>
    </w:p>
    <w:p>
      <w:pPr>
        <w:ind w:left="2020" w:hanging="345"/>
        <w:spacing w:after="0"/>
        <w:tabs>
          <w:tab w:leader="none" w:pos="2020"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16" w:lineRule="exact"/>
        <w:rPr>
          <w:rFonts w:ascii="Times New Roman" w:cs="Times New Roman" w:eastAsia="Times New Roman" w:hAnsi="Times New Roman"/>
          <w:sz w:val="16"/>
          <w:szCs w:val="16"/>
          <w:color w:val="auto"/>
        </w:rPr>
      </w:pPr>
    </w:p>
    <w:p>
      <w:pPr>
        <w:jc w:val="both"/>
        <w:ind w:left="2060" w:right="900" w:hanging="385"/>
        <w:spacing w:after="0" w:line="237"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03" w:lineRule="exact"/>
        <w:rPr>
          <w:rFonts w:ascii="Times New Roman" w:cs="Times New Roman" w:eastAsia="Times New Roman" w:hAnsi="Times New Roman"/>
          <w:sz w:val="16"/>
          <w:szCs w:val="16"/>
          <w:color w:val="auto"/>
        </w:rPr>
      </w:pPr>
    </w:p>
    <w:p>
      <w:pPr>
        <w:jc w:val="both"/>
        <w:ind w:left="2060" w:right="920" w:hanging="385"/>
        <w:spacing w:after="0" w:line="247"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39"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1" w:lineRule="exact"/>
        <w:rPr>
          <w:rFonts w:ascii="Times New Roman" w:cs="Times New Roman" w:eastAsia="Times New Roman" w:hAnsi="Times New Roman"/>
          <w:sz w:val="16"/>
          <w:szCs w:val="16"/>
          <w:color w:val="auto"/>
        </w:rPr>
      </w:pPr>
    </w:p>
    <w:p>
      <w:pPr>
        <w:ind w:left="2060" w:right="920" w:hanging="385"/>
        <w:spacing w:after="0" w:line="259"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 (§230.424 of this chapter);</w:t>
      </w:r>
    </w:p>
    <w:p>
      <w:pPr>
        <w:spacing w:after="0" w:line="83" w:lineRule="exact"/>
        <w:rPr>
          <w:rFonts w:ascii="Times New Roman" w:cs="Times New Roman" w:eastAsia="Times New Roman" w:hAnsi="Times New Roman"/>
          <w:sz w:val="16"/>
          <w:szCs w:val="16"/>
          <w:color w:val="auto"/>
        </w:rPr>
      </w:pPr>
    </w:p>
    <w:p>
      <w:pPr>
        <w:ind w:left="2060" w:right="920" w:hanging="385"/>
        <w:spacing w:after="0" w:line="259"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83" w:lineRule="exact"/>
        <w:rPr>
          <w:rFonts w:ascii="Times New Roman" w:cs="Times New Roman" w:eastAsia="Times New Roman" w:hAnsi="Times New Roman"/>
          <w:sz w:val="16"/>
          <w:szCs w:val="16"/>
          <w:color w:val="auto"/>
        </w:rPr>
      </w:pPr>
    </w:p>
    <w:p>
      <w:pPr>
        <w:jc w:val="both"/>
        <w:ind w:left="2060" w:right="920" w:hanging="385"/>
        <w:spacing w:after="0" w:line="247"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92" w:lineRule="exact"/>
        <w:rPr>
          <w:rFonts w:ascii="Times New Roman" w:cs="Times New Roman" w:eastAsia="Times New Roman" w:hAnsi="Times New Roman"/>
          <w:sz w:val="16"/>
          <w:szCs w:val="16"/>
          <w:color w:val="auto"/>
        </w:rPr>
      </w:pPr>
    </w:p>
    <w:p>
      <w:pPr>
        <w:ind w:left="2060" w:right="920" w:hanging="385"/>
        <w:spacing w:after="0" w:line="259" w:lineRule="auto"/>
        <w:tabs>
          <w:tab w:leader="none" w:pos="2024"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1"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6"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3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4" w:name="page245"/>
    <w:bookmarkEnd w:id="24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12"/>
          </w:tcPr>
          <w:p>
            <w:pPr>
              <w:ind w:left="86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8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2"/>
                <w:szCs w:val="12"/>
                <w:color w:val="auto"/>
              </w:rPr>
            </w:pPr>
          </w:p>
        </w:tc>
        <w:tc>
          <w:tcPr>
            <w:tcW w:w="6320" w:type="dxa"/>
            <w:vAlign w:val="bottom"/>
            <w:gridSpan w:val="14"/>
            <w:shd w:val="clear" w:color="auto" w:fill="CCEEFF"/>
          </w:tcPr>
          <w:p>
            <w:pPr>
              <w:spacing w:after="0" w:line="148"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Placement Agency Agreement between the Registrant and Alexander Capital, L.P</w:t>
              </w:r>
            </w:hyperlink>
            <w:r>
              <w:rPr>
                <w:rFonts w:ascii="Times New Roman" w:cs="Times New Roman" w:eastAsia="Times New Roman" w:hAnsi="Times New Roman"/>
                <w:sz w:val="16"/>
                <w:szCs w:val="16"/>
                <w:color w:val="0000EE"/>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rPr>
            </w:pPr>
            <w:hyperlink r:id="rId265">
              <w:r>
                <w:rPr>
                  <w:rFonts w:ascii="Times New Roman" w:cs="Times New Roman" w:eastAsia="Times New Roman" w:hAnsi="Times New Roman"/>
                  <w:sz w:val="16"/>
                  <w:szCs w:val="16"/>
                  <w:color w:val="0000EE"/>
                </w:rPr>
                <w:t>Plan of Merger and Equity Purchase Agreement, dated as of September 29, 2021, among the</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265">
              <w:r>
                <w:rPr>
                  <w:rFonts w:ascii="Times New Roman" w:cs="Times New Roman" w:eastAsia="Times New Roman" w:hAnsi="Times New Roman"/>
                  <w:sz w:val="16"/>
                  <w:szCs w:val="16"/>
                  <w:color w:val="0000EE"/>
                </w:rPr>
                <w:t>Registrant, Sinclair Scientific, LLC, Mass2Media, LLC dba PX2 Holdings, LLC, and each of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65">
              <w:r>
                <w:rPr>
                  <w:rFonts w:ascii="Times New Roman" w:cs="Times New Roman" w:eastAsia="Times New Roman" w:hAnsi="Times New Roman"/>
                  <w:sz w:val="16"/>
                  <w:szCs w:val="16"/>
                  <w:color w:val="0000EE"/>
                  <w:w w:val="98"/>
                </w:rPr>
                <w:t>equity holders of Sinclair Scientific, LLC named therein (incorporated by reference to Exhibit 2.1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265">
              <w:r>
                <w:rPr>
                  <w:rFonts w:ascii="Times New Roman" w:cs="Times New Roman" w:eastAsia="Times New Roman" w:hAnsi="Times New Roman"/>
                  <w:sz w:val="16"/>
                  <w:szCs w:val="16"/>
                  <w:color w:val="0000EE"/>
                  <w:w w:val="97"/>
                </w:rPr>
                <w:t>the Registrant’s Current Report on Form 8-K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65">
              <w:r>
                <w:rPr>
                  <w:rFonts w:ascii="Times New Roman" w:cs="Times New Roman" w:eastAsia="Times New Roman" w:hAnsi="Times New Roman"/>
                  <w:sz w:val="16"/>
                  <w:szCs w:val="16"/>
                  <w:color w:val="0000EE"/>
                </w:rPr>
                <w:t>October 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rPr>
            </w:pPr>
            <w:hyperlink r:id="rId266">
              <w:r>
                <w:rPr>
                  <w:rFonts w:ascii="Times New Roman" w:cs="Times New Roman" w:eastAsia="Times New Roman" w:hAnsi="Times New Roman"/>
                  <w:sz w:val="16"/>
                  <w:szCs w:val="16"/>
                  <w:color w:val="0000EE"/>
                </w:rPr>
                <w:t>Amendment to Plan of Merger and Equity Purchase Agreement, dated as of October 1, 2021,</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8"/>
              </w:rPr>
            </w:pPr>
            <w:hyperlink r:id="rId266">
              <w:r>
                <w:rPr>
                  <w:rFonts w:ascii="Times New Roman" w:cs="Times New Roman" w:eastAsia="Times New Roman" w:hAnsi="Times New Roman"/>
                  <w:sz w:val="16"/>
                  <w:szCs w:val="16"/>
                  <w:color w:val="0000EE"/>
                  <w:w w:val="98"/>
                </w:rPr>
                <w:t>between the Registrant and Sinclair Scientific, LLC (incorporated by reference to Exhibit 2.2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66">
              <w:r>
                <w:rPr>
                  <w:rFonts w:ascii="Times New Roman" w:cs="Times New Roman" w:eastAsia="Times New Roman" w:hAnsi="Times New Roman"/>
                  <w:sz w:val="16"/>
                  <w:szCs w:val="16"/>
                  <w:color w:val="0000EE"/>
                </w:rPr>
                <w:t>Registrant’s Current Report on Form 8-K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shd w:val="clear" w:color="auto" w:fill="CCEEFF"/>
          </w:tcPr>
          <w:p>
            <w:pPr>
              <w:spacing w:after="0" w:line="160" w:lineRule="exact"/>
              <w:rPr>
                <w:rFonts w:ascii="Times New Roman" w:cs="Times New Roman" w:eastAsia="Times New Roman" w:hAnsi="Times New Roman"/>
                <w:sz w:val="16"/>
                <w:szCs w:val="16"/>
                <w:color w:val="0000EE"/>
                <w:w w:val="94"/>
              </w:rPr>
            </w:pPr>
            <w:hyperlink r:id="rId266">
              <w:r>
                <w:rPr>
                  <w:rFonts w:ascii="Times New Roman" w:cs="Times New Roman" w:eastAsia="Times New Roman" w:hAnsi="Times New Roman"/>
                  <w:sz w:val="16"/>
                  <w:szCs w:val="16"/>
                  <w:color w:val="0000EE"/>
                  <w:w w:val="94"/>
                </w:rPr>
                <w:t>October 4, 2021</w:t>
              </w:r>
            </w:hyperlink>
          </w:p>
        </w:tc>
        <w:tc>
          <w:tcPr>
            <w:tcW w:w="5320" w:type="dxa"/>
            <w:vAlign w:val="bottom"/>
            <w:tcBorders>
              <w:bottom w:val="single" w:sz="8" w:color="CCEEFF"/>
            </w:tcBorders>
            <w:gridSpan w:val="13"/>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rPr>
            </w:pPr>
            <w:hyperlink r:id="rId267">
              <w:r>
                <w:rPr>
                  <w:rFonts w:ascii="Times New Roman" w:cs="Times New Roman" w:eastAsia="Times New Roman" w:hAnsi="Times New Roman"/>
                  <w:sz w:val="16"/>
                  <w:szCs w:val="16"/>
                  <w:color w:val="0000EE"/>
                </w:rPr>
                <w:t>Membership Interest Purchase Agreement, dated as of December 31, 2021, among the Registrant,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9"/>
              </w:rPr>
            </w:pPr>
            <w:hyperlink r:id="rId267">
              <w:r>
                <w:rPr>
                  <w:rFonts w:ascii="Times New Roman" w:cs="Times New Roman" w:eastAsia="Times New Roman" w:hAnsi="Times New Roman"/>
                  <w:sz w:val="16"/>
                  <w:szCs w:val="16"/>
                  <w:color w:val="0000EE"/>
                  <w:w w:val="99"/>
                </w:rPr>
                <w:t>PurePressure, LLC, Benjamin Britton as Member Representative, and each of the equity holders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267">
              <w:r>
                <w:rPr>
                  <w:rFonts w:ascii="Times New Roman" w:cs="Times New Roman" w:eastAsia="Times New Roman" w:hAnsi="Times New Roman"/>
                  <w:sz w:val="16"/>
                  <w:szCs w:val="16"/>
                  <w:color w:val="0000EE"/>
                </w:rPr>
                <w:t>PurePressure, LLC named therein (incorporated by reference to Exhibit 2.1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6"/>
              </w:rPr>
            </w:pPr>
            <w:hyperlink r:id="rId267">
              <w:r>
                <w:rPr>
                  <w:rFonts w:ascii="Times New Roman" w:cs="Times New Roman" w:eastAsia="Times New Roman" w:hAnsi="Times New Roman"/>
                  <w:sz w:val="16"/>
                  <w:szCs w:val="16"/>
                  <w:color w:val="0000EE"/>
                  <w:w w:val="96"/>
                </w:rPr>
                <w:t>Current Report on Form 8-K filed with the Securities and Exchange Commission on January 5,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rPr>
            </w:pPr>
            <w:hyperlink r:id="rId268">
              <w:r>
                <w:rPr>
                  <w:rFonts w:ascii="Times New Roman" w:cs="Times New Roman" w:eastAsia="Times New Roman" w:hAnsi="Times New Roman"/>
                  <w:sz w:val="16"/>
                  <w:szCs w:val="16"/>
                  <w:color w:val="0000EE"/>
                </w:rPr>
                <w:t>Merger Agreement, dated as of February 1, 2022, among the Registrant, LS Holdings Corp., Lab</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68">
              <w:r>
                <w:rPr>
                  <w:rFonts w:ascii="Times New Roman" w:cs="Times New Roman" w:eastAsia="Times New Roman" w:hAnsi="Times New Roman"/>
                  <w:sz w:val="16"/>
                  <w:szCs w:val="16"/>
                  <w:color w:val="0000EE"/>
                </w:rPr>
                <w:t>Society NewCo, LLC, Michael S. Maibach Jr. as Owner Representative, and each of the Owners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68">
              <w:r>
                <w:rPr>
                  <w:rFonts w:ascii="Times New Roman" w:cs="Times New Roman" w:eastAsia="Times New Roman" w:hAnsi="Times New Roman"/>
                  <w:sz w:val="16"/>
                  <w:szCs w:val="16"/>
                  <w:color w:val="0000EE"/>
                </w:rPr>
                <w:t>named therein (incorporated by reference to Exhibit 2.1 to the Registrant’s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EE"/>
            </w:tcBorders>
            <w:gridSpan w:val="12"/>
            <w:shd w:val="clear" w:color="auto" w:fill="CCEEFF"/>
          </w:tcPr>
          <w:p>
            <w:pPr>
              <w:spacing w:after="0" w:line="160" w:lineRule="exact"/>
              <w:rPr>
                <w:rFonts w:ascii="Times New Roman" w:cs="Times New Roman" w:eastAsia="Times New Roman" w:hAnsi="Times New Roman"/>
                <w:sz w:val="16"/>
                <w:szCs w:val="16"/>
                <w:color w:val="0000EE"/>
                <w:w w:val="96"/>
              </w:rPr>
            </w:pPr>
            <w:hyperlink r:id="rId268">
              <w:r>
                <w:rPr>
                  <w:rFonts w:ascii="Times New Roman" w:cs="Times New Roman" w:eastAsia="Times New Roman" w:hAnsi="Times New Roman"/>
                  <w:sz w:val="16"/>
                  <w:szCs w:val="16"/>
                  <w:color w:val="0000EE"/>
                  <w:w w:val="96"/>
                </w:rPr>
                <w:t>Form 8-K filed with the Securities and Exchange Commission on February 2, 2022)</w:t>
              </w:r>
            </w:hyperlink>
          </w:p>
        </w:tc>
        <w:tc>
          <w:tcPr>
            <w:tcW w:w="10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w w:val="99"/>
              </w:rPr>
            </w:pPr>
            <w:hyperlink r:id="rId269">
              <w:r>
                <w:rPr>
                  <w:rFonts w:ascii="Times New Roman" w:cs="Times New Roman" w:eastAsia="Times New Roman" w:hAnsi="Times New Roman"/>
                  <w:sz w:val="16"/>
                  <w:szCs w:val="16"/>
                  <w:color w:val="0000EE"/>
                  <w:w w:val="99"/>
                </w:rPr>
                <w:t>Articles of Incorporation of the Registrant, as amended (incorporated by reference to Exhibit 3.1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9"/>
              </w:rPr>
            </w:pPr>
            <w:hyperlink r:id="rId269">
              <w:r>
                <w:rPr>
                  <w:rFonts w:ascii="Times New Roman" w:cs="Times New Roman" w:eastAsia="Times New Roman" w:hAnsi="Times New Roman"/>
                  <w:sz w:val="16"/>
                  <w:szCs w:val="16"/>
                  <w:color w:val="0000EE"/>
                  <w:w w:val="99"/>
                </w:rPr>
                <w:t>the Registrant’s Amendment No. 1 to Registration Statement on Form S-1 filed with the 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69">
              <w:r>
                <w:rPr>
                  <w:rFonts w:ascii="Times New Roman" w:cs="Times New Roman" w:eastAsia="Times New Roman" w:hAnsi="Times New Roman"/>
                  <w:sz w:val="16"/>
                  <w:szCs w:val="16"/>
                  <w:color w:val="0000EE"/>
                </w:rPr>
                <w:t>and Exchange Commission on January 13,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w w:val="97"/>
              </w:rPr>
            </w:pPr>
            <w:hyperlink r:id="rId270">
              <w:r>
                <w:rPr>
                  <w:rFonts w:ascii="Times New Roman" w:cs="Times New Roman" w:eastAsia="Times New Roman" w:hAnsi="Times New Roman"/>
                  <w:sz w:val="16"/>
                  <w:szCs w:val="16"/>
                  <w:color w:val="0000EE"/>
                  <w:w w:val="97"/>
                </w:rPr>
                <w:t>Third Amended and Restated Certificate of Designations of the Series A Convertible Preferred Stock</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9"/>
              </w:rPr>
            </w:pPr>
            <w:hyperlink r:id="rId270">
              <w:r>
                <w:rPr>
                  <w:rFonts w:ascii="Times New Roman" w:cs="Times New Roman" w:eastAsia="Times New Roman" w:hAnsi="Times New Roman"/>
                  <w:sz w:val="16"/>
                  <w:szCs w:val="16"/>
                  <w:color w:val="0000EE"/>
                  <w:w w:val="99"/>
                </w:rPr>
                <w:t>of the Registrant (incorporated by reference to Exhibit 3.2 to the Registrant’s Amendment No. 1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70">
              <w:r>
                <w:rPr>
                  <w:rFonts w:ascii="Times New Roman" w:cs="Times New Roman" w:eastAsia="Times New Roman" w:hAnsi="Times New Roman"/>
                  <w:sz w:val="16"/>
                  <w:szCs w:val="16"/>
                  <w:color w:val="0000EE"/>
                </w:rPr>
                <w:t>Registration Statement on Form S-1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70">
              <w:r>
                <w:rPr>
                  <w:rFonts w:ascii="Times New Roman" w:cs="Times New Roman" w:eastAsia="Times New Roman" w:hAnsi="Times New Roman"/>
                  <w:sz w:val="16"/>
                  <w:szCs w:val="16"/>
                  <w:color w:val="0000EE"/>
                </w:rPr>
                <w:t>January 13,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rPr>
            </w:pPr>
            <w:hyperlink r:id="rId271">
              <w:r>
                <w:rPr>
                  <w:rFonts w:ascii="Times New Roman" w:cs="Times New Roman" w:eastAsia="Times New Roman" w:hAnsi="Times New Roman"/>
                  <w:sz w:val="16"/>
                  <w:szCs w:val="16"/>
                  <w:color w:val="0000EE"/>
                </w:rPr>
                <w:t>Amended and Restated Bylaws of the Registrant (incorporated by reference to Exhibit 3.3 to the</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9"/>
              </w:rPr>
            </w:pPr>
            <w:hyperlink r:id="rId271">
              <w:r>
                <w:rPr>
                  <w:rFonts w:ascii="Times New Roman" w:cs="Times New Roman" w:eastAsia="Times New Roman" w:hAnsi="Times New Roman"/>
                  <w:sz w:val="16"/>
                  <w:szCs w:val="16"/>
                  <w:color w:val="0000EE"/>
                  <w:w w:val="99"/>
                </w:rPr>
                <w:t>Registrant’s Amendment No. 2 to Registration Statement on Form S-1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71">
              <w:r>
                <w:rPr>
                  <w:rFonts w:ascii="Times New Roman" w:cs="Times New Roman" w:eastAsia="Times New Roman" w:hAnsi="Times New Roman"/>
                  <w:sz w:val="16"/>
                  <w:szCs w:val="16"/>
                  <w:color w:val="0000EE"/>
                </w:rPr>
                <w:t>Exchange Commission on January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rPr>
            </w:pPr>
            <w:hyperlink r:id="rId272">
              <w:r>
                <w:rPr>
                  <w:rFonts w:ascii="Times New Roman" w:cs="Times New Roman" w:eastAsia="Times New Roman" w:hAnsi="Times New Roman"/>
                  <w:sz w:val="16"/>
                  <w:szCs w:val="16"/>
                  <w:color w:val="0000EE"/>
                </w:rPr>
                <w:t>Certificate of Amendment to the Articles of Incorporation of the Registrant, filed July 11, 2022</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8"/>
              </w:rPr>
            </w:pPr>
            <w:hyperlink r:id="rId272">
              <w:r>
                <w:rPr>
                  <w:rFonts w:ascii="Times New Roman" w:cs="Times New Roman" w:eastAsia="Times New Roman" w:hAnsi="Times New Roman"/>
                  <w:sz w:val="16"/>
                  <w:szCs w:val="16"/>
                  <w:color w:val="0000EE"/>
                  <w:w w:val="98"/>
                </w:rPr>
                <w:t>(incorporated by reference to Exhibit 3.1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72">
              <w:r>
                <w:rPr>
                  <w:rFonts w:ascii="Times New Roman" w:cs="Times New Roman" w:eastAsia="Times New Roman" w:hAnsi="Times New Roman"/>
                  <w:sz w:val="16"/>
                  <w:szCs w:val="16"/>
                  <w:color w:val="0000EE"/>
                </w:rPr>
                <w:t>the Securities and Exchange Commission on July 14,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w w:val="99"/>
              </w:rPr>
            </w:pPr>
            <w:hyperlink r:id="rId273">
              <w:r>
                <w:rPr>
                  <w:rFonts w:ascii="Times New Roman" w:cs="Times New Roman" w:eastAsia="Times New Roman" w:hAnsi="Times New Roman"/>
                  <w:sz w:val="16"/>
                  <w:szCs w:val="16"/>
                  <w:color w:val="0000EE"/>
                  <w:w w:val="99"/>
                </w:rPr>
                <w:t>Certificate of Amendment to the Articles of Incorporation of the Registrant, filed October 17, 2022</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73">
              <w:r>
                <w:rPr>
                  <w:rFonts w:ascii="Times New Roman" w:cs="Times New Roman" w:eastAsia="Times New Roman" w:hAnsi="Times New Roman"/>
                  <w:sz w:val="16"/>
                  <w:szCs w:val="16"/>
                  <w:color w:val="0000EE"/>
                  <w:w w:val="98"/>
                </w:rPr>
                <w:t>(incorporated by reference to Exhibit 3.1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73">
              <w:r>
                <w:rPr>
                  <w:rFonts w:ascii="Times New Roman" w:cs="Times New Roman" w:eastAsia="Times New Roman" w:hAnsi="Times New Roman"/>
                  <w:sz w:val="16"/>
                  <w:szCs w:val="16"/>
                  <w:color w:val="0000EE"/>
                </w:rPr>
                <w:t>the Securities and Exchange Commission on October 17,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rPr>
            </w:pPr>
            <w:hyperlink r:id="rId274">
              <w:r>
                <w:rPr>
                  <w:rFonts w:ascii="Times New Roman" w:cs="Times New Roman" w:eastAsia="Times New Roman" w:hAnsi="Times New Roman"/>
                  <w:sz w:val="16"/>
                  <w:szCs w:val="16"/>
                  <w:color w:val="0000EE"/>
                </w:rPr>
                <w:t>Certificate of Amendment to the Articles of Incorporation of the Registrant, filed March 1, 2023</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8"/>
              </w:rPr>
            </w:pPr>
            <w:hyperlink r:id="rId274">
              <w:r>
                <w:rPr>
                  <w:rFonts w:ascii="Times New Roman" w:cs="Times New Roman" w:eastAsia="Times New Roman" w:hAnsi="Times New Roman"/>
                  <w:sz w:val="16"/>
                  <w:szCs w:val="16"/>
                  <w:color w:val="0000EE"/>
                  <w:w w:val="98"/>
                </w:rPr>
                <w:t>(incorporated by reference to Exhibit 3.1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60" w:lineRule="exact"/>
              <w:rPr>
                <w:rFonts w:ascii="Times New Roman" w:cs="Times New Roman" w:eastAsia="Times New Roman" w:hAnsi="Times New Roman"/>
                <w:sz w:val="16"/>
                <w:szCs w:val="16"/>
                <w:color w:val="0000EE"/>
                <w:w w:val="96"/>
              </w:rPr>
            </w:pPr>
            <w:hyperlink r:id="rId274">
              <w:r>
                <w:rPr>
                  <w:rFonts w:ascii="Times New Roman" w:cs="Times New Roman" w:eastAsia="Times New Roman" w:hAnsi="Times New Roman"/>
                  <w:sz w:val="16"/>
                  <w:szCs w:val="16"/>
                  <w:color w:val="0000EE"/>
                  <w:w w:val="96"/>
                </w:rPr>
                <w:t>the Securities and Exchange Commission on March 3, 2023).</w:t>
              </w:r>
            </w:hyperlink>
          </w:p>
        </w:tc>
        <w:tc>
          <w:tcPr>
            <w:tcW w:w="250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rPr>
            </w:pPr>
            <w:hyperlink r:id="rId275">
              <w:r>
                <w:rPr>
                  <w:rFonts w:ascii="Times New Roman" w:cs="Times New Roman" w:eastAsia="Times New Roman" w:hAnsi="Times New Roman"/>
                  <w:sz w:val="16"/>
                  <w:szCs w:val="16"/>
                  <w:color w:val="0000EE"/>
                </w:rPr>
                <w:t>Certificate of Change to Articles of Incorporation of Agrify Corporation, filed June 30,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75">
              <w:r>
                <w:rPr>
                  <w:rFonts w:ascii="Times New Roman" w:cs="Times New Roman" w:eastAsia="Times New Roman" w:hAnsi="Times New Roman"/>
                  <w:sz w:val="16"/>
                  <w:szCs w:val="16"/>
                  <w:color w:val="0000EE"/>
                  <w:w w:val="98"/>
                </w:rPr>
                <w:t>(incorporated by reference to Exhibit 3.1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75">
              <w:r>
                <w:rPr>
                  <w:rFonts w:ascii="Times New Roman" w:cs="Times New Roman" w:eastAsia="Times New Roman" w:hAnsi="Times New Roman"/>
                  <w:sz w:val="16"/>
                  <w:szCs w:val="16"/>
                  <w:color w:val="0000EE"/>
                </w:rPr>
                <w:t>the Securities and Exchange Commission on July 3,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w w:val="99"/>
              </w:rPr>
            </w:pPr>
            <w:hyperlink r:id="rId276">
              <w:r>
                <w:rPr>
                  <w:rFonts w:ascii="Times New Roman" w:cs="Times New Roman" w:eastAsia="Times New Roman" w:hAnsi="Times New Roman"/>
                  <w:sz w:val="16"/>
                  <w:szCs w:val="16"/>
                  <w:color w:val="0000EE"/>
                  <w:w w:val="99"/>
                </w:rPr>
                <w:t>Certificate of Amendment to the Articles of Incorporation of the Registrant, filed January 22, 2024</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8"/>
              </w:rPr>
            </w:pPr>
            <w:hyperlink r:id="rId276">
              <w:r>
                <w:rPr>
                  <w:rFonts w:ascii="Times New Roman" w:cs="Times New Roman" w:eastAsia="Times New Roman" w:hAnsi="Times New Roman"/>
                  <w:sz w:val="16"/>
                  <w:szCs w:val="16"/>
                  <w:color w:val="0000EE"/>
                  <w:w w:val="98"/>
                </w:rPr>
                <w:t>(incorporated by reference to Exhibit 3.1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EE"/>
            </w:tcBorders>
            <w:gridSpan w:val="11"/>
            <w:shd w:val="clear" w:color="auto" w:fill="CCEEFF"/>
          </w:tcPr>
          <w:p>
            <w:pPr>
              <w:spacing w:after="0" w:line="160" w:lineRule="exact"/>
              <w:rPr>
                <w:rFonts w:ascii="Times New Roman" w:cs="Times New Roman" w:eastAsia="Times New Roman" w:hAnsi="Times New Roman"/>
                <w:sz w:val="16"/>
                <w:szCs w:val="16"/>
                <w:color w:val="0000EE"/>
                <w:w w:val="96"/>
              </w:rPr>
            </w:pPr>
            <w:hyperlink r:id="rId276">
              <w:r>
                <w:rPr>
                  <w:rFonts w:ascii="Times New Roman" w:cs="Times New Roman" w:eastAsia="Times New Roman" w:hAnsi="Times New Roman"/>
                  <w:sz w:val="16"/>
                  <w:szCs w:val="16"/>
                  <w:color w:val="0000EE"/>
                  <w:w w:val="96"/>
                </w:rPr>
                <w:t>the Securities and Exchange Commission on January 25, 2024).</w:t>
              </w:r>
            </w:hyperlink>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Form of Common Stock Certificate (incorporated by reference to Exhibit 4.1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Amendment No. 2 to Registration Statement on Form S-1 filed with the Securities and Exchange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Commission on January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w w:val="97"/>
              </w:rPr>
            </w:pPr>
            <w:hyperlink r:id="rId278">
              <w:r>
                <w:rPr>
                  <w:rFonts w:ascii="Times New Roman" w:cs="Times New Roman" w:eastAsia="Times New Roman" w:hAnsi="Times New Roman"/>
                  <w:sz w:val="16"/>
                  <w:szCs w:val="16"/>
                  <w:color w:val="0000EE"/>
                  <w:w w:val="97"/>
                </w:rPr>
                <w:t>Form of Representative’s Warrant dated February 19, 2021 (incorporated by reference to Exhibit 4.2</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78">
              <w:r>
                <w:rPr>
                  <w:rFonts w:ascii="Times New Roman" w:cs="Times New Roman" w:eastAsia="Times New Roman" w:hAnsi="Times New Roman"/>
                  <w:sz w:val="16"/>
                  <w:szCs w:val="16"/>
                  <w:color w:val="0000EE"/>
                </w:rPr>
                <w:t>to the Registrant’s Registration Statement on Form S-1 filed with the Securities and Exchange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5"/>
            <w:shd w:val="clear" w:color="auto" w:fill="CCEEFF"/>
          </w:tcPr>
          <w:p>
            <w:pPr>
              <w:spacing w:after="0" w:line="160" w:lineRule="exact"/>
              <w:rPr>
                <w:rFonts w:ascii="Times New Roman" w:cs="Times New Roman" w:eastAsia="Times New Roman" w:hAnsi="Times New Roman"/>
                <w:sz w:val="16"/>
                <w:szCs w:val="16"/>
                <w:color w:val="0000EE"/>
                <w:w w:val="96"/>
              </w:rPr>
            </w:pPr>
            <w:hyperlink r:id="rId278">
              <w:r>
                <w:rPr>
                  <w:rFonts w:ascii="Times New Roman" w:cs="Times New Roman" w:eastAsia="Times New Roman" w:hAnsi="Times New Roman"/>
                  <w:sz w:val="16"/>
                  <w:szCs w:val="16"/>
                  <w:color w:val="0000EE"/>
                  <w:w w:val="96"/>
                </w:rPr>
                <w:t>Commission on February 11, 2021)</w:t>
              </w:r>
            </w:hyperlink>
          </w:p>
        </w:tc>
        <w:tc>
          <w:tcPr>
            <w:tcW w:w="4100" w:type="dxa"/>
            <w:vAlign w:val="bottom"/>
            <w:tcBorders>
              <w:bottom w:val="single" w:sz="8" w:color="CCEEFF"/>
            </w:tcBorders>
            <w:gridSpan w:val="9"/>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56" w:lineRule="exact"/>
              <w:rPr>
                <w:rFonts w:ascii="Times New Roman" w:cs="Times New Roman" w:eastAsia="Times New Roman" w:hAnsi="Times New Roman"/>
                <w:sz w:val="16"/>
                <w:szCs w:val="16"/>
                <w:color w:val="0000EE"/>
                <w:w w:val="98"/>
              </w:rPr>
            </w:pPr>
            <w:hyperlink r:id="rId279">
              <w:r>
                <w:rPr>
                  <w:rFonts w:ascii="Times New Roman" w:cs="Times New Roman" w:eastAsia="Times New Roman" w:hAnsi="Times New Roman"/>
                  <w:sz w:val="16"/>
                  <w:szCs w:val="16"/>
                  <w:color w:val="0000EE"/>
                  <w:w w:val="98"/>
                </w:rPr>
                <w:t>Form of Representative’s Warrant dated January 27, 2021 (incorporated by reference to Exhibit 4.2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279">
              <w:r>
                <w:rPr>
                  <w:rFonts w:ascii="Times New Roman" w:cs="Times New Roman" w:eastAsia="Times New Roman" w:hAnsi="Times New Roman"/>
                  <w:sz w:val="16"/>
                  <w:szCs w:val="16"/>
                  <w:color w:val="0000EE"/>
                  <w:w w:val="97"/>
                </w:rPr>
                <w:t>to the Registrant’s Amendment No. 2 to Registration Statement on Form S-1 filed with the 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4"/>
          </w:tcPr>
          <w:p>
            <w:pPr>
              <w:spacing w:after="0" w:line="160" w:lineRule="exact"/>
              <w:rPr>
                <w:rFonts w:ascii="Times New Roman" w:cs="Times New Roman" w:eastAsia="Times New Roman" w:hAnsi="Times New Roman"/>
                <w:sz w:val="16"/>
                <w:szCs w:val="16"/>
                <w:color w:val="0000EE"/>
              </w:rPr>
            </w:pPr>
            <w:hyperlink r:id="rId279">
              <w:r>
                <w:rPr>
                  <w:rFonts w:ascii="Times New Roman" w:cs="Times New Roman" w:eastAsia="Times New Roman" w:hAnsi="Times New Roman"/>
                  <w:sz w:val="16"/>
                  <w:szCs w:val="16"/>
                  <w:color w:val="0000EE"/>
                </w:rPr>
                <w:t>and Exchange Commission on January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56" w:lineRule="exact"/>
              <w:rPr>
                <w:rFonts w:ascii="Times New Roman" w:cs="Times New Roman" w:eastAsia="Times New Roman" w:hAnsi="Times New Roman"/>
                <w:sz w:val="16"/>
                <w:szCs w:val="16"/>
                <w:color w:val="0000EE"/>
                <w:w w:val="98"/>
              </w:rPr>
            </w:pPr>
            <w:hyperlink r:id="rId280">
              <w:r>
                <w:rPr>
                  <w:rFonts w:ascii="Times New Roman" w:cs="Times New Roman" w:eastAsia="Times New Roman" w:hAnsi="Times New Roman"/>
                  <w:sz w:val="16"/>
                  <w:szCs w:val="16"/>
                  <w:color w:val="0000EE"/>
                  <w:w w:val="98"/>
                </w:rPr>
                <w:t>Form of Warrant issued to Noteholders (incorporated by reference to Exhibit 4.3 to the Registrant’s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Registration Statement on Form S-1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4"/>
            <w:shd w:val="clear" w:color="auto" w:fill="CCEEFF"/>
          </w:tcPr>
          <w:p>
            <w:pPr>
              <w:spacing w:after="0" w:line="160" w:lineRule="exact"/>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December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5" w:name="page246"/>
    <w:bookmarkEnd w:id="24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80" w:type="dxa"/>
            <w:vAlign w:val="bottom"/>
            <w:gridSpan w:val="9"/>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6320" w:type="dxa"/>
            <w:vAlign w:val="bottom"/>
            <w:tcBorders>
              <w:bottom w:val="single" w:sz="8" w:color="0000EE"/>
              <w:right w:val="single" w:sz="8" w:color="CCEEFF"/>
            </w:tcBorders>
            <w:gridSpan w:val="16"/>
            <w:shd w:val="clear" w:color="auto" w:fill="CCEEFF"/>
          </w:tcPr>
          <w:p>
            <w:pPr>
              <w:spacing w:after="0" w:line="148"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Description of Registrant’s Securities (incorporated by reference to Exhibit 4.5 to the Registrant’s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5"/>
            <w:shd w:val="clear" w:color="auto" w:fill="CCEEFF"/>
          </w:tcPr>
          <w:p>
            <w:pPr>
              <w:spacing w:after="0" w:line="160" w:lineRule="exact"/>
              <w:rPr>
                <w:rFonts w:ascii="Times New Roman" w:cs="Times New Roman" w:eastAsia="Times New Roman" w:hAnsi="Times New Roman"/>
                <w:sz w:val="16"/>
                <w:szCs w:val="16"/>
                <w:color w:val="0000EE"/>
                <w:w w:val="97"/>
              </w:rPr>
            </w:pPr>
            <w:hyperlink r:id="rId282">
              <w:r>
                <w:rPr>
                  <w:rFonts w:ascii="Times New Roman" w:cs="Times New Roman" w:eastAsia="Times New Roman" w:hAnsi="Times New Roman"/>
                  <w:sz w:val="16"/>
                  <w:szCs w:val="16"/>
                  <w:color w:val="0000EE"/>
                  <w:w w:val="97"/>
                </w:rPr>
                <w:t>Annual Report on Form 10-K filed with the Securities and Exchange Commission on April 2, 2021)</w:t>
              </w:r>
            </w:hyperlink>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Form of Common Stock Purchase Warrant dated January 28, 2022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w w:val="99"/>
              </w:rPr>
            </w:pPr>
            <w:hyperlink r:id="rId283">
              <w:r>
                <w:rPr>
                  <w:rFonts w:ascii="Times New Roman" w:cs="Times New Roman" w:eastAsia="Times New Roman" w:hAnsi="Times New Roman"/>
                  <w:sz w:val="16"/>
                  <w:szCs w:val="16"/>
                  <w:color w:val="0000EE"/>
                  <w:w w:val="99"/>
                </w:rPr>
                <w:t>Exhibit 4.2 to the Registrant’s Current Report on Form 8-K filed with the Securities and Exchange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Commission on January 26,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Form of Senior Secured Note (incorporated by reference to Exhibit 4.1 to the Registrant’s Current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900" w:type="dxa"/>
            <w:vAlign w:val="bottom"/>
            <w:tcBorders>
              <w:bottom w:val="single" w:sz="8" w:color="0000EE"/>
            </w:tcBorders>
            <w:gridSpan w:val="13"/>
            <w:shd w:val="clear" w:color="auto" w:fill="CCEEFF"/>
          </w:tcPr>
          <w:p>
            <w:pPr>
              <w:spacing w:after="0" w:line="160" w:lineRule="exact"/>
              <w:rPr>
                <w:rFonts w:ascii="Times New Roman" w:cs="Times New Roman" w:eastAsia="Times New Roman" w:hAnsi="Times New Roman"/>
                <w:sz w:val="16"/>
                <w:szCs w:val="16"/>
                <w:color w:val="0000EE"/>
                <w:w w:val="96"/>
              </w:rPr>
            </w:pPr>
            <w:hyperlink r:id="rId284">
              <w:r>
                <w:rPr>
                  <w:rFonts w:ascii="Times New Roman" w:cs="Times New Roman" w:eastAsia="Times New Roman" w:hAnsi="Times New Roman"/>
                  <w:sz w:val="16"/>
                  <w:szCs w:val="16"/>
                  <w:color w:val="0000EE"/>
                  <w:w w:val="96"/>
                </w:rPr>
                <w:t>Report on Form 8-K filed with the Securities and Exchange Commission on August 19, 2022).</w:t>
              </w:r>
            </w:hyperlink>
          </w:p>
        </w:tc>
        <w:tc>
          <w:tcPr>
            <w:tcW w:w="42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Form of Warrant Exchange Warrant (incorporated by reference to Exhibit 4.2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Current Report on Form 8-K filed with the Securities and Exchange Commission on August 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285">
              <w:r>
                <w:rPr>
                  <w:rFonts w:ascii="Times New Roman" w:cs="Times New Roman" w:eastAsia="Times New Roman" w:hAnsi="Times New Roman"/>
                  <w:sz w:val="16"/>
                  <w:szCs w:val="16"/>
                  <w:color w:val="0000EE"/>
                  <w:w w:val="91"/>
                </w:rPr>
                <w:t>2022).</w:t>
              </w:r>
            </w:hyperlink>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6"/>
              </w:rPr>
            </w:pPr>
            <w:hyperlink r:id="rId286">
              <w:r>
                <w:rPr>
                  <w:rFonts w:ascii="Times New Roman" w:cs="Times New Roman" w:eastAsia="Times New Roman" w:hAnsi="Times New Roman"/>
                  <w:sz w:val="16"/>
                  <w:szCs w:val="16"/>
                  <w:color w:val="0000EE"/>
                  <w:w w:val="96"/>
                </w:rPr>
                <w:t>Form of Note Exchange Warrant (incorporated by reference to Exhibit 4.3 to the Registrant’s Current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900" w:type="dxa"/>
            <w:vAlign w:val="bottom"/>
            <w:tcBorders>
              <w:bottom w:val="single" w:sz="8" w:color="0000EE"/>
            </w:tcBorders>
            <w:gridSpan w:val="13"/>
            <w:shd w:val="clear" w:color="auto" w:fill="CCEEFF"/>
          </w:tcPr>
          <w:p>
            <w:pPr>
              <w:spacing w:after="0" w:line="160" w:lineRule="exact"/>
              <w:rPr>
                <w:rFonts w:ascii="Times New Roman" w:cs="Times New Roman" w:eastAsia="Times New Roman" w:hAnsi="Times New Roman"/>
                <w:sz w:val="16"/>
                <w:szCs w:val="16"/>
                <w:color w:val="0000EE"/>
                <w:w w:val="96"/>
              </w:rPr>
            </w:pPr>
            <w:hyperlink r:id="rId286">
              <w:r>
                <w:rPr>
                  <w:rFonts w:ascii="Times New Roman" w:cs="Times New Roman" w:eastAsia="Times New Roman" w:hAnsi="Times New Roman"/>
                  <w:sz w:val="16"/>
                  <w:szCs w:val="16"/>
                  <w:color w:val="0000EE"/>
                  <w:w w:val="96"/>
                </w:rPr>
                <w:t>Report on Form 8-K filed with the Securities and Exchange Commission on August 19, 2022).</w:t>
              </w:r>
            </w:hyperlink>
          </w:p>
        </w:tc>
        <w:tc>
          <w:tcPr>
            <w:tcW w:w="42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Form of Pre-Funded Warrant (incorporated by reference to Exhibit 4.1 to the Registrant’s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Report on Form 8-K filed with the Securities and Exchange Commission on December 16,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rPr>
            </w:pPr>
            <w:hyperlink r:id="rId288">
              <w:r>
                <w:rPr>
                  <w:rFonts w:ascii="Times New Roman" w:cs="Times New Roman" w:eastAsia="Times New Roman" w:hAnsi="Times New Roman"/>
                  <w:sz w:val="16"/>
                  <w:szCs w:val="16"/>
                  <w:color w:val="0000EE"/>
                </w:rPr>
                <w:t>Form of Common Warrant (incorporated by reference to Exhibit 4.2 to the Registrant’s Current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14"/>
            <w:shd w:val="clear" w:color="auto" w:fill="CCEEFF"/>
          </w:tcPr>
          <w:p>
            <w:pPr>
              <w:spacing w:after="0" w:line="160" w:lineRule="exact"/>
              <w:rPr>
                <w:rFonts w:ascii="Times New Roman" w:cs="Times New Roman" w:eastAsia="Times New Roman" w:hAnsi="Times New Roman"/>
                <w:sz w:val="16"/>
                <w:szCs w:val="16"/>
                <w:color w:val="0000EE"/>
                <w:w w:val="97"/>
              </w:rPr>
            </w:pPr>
            <w:hyperlink r:id="rId288">
              <w:r>
                <w:rPr>
                  <w:rFonts w:ascii="Times New Roman" w:cs="Times New Roman" w:eastAsia="Times New Roman" w:hAnsi="Times New Roman"/>
                  <w:sz w:val="16"/>
                  <w:szCs w:val="16"/>
                  <w:color w:val="0000EE"/>
                  <w:w w:val="97"/>
                </w:rPr>
                <w:t>Report on Form 8-K filed with the Securities and Exchange Commission on December 16, 2022)</w:t>
              </w:r>
            </w:hyperlink>
          </w:p>
        </w:tc>
        <w:tc>
          <w:tcPr>
            <w:tcW w:w="26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Form of Senior Secured Convertible Note (incorporated by reference to Exhibit 4.1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Registrant’s Current Report on Form 8-K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March 9,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rPr>
            </w:pPr>
            <w:hyperlink r:id="rId290">
              <w:r>
                <w:rPr>
                  <w:rFonts w:ascii="Times New Roman" w:cs="Times New Roman" w:eastAsia="Times New Roman" w:hAnsi="Times New Roman"/>
                  <w:sz w:val="16"/>
                  <w:szCs w:val="16"/>
                  <w:color w:val="0000EE"/>
                </w:rPr>
                <w:t>Amendment to Senior Secured Note (incorporated by reference to Exhibit 4.2 to the Registrant’s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Current Report on Form 8-K filed with the 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Exchange Warrant, dated October 27, 2023 (incorporated by reference to Exhibit 4.1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Registrant’s Current Report on Form 8-K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October 30,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7"/>
              </w:rPr>
            </w:pPr>
            <w:hyperlink r:id="rId292">
              <w:r>
                <w:rPr>
                  <w:rFonts w:ascii="Times New Roman" w:cs="Times New Roman" w:eastAsia="Times New Roman" w:hAnsi="Times New Roman"/>
                  <w:sz w:val="16"/>
                  <w:szCs w:val="16"/>
                  <w:color w:val="0000EE"/>
                  <w:w w:val="97"/>
                </w:rPr>
                <w:t>Common Stock Purchase Warrant, dated October 27, 2023 (incorporated by reference to Exhibit 4.3</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w w:val="97"/>
              </w:rPr>
            </w:pPr>
            <w:hyperlink r:id="rId292">
              <w:r>
                <w:rPr>
                  <w:rFonts w:ascii="Times New Roman" w:cs="Times New Roman" w:eastAsia="Times New Roman" w:hAnsi="Times New Roman"/>
                  <w:sz w:val="16"/>
                  <w:szCs w:val="16"/>
                  <w:color w:val="0000EE"/>
                  <w:w w:val="97"/>
                </w:rPr>
                <w:t>to the Registrant’s Current Report on Form 8-K filed with the Securities and Exchange Commission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on October 30,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w w:val="97"/>
              </w:rPr>
            </w:pPr>
            <w:hyperlink r:id="rId293">
              <w:r>
                <w:rPr>
                  <w:rFonts w:ascii="Times New Roman" w:cs="Times New Roman" w:eastAsia="Times New Roman" w:hAnsi="Times New Roman"/>
                  <w:sz w:val="16"/>
                  <w:szCs w:val="16"/>
                  <w:color w:val="0000EE"/>
                  <w:w w:val="97"/>
                </w:rPr>
                <w:t>Amended and Restated Junior Secured Promissory Note (incorporated by reference to Exhibit 4.4 to</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293">
              <w:r>
                <w:rPr>
                  <w:rFonts w:ascii="Times New Roman" w:cs="Times New Roman" w:eastAsia="Times New Roman" w:hAnsi="Times New Roman"/>
                  <w:sz w:val="16"/>
                  <w:szCs w:val="16"/>
                  <w:color w:val="0000EE"/>
                  <w:w w:val="97"/>
                </w:rPr>
                <w:t>the Registrant’s Current Report on Form 8-K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93">
              <w:r>
                <w:rPr>
                  <w:rFonts w:ascii="Times New Roman" w:cs="Times New Roman" w:eastAsia="Times New Roman" w:hAnsi="Times New Roman"/>
                  <w:sz w:val="16"/>
                  <w:szCs w:val="16"/>
                  <w:color w:val="0000EE"/>
                </w:rPr>
                <w:t>October 30,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7"/>
              </w:rPr>
            </w:pPr>
            <w:hyperlink r:id="rId294">
              <w:r>
                <w:rPr>
                  <w:rFonts w:ascii="Times New Roman" w:cs="Times New Roman" w:eastAsia="Times New Roman" w:hAnsi="Times New Roman"/>
                  <w:sz w:val="16"/>
                  <w:szCs w:val="16"/>
                  <w:color w:val="0000EE"/>
                  <w:w w:val="97"/>
                </w:rPr>
                <w:t>Junior Secured Promissory Note (incorporated by reference to Exhibit 4.5 to the Registrant’s Current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294">
              <w:r>
                <w:rPr>
                  <w:rFonts w:ascii="Times New Roman" w:cs="Times New Roman" w:eastAsia="Times New Roman" w:hAnsi="Times New Roman"/>
                  <w:sz w:val="16"/>
                  <w:szCs w:val="16"/>
                  <w:color w:val="0000EE"/>
                </w:rPr>
                <w:t>Report on Form 8-K filed with the Securities and Exchange Commission on October 30,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0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95">
              <w:r>
                <w:rPr>
                  <w:rFonts w:ascii="Times New Roman" w:cs="Times New Roman" w:eastAsia="Times New Roman" w:hAnsi="Times New Roman"/>
                  <w:sz w:val="16"/>
                  <w:szCs w:val="16"/>
                  <w:color w:val="0000EE"/>
                </w:rPr>
                <w:t>Amendment to Junior Secured Promissory Note, dated December 4, 2023, between Agrify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w w:val="98"/>
              </w:rPr>
            </w:pPr>
            <w:hyperlink r:id="rId295">
              <w:r>
                <w:rPr>
                  <w:rFonts w:ascii="Times New Roman" w:cs="Times New Roman" w:eastAsia="Times New Roman" w:hAnsi="Times New Roman"/>
                  <w:sz w:val="16"/>
                  <w:szCs w:val="16"/>
                  <w:color w:val="0000EE"/>
                  <w:w w:val="98"/>
                </w:rPr>
                <w:t>Corporation and CP Acquisitions, LLC (incorporated by reference to Exhibit 4.1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95">
              <w:r>
                <w:rPr>
                  <w:rFonts w:ascii="Times New Roman" w:cs="Times New Roman" w:eastAsia="Times New Roman" w:hAnsi="Times New Roman"/>
                  <w:sz w:val="16"/>
                  <w:szCs w:val="16"/>
                  <w:color w:val="0000EE"/>
                </w:rPr>
                <w:t>Current Report on Form 8-K filed with the Securities and Exchange Commission on December 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295">
              <w:r>
                <w:rPr>
                  <w:rFonts w:ascii="Times New Roman" w:cs="Times New Roman" w:eastAsia="Times New Roman" w:hAnsi="Times New Roman"/>
                  <w:sz w:val="16"/>
                  <w:szCs w:val="16"/>
                  <w:color w:val="0000EE"/>
                  <w:w w:val="91"/>
                </w:rPr>
                <w:t>2023).</w:t>
              </w:r>
            </w:hyperlink>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4.19</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6"/>
              </w:rPr>
            </w:pPr>
            <w:hyperlink r:id="rId296">
              <w:r>
                <w:rPr>
                  <w:rFonts w:ascii="Times New Roman" w:cs="Times New Roman" w:eastAsia="Times New Roman" w:hAnsi="Times New Roman"/>
                  <w:sz w:val="16"/>
                  <w:szCs w:val="16"/>
                  <w:color w:val="0000EE"/>
                  <w:w w:val="96"/>
                </w:rPr>
                <w:t>Senior Secured Amended, Restated and Consolidated Convertible Promissory Note dated January 25,</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w w:val="98"/>
              </w:rPr>
            </w:pPr>
            <w:hyperlink r:id="rId296">
              <w:r>
                <w:rPr>
                  <w:rFonts w:ascii="Times New Roman" w:cs="Times New Roman" w:eastAsia="Times New Roman" w:hAnsi="Times New Roman"/>
                  <w:sz w:val="16"/>
                  <w:szCs w:val="16"/>
                  <w:color w:val="0000EE"/>
                  <w:w w:val="98"/>
                </w:rPr>
                <w:t>2024 (incorporated by reference to Exhibit 4.1 to the Registrant’s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with the Securities and Exchange Commission on January 25,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0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97">
              <w:r>
                <w:rPr>
                  <w:rFonts w:ascii="Times New Roman" w:cs="Times New Roman" w:eastAsia="Times New Roman" w:hAnsi="Times New Roman"/>
                  <w:sz w:val="16"/>
                  <w:szCs w:val="16"/>
                  <w:color w:val="0000EE"/>
                </w:rPr>
                <w:t>Second  Amended  and  Restated  Junior  Secured  Promissory  Note  dated  January  25,  2024</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w w:val="98"/>
              </w:rPr>
            </w:pPr>
            <w:hyperlink r:id="rId297">
              <w:r>
                <w:rPr>
                  <w:rFonts w:ascii="Times New Roman" w:cs="Times New Roman" w:eastAsia="Times New Roman" w:hAnsi="Times New Roman"/>
                  <w:sz w:val="16"/>
                  <w:szCs w:val="16"/>
                  <w:color w:val="0000EE"/>
                  <w:w w:val="98"/>
                </w:rPr>
                <w:t>(incorporated by reference to Exhibit 4.2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97">
              <w:r>
                <w:rPr>
                  <w:rFonts w:ascii="Times New Roman" w:cs="Times New Roman" w:eastAsia="Times New Roman" w:hAnsi="Times New Roman"/>
                  <w:sz w:val="16"/>
                  <w:szCs w:val="16"/>
                  <w:color w:val="0000EE"/>
                </w:rPr>
                <w:t>the Securities and Exchange Commission on January 25,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Form of Pre-Funded Warrant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3"/>
                <w:szCs w:val="13"/>
                <w:color w:val="auto"/>
              </w:rPr>
            </w:pPr>
          </w:p>
        </w:tc>
        <w:tc>
          <w:tcPr>
            <w:tcW w:w="6320" w:type="dxa"/>
            <w:vAlign w:val="bottom"/>
            <w:gridSpan w:val="16"/>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Placement Agent Warrant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Opinion of Sherman &amp; Howard, L.L.C.</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3"/>
                <w:szCs w:val="13"/>
                <w:color w:val="auto"/>
              </w:rPr>
            </w:pPr>
          </w:p>
        </w:tc>
        <w:tc>
          <w:tcPr>
            <w:tcW w:w="6320" w:type="dxa"/>
            <w:vAlign w:val="bottom"/>
            <w:gridSpan w:val="16"/>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Opinion of Burns &amp; Levinson LLP</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7"/>
              </w:rPr>
            </w:pPr>
            <w:hyperlink r:id="rId298">
              <w:r>
                <w:rPr>
                  <w:rFonts w:ascii="Times New Roman" w:cs="Times New Roman" w:eastAsia="Times New Roman" w:hAnsi="Times New Roman"/>
                  <w:sz w:val="16"/>
                  <w:szCs w:val="16"/>
                  <w:color w:val="0000EE"/>
                  <w:w w:val="97"/>
                </w:rPr>
                <w:t>Operating Agreement of Agrify-Valiant, LLC dated December 8, 2019 (incorporated by reference to</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Exhibit 10.1 to the Registrant’s Registration Statement on Form S-1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tcBorders>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Exchange Commission on December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299">
              <w:r>
                <w:rPr>
                  <w:rFonts w:ascii="Times New Roman" w:cs="Times New Roman" w:eastAsia="Times New Roman" w:hAnsi="Times New Roman"/>
                  <w:sz w:val="16"/>
                  <w:szCs w:val="16"/>
                  <w:color w:val="0000EE"/>
                </w:rPr>
                <w:t>Distribution Agreement dated June 7, 2019 between the Registrant and Bluezone Products, Inc.±</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99">
              <w:r>
                <w:rPr>
                  <w:rFonts w:ascii="Times New Roman" w:cs="Times New Roman" w:eastAsia="Times New Roman" w:hAnsi="Times New Roman"/>
                  <w:sz w:val="16"/>
                  <w:szCs w:val="16"/>
                  <w:color w:val="0000EE"/>
                </w:rPr>
                <w:t>(incorporated by reference to Exhibit 10.2 to the Registrant’s Registration Statement on Form S-1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6"/>
          </w:tcPr>
          <w:p>
            <w:pPr>
              <w:spacing w:after="0" w:line="160" w:lineRule="exact"/>
              <w:rPr>
                <w:rFonts w:ascii="Times New Roman" w:cs="Times New Roman" w:eastAsia="Times New Roman" w:hAnsi="Times New Roman"/>
                <w:sz w:val="16"/>
                <w:szCs w:val="16"/>
                <w:color w:val="0000EE"/>
              </w:rPr>
            </w:pPr>
            <w:hyperlink r:id="rId299">
              <w:r>
                <w:rPr>
                  <w:rFonts w:ascii="Times New Roman" w:cs="Times New Roman" w:eastAsia="Times New Roman" w:hAnsi="Times New Roman"/>
                  <w:sz w:val="16"/>
                  <w:szCs w:val="16"/>
                  <w:color w:val="0000EE"/>
                </w:rPr>
                <w:t>filed with the Securities and Exchange Commission on December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56" w:lineRule="exact"/>
              <w:rPr>
                <w:rFonts w:ascii="Times New Roman" w:cs="Times New Roman" w:eastAsia="Times New Roman" w:hAnsi="Times New Roman"/>
                <w:sz w:val="16"/>
                <w:szCs w:val="16"/>
                <w:color w:val="0000EE"/>
                <w:w w:val="98"/>
              </w:rPr>
            </w:pPr>
            <w:hyperlink r:id="rId300">
              <w:r>
                <w:rPr>
                  <w:rFonts w:ascii="Times New Roman" w:cs="Times New Roman" w:eastAsia="Times New Roman" w:hAnsi="Times New Roman"/>
                  <w:sz w:val="16"/>
                  <w:szCs w:val="16"/>
                  <w:color w:val="0000EE"/>
                  <w:w w:val="98"/>
                </w:rPr>
                <w:t>Distribution Agreement dated March 9, 2020 between the Registrant and Enozo Technologies Inc.±</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right w:val="single" w:sz="8" w:color="CCEEFF"/>
            </w:tcBorders>
            <w:gridSpan w:val="16"/>
            <w:shd w:val="clear" w:color="auto" w:fill="CCEEFF"/>
          </w:tcPr>
          <w:p>
            <w:pPr>
              <w:spacing w:after="0" w:line="160" w:lineRule="exact"/>
              <w:rPr>
                <w:rFonts w:ascii="Times New Roman" w:cs="Times New Roman" w:eastAsia="Times New Roman" w:hAnsi="Times New Roman"/>
                <w:sz w:val="16"/>
                <w:szCs w:val="16"/>
                <w:color w:val="0000EE"/>
              </w:rPr>
            </w:pPr>
            <w:hyperlink r:id="rId300">
              <w:r>
                <w:rPr>
                  <w:rFonts w:ascii="Times New Roman" w:cs="Times New Roman" w:eastAsia="Times New Roman" w:hAnsi="Times New Roman"/>
                  <w:sz w:val="16"/>
                  <w:szCs w:val="16"/>
                  <w:color w:val="0000EE"/>
                </w:rPr>
                <w:t>(incorporated by reference to Exhibit 10.3 to the Registrant’s Registration Statement on Form S-1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EE"/>
            </w:tcBorders>
            <w:gridSpan w:val="12"/>
            <w:shd w:val="clear" w:color="auto" w:fill="CCEEFF"/>
          </w:tcPr>
          <w:p>
            <w:pPr>
              <w:spacing w:after="0" w:line="160" w:lineRule="exact"/>
              <w:rPr>
                <w:rFonts w:ascii="Times New Roman" w:cs="Times New Roman" w:eastAsia="Times New Roman" w:hAnsi="Times New Roman"/>
                <w:sz w:val="16"/>
                <w:szCs w:val="16"/>
                <w:color w:val="0000EE"/>
                <w:w w:val="96"/>
              </w:rPr>
            </w:pPr>
            <w:hyperlink r:id="rId300">
              <w:r>
                <w:rPr>
                  <w:rFonts w:ascii="Times New Roman" w:cs="Times New Roman" w:eastAsia="Times New Roman" w:hAnsi="Times New Roman"/>
                  <w:sz w:val="16"/>
                  <w:szCs w:val="16"/>
                  <w:color w:val="0000EE"/>
                  <w:w w:val="96"/>
                </w:rPr>
                <w:t>filed with the Securities and Exchange Commission on December 22, 2020)</w:t>
              </w:r>
            </w:hyperlink>
          </w:p>
        </w:tc>
        <w:tc>
          <w:tcPr>
            <w:tcW w:w="158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56" w:lineRule="exact"/>
              <w:rPr>
                <w:rFonts w:ascii="Times New Roman" w:cs="Times New Roman" w:eastAsia="Times New Roman" w:hAnsi="Times New Roman"/>
                <w:sz w:val="16"/>
                <w:szCs w:val="16"/>
                <w:color w:val="0000EE"/>
              </w:rPr>
            </w:pPr>
            <w:hyperlink r:id="rId301">
              <w:r>
                <w:rPr>
                  <w:rFonts w:ascii="Times New Roman" w:cs="Times New Roman" w:eastAsia="Times New Roman" w:hAnsi="Times New Roman"/>
                  <w:sz w:val="16"/>
                  <w:szCs w:val="16"/>
                  <w:color w:val="0000EE"/>
                </w:rPr>
                <w:t>Purchase Agreement dated as of July 28, 2020 between the Registrant and 4D Bios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301">
              <w:r>
                <w:rPr>
                  <w:rFonts w:ascii="Times New Roman" w:cs="Times New Roman" w:eastAsia="Times New Roman" w:hAnsi="Times New Roman"/>
                  <w:sz w:val="16"/>
                  <w:szCs w:val="16"/>
                  <w:color w:val="0000EE"/>
                </w:rPr>
                <w:t>(incorporated by reference to Exhibit 10.4 to the Registrant’s Registration Statement on Form S-1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tcBorders>
              <w:bottom w:val="single" w:sz="8" w:color="0000EE"/>
            </w:tcBorders>
            <w:gridSpan w:val="12"/>
          </w:tcPr>
          <w:p>
            <w:pPr>
              <w:spacing w:after="0" w:line="160" w:lineRule="exact"/>
              <w:rPr>
                <w:rFonts w:ascii="Times New Roman" w:cs="Times New Roman" w:eastAsia="Times New Roman" w:hAnsi="Times New Roman"/>
                <w:sz w:val="16"/>
                <w:szCs w:val="16"/>
                <w:color w:val="0000EE"/>
                <w:w w:val="96"/>
              </w:rPr>
            </w:pPr>
            <w:hyperlink r:id="rId301">
              <w:r>
                <w:rPr>
                  <w:rFonts w:ascii="Times New Roman" w:cs="Times New Roman" w:eastAsia="Times New Roman" w:hAnsi="Times New Roman"/>
                  <w:sz w:val="16"/>
                  <w:szCs w:val="16"/>
                  <w:color w:val="0000EE"/>
                  <w:w w:val="96"/>
                </w:rPr>
                <w:t>filed with the Securities and Exchange Commission on December 22, 2020)</w:t>
              </w:r>
            </w:hyperlink>
          </w:p>
        </w:tc>
        <w:tc>
          <w:tcPr>
            <w:tcW w:w="15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6" w:name="page247"/>
    <w:bookmarkEnd w:id="24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900"/>
        <w:spacing w:after="0"/>
        <w:tabs>
          <w:tab w:leader="none" w:pos="45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3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320" w:type="dxa"/>
            <w:vAlign w:val="bottom"/>
            <w:tcBorders>
              <w:top w:val="single" w:sz="8" w:color="auto"/>
              <w:bottom w:val="single" w:sz="8" w:color="0000EE"/>
            </w:tcBorders>
            <w:gridSpan w:val="17"/>
            <w:shd w:val="clear" w:color="auto" w:fill="CCEEFF"/>
          </w:tcPr>
          <w:p>
            <w:pPr>
              <w:spacing w:after="0" w:line="168" w:lineRule="exact"/>
              <w:rPr>
                <w:rFonts w:ascii="Times New Roman" w:cs="Times New Roman" w:eastAsia="Times New Roman" w:hAnsi="Times New Roman"/>
                <w:sz w:val="16"/>
                <w:szCs w:val="16"/>
                <w:color w:val="0000EE"/>
              </w:rPr>
            </w:pPr>
            <w:hyperlink r:id="rId303">
              <w:r>
                <w:rPr>
                  <w:rFonts w:ascii="Times New Roman" w:cs="Times New Roman" w:eastAsia="Times New Roman" w:hAnsi="Times New Roman"/>
                  <w:sz w:val="16"/>
                  <w:szCs w:val="16"/>
                  <w:color w:val="0000EE"/>
                </w:rPr>
                <w:t>Employment Agreement dated as of January 4, 2021 between the Registrant and Raymond Chang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6"/>
              </w:rPr>
            </w:pPr>
            <w:hyperlink r:id="rId303">
              <w:r>
                <w:rPr>
                  <w:rFonts w:ascii="Times New Roman" w:cs="Times New Roman" w:eastAsia="Times New Roman" w:hAnsi="Times New Roman"/>
                  <w:sz w:val="16"/>
                  <w:szCs w:val="16"/>
                  <w:color w:val="0000EE"/>
                  <w:w w:val="96"/>
                </w:rPr>
                <w:t>(incorporated by reference to Exhibit 10.5 to the Registrant’s Annual Report on Form 10-K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03">
              <w:r>
                <w:rPr>
                  <w:rFonts w:ascii="Times New Roman" w:cs="Times New Roman" w:eastAsia="Times New Roman" w:hAnsi="Times New Roman"/>
                  <w:sz w:val="16"/>
                  <w:szCs w:val="16"/>
                  <w:color w:val="0000EE"/>
                </w:rPr>
                <w:t>the Securities and Exchange Commission on April 2,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7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w w:val="98"/>
              </w:rPr>
            </w:pPr>
            <w:hyperlink r:id="rId304">
              <w:r>
                <w:rPr>
                  <w:rFonts w:ascii="Times New Roman" w:cs="Times New Roman" w:eastAsia="Times New Roman" w:hAnsi="Times New Roman"/>
                  <w:sz w:val="16"/>
                  <w:szCs w:val="16"/>
                  <w:color w:val="0000EE"/>
                  <w:w w:val="98"/>
                </w:rPr>
                <w:t>2020 Omnibus Equity Incentive Plan (incorporated by reference to Exhibit 10.13 to the Registrant’s</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Registration Statement on Form S-1 filed with the Securities and Exchange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December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Intellectual Property Assignment and Transfer Agreement by and among the Registrant, Agrify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7"/>
              </w:rPr>
            </w:pPr>
            <w:hyperlink r:id="rId305">
              <w:r>
                <w:rPr>
                  <w:rFonts w:ascii="Times New Roman" w:cs="Times New Roman" w:eastAsia="Times New Roman" w:hAnsi="Times New Roman"/>
                  <w:sz w:val="16"/>
                  <w:szCs w:val="16"/>
                  <w:color w:val="0000EE"/>
                  <w:w w:val="97"/>
                </w:rPr>
                <w:t>Brands, LLC and The Holden Company effective as of January 1, 2020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Exhibit 10.16 to the Registrant’s Registration Statement on Form S-1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Exchange Commission on December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w w:val="99"/>
              </w:rPr>
            </w:pPr>
            <w:hyperlink r:id="rId306">
              <w:r>
                <w:rPr>
                  <w:rFonts w:ascii="Times New Roman" w:cs="Times New Roman" w:eastAsia="Times New Roman" w:hAnsi="Times New Roman"/>
                  <w:sz w:val="16"/>
                  <w:szCs w:val="16"/>
                  <w:color w:val="0000EE"/>
                  <w:w w:val="99"/>
                </w:rPr>
                <w:t>Supply Agreement by and among the Registrant and Mack Molding Co. dated December 7, 2020±</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(incorporated by reference to Exhibit 10.15 to the Registrant’s Amendment No. 1 to Registration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Statement on Form S-1 filed with the Securities and Exchange Commission on January 13,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w w:val="97"/>
              </w:rPr>
            </w:pPr>
            <w:hyperlink r:id="rId307">
              <w:r>
                <w:rPr>
                  <w:rFonts w:ascii="Times New Roman" w:cs="Times New Roman" w:eastAsia="Times New Roman" w:hAnsi="Times New Roman"/>
                  <w:sz w:val="16"/>
                  <w:szCs w:val="16"/>
                  <w:color w:val="0000EE"/>
                  <w:w w:val="97"/>
                </w:rPr>
                <w:t>Amended and Restated Operating Agreement of Agrify Brands, LLC effective as of August 12, 2020</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9"/>
              </w:rPr>
            </w:pPr>
            <w:hyperlink r:id="rId307">
              <w:r>
                <w:rPr>
                  <w:rFonts w:ascii="Times New Roman" w:cs="Times New Roman" w:eastAsia="Times New Roman" w:hAnsi="Times New Roman"/>
                  <w:sz w:val="16"/>
                  <w:szCs w:val="16"/>
                  <w:color w:val="0000EE"/>
                  <w:w w:val="99"/>
                </w:rPr>
                <w:t>(incorporated by reference to Exhibit 10.18 to the Registrant’s Registration Statement on Form S-1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EE"/>
            </w:tcBorders>
            <w:gridSpan w:val="9"/>
            <w:shd w:val="clear" w:color="auto" w:fill="CCEEFF"/>
          </w:tcPr>
          <w:p>
            <w:pPr>
              <w:spacing w:after="0" w:line="160" w:lineRule="exact"/>
              <w:rPr>
                <w:rFonts w:ascii="Times New Roman" w:cs="Times New Roman" w:eastAsia="Times New Roman" w:hAnsi="Times New Roman"/>
                <w:sz w:val="16"/>
                <w:szCs w:val="16"/>
                <w:color w:val="0000EE"/>
                <w:w w:val="96"/>
              </w:rPr>
            </w:pPr>
            <w:hyperlink r:id="rId307">
              <w:r>
                <w:rPr>
                  <w:rFonts w:ascii="Times New Roman" w:cs="Times New Roman" w:eastAsia="Times New Roman" w:hAnsi="Times New Roman"/>
                  <w:sz w:val="16"/>
                  <w:szCs w:val="16"/>
                  <w:color w:val="0000EE"/>
                  <w:w w:val="96"/>
                </w:rPr>
                <w:t>filed with the Securities and Exchange Commission on December 22, 2020)</w:t>
              </w:r>
            </w:hyperlink>
          </w:p>
        </w:tc>
        <w:tc>
          <w:tcPr>
            <w:tcW w:w="158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w w:val="97"/>
              </w:rPr>
            </w:pPr>
            <w:hyperlink r:id="rId308">
              <w:r>
                <w:rPr>
                  <w:rFonts w:ascii="Times New Roman" w:cs="Times New Roman" w:eastAsia="Times New Roman" w:hAnsi="Times New Roman"/>
                  <w:sz w:val="16"/>
                  <w:szCs w:val="16"/>
                  <w:color w:val="0000EE"/>
                  <w:w w:val="97"/>
                </w:rPr>
                <w:t>Form of Indemnification Agreement with directors and executive officers (incorporated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308">
              <w:r>
                <w:rPr>
                  <w:rFonts w:ascii="Times New Roman" w:cs="Times New Roman" w:eastAsia="Times New Roman" w:hAnsi="Times New Roman"/>
                  <w:sz w:val="16"/>
                  <w:szCs w:val="16"/>
                  <w:color w:val="0000EE"/>
                  <w:w w:val="97"/>
                </w:rPr>
                <w:t>to Exhibit 10.18 to the Registrant’s Registration Statement on Form S-1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Exchange Commission on February 11,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rPr>
            </w:pPr>
            <w:hyperlink r:id="rId309">
              <w:r>
                <w:rPr>
                  <w:rFonts w:ascii="Times New Roman" w:cs="Times New Roman" w:eastAsia="Times New Roman" w:hAnsi="Times New Roman"/>
                  <w:sz w:val="16"/>
                  <w:szCs w:val="16"/>
                  <w:color w:val="0000EE"/>
                </w:rPr>
                <w:t>Employment Agreement, dated as of November 10, 2021, between the Registrant and Timothy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9"/>
              </w:rPr>
            </w:pPr>
            <w:hyperlink r:id="rId309">
              <w:r>
                <w:rPr>
                  <w:rFonts w:ascii="Times New Roman" w:cs="Times New Roman" w:eastAsia="Times New Roman" w:hAnsi="Times New Roman"/>
                  <w:sz w:val="16"/>
                  <w:szCs w:val="16"/>
                  <w:color w:val="0000EE"/>
                  <w:w w:val="99"/>
                </w:rPr>
                <w:t>Oakes† (incorporated by reference to Exhibit 10.2 to the Registrant’s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EE"/>
            </w:tcBorders>
            <w:gridSpan w:val="10"/>
            <w:shd w:val="clear" w:color="auto" w:fill="CCEEFF"/>
          </w:tcPr>
          <w:p>
            <w:pPr>
              <w:spacing w:after="0" w:line="160" w:lineRule="exact"/>
              <w:rPr>
                <w:rFonts w:ascii="Times New Roman" w:cs="Times New Roman" w:eastAsia="Times New Roman" w:hAnsi="Times New Roman"/>
                <w:sz w:val="16"/>
                <w:szCs w:val="16"/>
                <w:color w:val="0000EE"/>
                <w:w w:val="97"/>
              </w:rPr>
            </w:pPr>
            <w:hyperlink r:id="rId309">
              <w:r>
                <w:rPr>
                  <w:rFonts w:ascii="Times New Roman" w:cs="Times New Roman" w:eastAsia="Times New Roman" w:hAnsi="Times New Roman"/>
                  <w:sz w:val="16"/>
                  <w:szCs w:val="16"/>
                  <w:color w:val="0000EE"/>
                  <w:w w:val="97"/>
                </w:rPr>
                <w:t>filed with the Securities and Exchange Commission on November 15, 2021)</w:t>
              </w:r>
            </w:hyperlink>
          </w:p>
        </w:tc>
        <w:tc>
          <w:tcPr>
            <w:tcW w:w="1560" w:type="dxa"/>
            <w:vAlign w:val="bottom"/>
            <w:tcBorders>
              <w:bottom w:val="single" w:sz="8" w:color="CCEEFF"/>
            </w:tcBorders>
            <w:gridSpan w:val="7"/>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Form of Securities Purchase Agreement, dated as of January 25, 2022, between the Registrant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the Purchasers party thereto (incorporated by reference to Exhibit 10.1 to the Registrant’s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Report on Form 8-K filed with the Securities and Exchange Commission on January 26,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8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Form of Securities Purchase Agreement, dated as of March 14, 2022, between the Registrant and</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High Trail Special Situations LLC (incorporated by reference to Exhibit 10.1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6"/>
              </w:rPr>
            </w:pPr>
            <w:hyperlink r:id="rId311">
              <w:r>
                <w:rPr>
                  <w:rFonts w:ascii="Times New Roman" w:cs="Times New Roman" w:eastAsia="Times New Roman" w:hAnsi="Times New Roman"/>
                  <w:sz w:val="16"/>
                  <w:szCs w:val="16"/>
                  <w:color w:val="0000EE"/>
                  <w:w w:val="96"/>
                </w:rPr>
                <w:t>Current Report on Form 8-K filed with the Securities and Exchange Commission on March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tcBorders>
          </w:tcPr>
          <w:p>
            <w:pPr>
              <w:spacing w:after="0"/>
              <w:rPr>
                <w:sz w:val="13"/>
                <w:szCs w:val="13"/>
                <w:color w:val="auto"/>
              </w:rPr>
            </w:pPr>
          </w:p>
        </w:tc>
        <w:tc>
          <w:tcPr>
            <w:tcW w:w="6320" w:type="dxa"/>
            <w:vAlign w:val="bottom"/>
            <w:tcBorders>
              <w:top w:val="single" w:sz="8" w:color="CCEEFF"/>
              <w:bottom w:val="single" w:sz="8" w:color="0000EE"/>
            </w:tcBorders>
            <w:gridSpan w:val="17"/>
          </w:tcPr>
          <w:p>
            <w:pPr>
              <w:spacing w:after="0" w:line="156" w:lineRule="exact"/>
              <w:rPr>
                <w:rFonts w:ascii="Times New Roman" w:cs="Times New Roman" w:eastAsia="Times New Roman" w:hAnsi="Times New Roman"/>
                <w:sz w:val="16"/>
                <w:szCs w:val="16"/>
                <w:color w:val="0000EE"/>
                <w:w w:val="98"/>
              </w:rPr>
            </w:pPr>
            <w:hyperlink r:id="rId312">
              <w:r>
                <w:rPr>
                  <w:rFonts w:ascii="Times New Roman" w:cs="Times New Roman" w:eastAsia="Times New Roman" w:hAnsi="Times New Roman"/>
                  <w:sz w:val="16"/>
                  <w:szCs w:val="16"/>
                  <w:color w:val="0000EE"/>
                  <w:w w:val="98"/>
                </w:rPr>
                <w:t>Agrify Corporation 2022 Omnibus Equity Incentive Plan (incorporated by reference to Appendix 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312">
              <w:r>
                <w:rPr>
                  <w:rFonts w:ascii="Times New Roman" w:cs="Times New Roman" w:eastAsia="Times New Roman" w:hAnsi="Times New Roman"/>
                  <w:sz w:val="16"/>
                  <w:szCs w:val="16"/>
                  <w:color w:val="0000EE"/>
                </w:rPr>
                <w:t>to the Registrant’s Definitive Proxy Statement on Schedule 14A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12">
              <w:r>
                <w:rPr>
                  <w:rFonts w:ascii="Times New Roman" w:cs="Times New Roman" w:eastAsia="Times New Roman" w:hAnsi="Times New Roman"/>
                  <w:sz w:val="16"/>
                  <w:szCs w:val="16"/>
                  <w:color w:val="0000EE"/>
                </w:rPr>
                <w:t>Exchange Commission on April 29,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w w:val="99"/>
              </w:rPr>
            </w:pPr>
            <w:hyperlink r:id="rId313">
              <w:r>
                <w:rPr>
                  <w:rFonts w:ascii="Times New Roman" w:cs="Times New Roman" w:eastAsia="Times New Roman" w:hAnsi="Times New Roman"/>
                  <w:sz w:val="16"/>
                  <w:szCs w:val="16"/>
                  <w:color w:val="0000EE"/>
                  <w:w w:val="99"/>
                </w:rPr>
                <w:t>Agrify Corporation 2022 Employee Stock Purchase Plan (incorporated by reference to Appendix B</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13">
              <w:r>
                <w:rPr>
                  <w:rFonts w:ascii="Times New Roman" w:cs="Times New Roman" w:eastAsia="Times New Roman" w:hAnsi="Times New Roman"/>
                  <w:sz w:val="16"/>
                  <w:szCs w:val="16"/>
                  <w:color w:val="0000EE"/>
                </w:rPr>
                <w:t>to the Registrant’s Definitive Proxy Statement on Schedule 14A filed with the Securities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3"/>
            <w:shd w:val="clear" w:color="auto" w:fill="CCEEFF"/>
          </w:tcPr>
          <w:p>
            <w:pPr>
              <w:spacing w:after="0" w:line="160" w:lineRule="exact"/>
              <w:rPr>
                <w:rFonts w:ascii="Times New Roman" w:cs="Times New Roman" w:eastAsia="Times New Roman" w:hAnsi="Times New Roman"/>
                <w:sz w:val="16"/>
                <w:szCs w:val="16"/>
                <w:color w:val="0000EE"/>
                <w:w w:val="96"/>
              </w:rPr>
            </w:pPr>
            <w:hyperlink r:id="rId313">
              <w:r>
                <w:rPr>
                  <w:rFonts w:ascii="Times New Roman" w:cs="Times New Roman" w:eastAsia="Times New Roman" w:hAnsi="Times New Roman"/>
                  <w:sz w:val="16"/>
                  <w:szCs w:val="16"/>
                  <w:color w:val="0000EE"/>
                  <w:w w:val="96"/>
                </w:rPr>
                <w:t>Exchange Commission on April 29, 2022)</w:t>
              </w:r>
            </w:hyperlink>
          </w:p>
        </w:tc>
        <w:tc>
          <w:tcPr>
            <w:tcW w:w="3680" w:type="dxa"/>
            <w:vAlign w:val="bottom"/>
            <w:tcBorders>
              <w:bottom w:val="single" w:sz="8" w:color="CCEEFF"/>
            </w:tcBorders>
            <w:gridSpan w:val="1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rPr>
            </w:pPr>
            <w:hyperlink r:id="rId314">
              <w:r>
                <w:rPr>
                  <w:rFonts w:ascii="Times New Roman" w:cs="Times New Roman" w:eastAsia="Times New Roman" w:hAnsi="Times New Roman"/>
                  <w:sz w:val="16"/>
                  <w:szCs w:val="16"/>
                  <w:color w:val="0000EE"/>
                </w:rPr>
                <w:t>Separation Agreement of Thomas Massie, dated as of July 8, 2022 (incorporated by reference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w w:val="98"/>
              </w:rPr>
            </w:pPr>
            <w:hyperlink r:id="rId314">
              <w:r>
                <w:rPr>
                  <w:rFonts w:ascii="Times New Roman" w:cs="Times New Roman" w:eastAsia="Times New Roman" w:hAnsi="Times New Roman"/>
                  <w:sz w:val="16"/>
                  <w:szCs w:val="16"/>
                  <w:color w:val="0000EE"/>
                  <w:w w:val="98"/>
                </w:rPr>
                <w:t>Exhibit 10.2 to the Registrant’s Current Report on Form 8-K filed with the Securities and Exchange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14">
              <w:r>
                <w:rPr>
                  <w:rFonts w:ascii="Times New Roman" w:cs="Times New Roman" w:eastAsia="Times New Roman" w:hAnsi="Times New Roman"/>
                  <w:sz w:val="16"/>
                  <w:szCs w:val="16"/>
                  <w:color w:val="0000EE"/>
                </w:rPr>
                <w:t>Commission on July 14,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rPr>
            </w:pPr>
            <w:hyperlink r:id="rId315">
              <w:r>
                <w:rPr>
                  <w:rFonts w:ascii="Times New Roman" w:cs="Times New Roman" w:eastAsia="Times New Roman" w:hAnsi="Times New Roman"/>
                  <w:sz w:val="16"/>
                  <w:szCs w:val="16"/>
                  <w:color w:val="0000EE"/>
                </w:rPr>
                <w:t>Employment  Agreement,  dated  as  of  July  14,  2022,  between  the  Registrant  and  Stuart</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15">
              <w:r>
                <w:rPr>
                  <w:rFonts w:ascii="Times New Roman" w:cs="Times New Roman" w:eastAsia="Times New Roman" w:hAnsi="Times New Roman"/>
                  <w:sz w:val="16"/>
                  <w:szCs w:val="16"/>
                  <w:color w:val="0000EE"/>
                </w:rPr>
                <w:t>Wilcox (incorporated by reference to Exhibit 10.1 to the Registrant’s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EE"/>
            </w:tcBorders>
            <w:gridSpan w:val="8"/>
            <w:shd w:val="clear" w:color="auto" w:fill="CCEEFF"/>
          </w:tcPr>
          <w:p>
            <w:pPr>
              <w:spacing w:after="0" w:line="160" w:lineRule="exact"/>
              <w:rPr>
                <w:rFonts w:ascii="Times New Roman" w:cs="Times New Roman" w:eastAsia="Times New Roman" w:hAnsi="Times New Roman"/>
                <w:sz w:val="16"/>
                <w:szCs w:val="16"/>
                <w:color w:val="0000EE"/>
                <w:w w:val="96"/>
              </w:rPr>
            </w:pPr>
            <w:hyperlink r:id="rId315">
              <w:r>
                <w:rPr>
                  <w:rFonts w:ascii="Times New Roman" w:cs="Times New Roman" w:eastAsia="Times New Roman" w:hAnsi="Times New Roman"/>
                  <w:sz w:val="16"/>
                  <w:szCs w:val="16"/>
                  <w:color w:val="0000EE"/>
                  <w:w w:val="96"/>
                </w:rPr>
                <w:t>filed with the Securities and Exchange Commission on July 14, 2022).</w:t>
              </w:r>
            </w:hyperlink>
          </w:p>
        </w:tc>
        <w:tc>
          <w:tcPr>
            <w:tcW w:w="1920" w:type="dxa"/>
            <w:vAlign w:val="bottom"/>
            <w:tcBorders>
              <w:bottom w:val="single" w:sz="8" w:color="CCEEFF"/>
            </w:tcBorders>
            <w:gridSpan w:val="9"/>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Exchange Agreement, dated as of August 18, 2022, between the Registrant and High Trail Special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Situations LLC (incorporated by reference to Exhibit 10.1 to the Registrant’s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Form 8-K filed with the Securities and Exchange Commission on August 19,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w w:val="97"/>
              </w:rPr>
            </w:pPr>
            <w:hyperlink r:id="rId317">
              <w:r>
                <w:rPr>
                  <w:rFonts w:ascii="Times New Roman" w:cs="Times New Roman" w:eastAsia="Times New Roman" w:hAnsi="Times New Roman"/>
                  <w:sz w:val="16"/>
                  <w:szCs w:val="16"/>
                  <w:color w:val="0000EE"/>
                  <w:w w:val="97"/>
                </w:rPr>
                <w:t>Equity Distribution Agreement, dated as of October 18, 2022, between the Registrant and Canaccord</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w w:val="97"/>
              </w:rPr>
            </w:pPr>
            <w:hyperlink r:id="rId317">
              <w:r>
                <w:rPr>
                  <w:rFonts w:ascii="Times New Roman" w:cs="Times New Roman" w:eastAsia="Times New Roman" w:hAnsi="Times New Roman"/>
                  <w:sz w:val="16"/>
                  <w:szCs w:val="16"/>
                  <w:color w:val="0000EE"/>
                  <w:w w:val="97"/>
                </w:rPr>
                <w:t>Genuity LLC (incorporated by reference to Exhibit 1.1 to the Registrant’s Current Report on Form 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17">
              <w:r>
                <w:rPr>
                  <w:rFonts w:ascii="Times New Roman" w:cs="Times New Roman" w:eastAsia="Times New Roman" w:hAnsi="Times New Roman"/>
                  <w:sz w:val="16"/>
                  <w:szCs w:val="16"/>
                  <w:color w:val="0000EE"/>
                </w:rPr>
                <w:t>K filed with the Securities and Exchange Commission on October 18,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7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rPr>
            </w:pPr>
            <w:hyperlink r:id="rId318">
              <w:r>
                <w:rPr>
                  <w:rFonts w:ascii="Times New Roman" w:cs="Times New Roman" w:eastAsia="Times New Roman" w:hAnsi="Times New Roman"/>
                  <w:sz w:val="16"/>
                  <w:szCs w:val="16"/>
                  <w:color w:val="0000EE"/>
                </w:rPr>
                <w:t>Employment Agreement, dated as of July 25, 2022, between the Registrant and Timothy Hayden</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318">
              <w:r>
                <w:rPr>
                  <w:rFonts w:ascii="Times New Roman" w:cs="Times New Roman" w:eastAsia="Times New Roman" w:hAnsi="Times New Roman"/>
                  <w:sz w:val="16"/>
                  <w:szCs w:val="16"/>
                  <w:color w:val="0000EE"/>
                  <w:w w:val="97"/>
                </w:rPr>
                <w:t>(incorporated by reference to Exhibit 10.1 to the Registrant’s Current Report on Form 8-K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17"/>
          </w:tcPr>
          <w:p>
            <w:pPr>
              <w:spacing w:after="0" w:line="160" w:lineRule="exact"/>
              <w:rPr>
                <w:rFonts w:ascii="Times New Roman" w:cs="Times New Roman" w:eastAsia="Times New Roman" w:hAnsi="Times New Roman"/>
                <w:sz w:val="16"/>
                <w:szCs w:val="16"/>
                <w:color w:val="0000EE"/>
              </w:rPr>
            </w:pPr>
            <w:hyperlink r:id="rId318">
              <w:r>
                <w:rPr>
                  <w:rFonts w:ascii="Times New Roman" w:cs="Times New Roman" w:eastAsia="Times New Roman" w:hAnsi="Times New Roman"/>
                  <w:sz w:val="16"/>
                  <w:szCs w:val="16"/>
                  <w:color w:val="0000EE"/>
                </w:rPr>
                <w:t>the Securities and Exchange Commission on January 24,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6"/>
                <w:szCs w:val="16"/>
                <w:color w:val="0000EE"/>
              </w:rPr>
            </w:pPr>
            <w:hyperlink r:id="rId319">
              <w:r>
                <w:rPr>
                  <w:rFonts w:ascii="Times New Roman" w:cs="Times New Roman" w:eastAsia="Times New Roman" w:hAnsi="Times New Roman"/>
                  <w:sz w:val="16"/>
                  <w:szCs w:val="16"/>
                  <w:color w:val="0000EE"/>
                </w:rPr>
                <w:t>Exchange Agreement, dated as of March 8, 2023, between the Registrant and High Trail Special</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17"/>
            <w:shd w:val="clear" w:color="auto" w:fill="CCEEFF"/>
          </w:tcPr>
          <w:p>
            <w:pPr>
              <w:spacing w:after="0" w:line="160" w:lineRule="exact"/>
              <w:rPr>
                <w:rFonts w:ascii="Times New Roman" w:cs="Times New Roman" w:eastAsia="Times New Roman" w:hAnsi="Times New Roman"/>
                <w:sz w:val="16"/>
                <w:szCs w:val="16"/>
                <w:color w:val="0000EE"/>
              </w:rPr>
            </w:pPr>
            <w:hyperlink r:id="rId319">
              <w:r>
                <w:rPr>
                  <w:rFonts w:ascii="Times New Roman" w:cs="Times New Roman" w:eastAsia="Times New Roman" w:hAnsi="Times New Roman"/>
                  <w:sz w:val="16"/>
                  <w:szCs w:val="16"/>
                  <w:color w:val="0000EE"/>
                </w:rPr>
                <w:t>Situations LLC (incorporated by reference to Exhibit 10.1 to the Registrant’s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80" w:type="dxa"/>
            <w:vAlign w:val="bottom"/>
            <w:tcBorders>
              <w:bottom w:val="single" w:sz="8" w:color="0000EE"/>
            </w:tcBorders>
            <w:gridSpan w:val="12"/>
            <w:shd w:val="clear" w:color="auto" w:fill="CCEEFF"/>
          </w:tcPr>
          <w:p>
            <w:pPr>
              <w:spacing w:after="0" w:line="160" w:lineRule="exact"/>
              <w:rPr>
                <w:rFonts w:ascii="Times New Roman" w:cs="Times New Roman" w:eastAsia="Times New Roman" w:hAnsi="Times New Roman"/>
                <w:sz w:val="16"/>
                <w:szCs w:val="16"/>
                <w:color w:val="0000EE"/>
                <w:w w:val="96"/>
              </w:rPr>
            </w:pPr>
            <w:hyperlink r:id="rId319">
              <w:r>
                <w:rPr>
                  <w:rFonts w:ascii="Times New Roman" w:cs="Times New Roman" w:eastAsia="Times New Roman" w:hAnsi="Times New Roman"/>
                  <w:sz w:val="16"/>
                  <w:szCs w:val="16"/>
                  <w:color w:val="0000EE"/>
                  <w:w w:val="96"/>
                </w:rPr>
                <w:t>Form 8-K filed with the Securities and Exchange Commission on March 9, 2023)</w:t>
              </w:r>
            </w:hyperlink>
          </w:p>
        </w:tc>
        <w:tc>
          <w:tcPr>
            <w:tcW w:w="124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56" w:lineRule="exact"/>
              <w:rPr>
                <w:rFonts w:ascii="Times New Roman" w:cs="Times New Roman" w:eastAsia="Times New Roman" w:hAnsi="Times New Roman"/>
                <w:sz w:val="16"/>
                <w:szCs w:val="16"/>
                <w:color w:val="0000EE"/>
                <w:w w:val="98"/>
              </w:rPr>
            </w:pPr>
            <w:hyperlink r:id="rId320">
              <w:r>
                <w:rPr>
                  <w:rFonts w:ascii="Times New Roman" w:cs="Times New Roman" w:eastAsia="Times New Roman" w:hAnsi="Times New Roman"/>
                  <w:sz w:val="16"/>
                  <w:szCs w:val="16"/>
                  <w:color w:val="0000EE"/>
                  <w:w w:val="98"/>
                </w:rPr>
                <w:t>Company and Investor Acknowledgment, dated as of October 27, 2023, between the Registrant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320">
              <w:r>
                <w:rPr>
                  <w:rFonts w:ascii="Times New Roman" w:cs="Times New Roman" w:eastAsia="Times New Roman" w:hAnsi="Times New Roman"/>
                  <w:sz w:val="16"/>
                  <w:szCs w:val="16"/>
                  <w:color w:val="0000EE"/>
                  <w:w w:val="97"/>
                </w:rPr>
                <w:t>CP acquisitions LLC (incorporated by reference to Exhibit 10.1 to the Registrant’s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6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320">
              <w:r>
                <w:rPr>
                  <w:rFonts w:ascii="Times New Roman" w:cs="Times New Roman" w:eastAsia="Times New Roman" w:hAnsi="Times New Roman"/>
                  <w:sz w:val="16"/>
                  <w:szCs w:val="16"/>
                  <w:color w:val="0000EE"/>
                  <w:w w:val="97"/>
                </w:rPr>
                <w:t>Form 8-K filed with the Securities and Exchange Commission on October 30, 2023)</w:t>
              </w:r>
            </w:hyperlink>
          </w:p>
        </w:tc>
        <w:tc>
          <w:tcPr>
            <w:tcW w:w="10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7" w:name="page248"/>
    <w:bookmarkEnd w:id="24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CCEEFF"/>
            </w:tcBorders>
            <w:shd w:val="clear" w:color="auto" w:fill="CCEEFF"/>
          </w:tcPr>
          <w:p>
            <w:pPr>
              <w:spacing w:after="0"/>
              <w:rPr>
                <w:sz w:val="12"/>
                <w:szCs w:val="12"/>
                <w:color w:val="auto"/>
              </w:rPr>
            </w:pPr>
          </w:p>
        </w:tc>
        <w:tc>
          <w:tcPr>
            <w:tcW w:w="6320" w:type="dxa"/>
            <w:vAlign w:val="bottom"/>
            <w:tcBorders>
              <w:bottom w:val="single" w:sz="8" w:color="0000EE"/>
            </w:tcBorders>
            <w:gridSpan w:val="9"/>
            <w:shd w:val="clear" w:color="auto" w:fill="CCEEFF"/>
          </w:tcPr>
          <w:p>
            <w:pPr>
              <w:spacing w:after="0" w:line="148" w:lineRule="exact"/>
              <w:rPr>
                <w:rFonts w:ascii="Times New Roman" w:cs="Times New Roman" w:eastAsia="Times New Roman" w:hAnsi="Times New Roman"/>
                <w:sz w:val="16"/>
                <w:szCs w:val="16"/>
                <w:color w:val="0000EE"/>
              </w:rPr>
            </w:pPr>
            <w:hyperlink r:id="rId322">
              <w:r>
                <w:rPr>
                  <w:rFonts w:ascii="Times New Roman" w:cs="Times New Roman" w:eastAsia="Times New Roman" w:hAnsi="Times New Roman"/>
                  <w:sz w:val="16"/>
                  <w:szCs w:val="16"/>
                  <w:color w:val="0000EE"/>
                </w:rPr>
                <w:t>Letter Agreement, dated as of October 27, 2023, between the Registrant and High Trail Special</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320" w:type="dxa"/>
            <w:vAlign w:val="bottom"/>
            <w:tcBorders>
              <w:bottom w:val="single" w:sz="8" w:color="0000EE"/>
            </w:tcBorders>
            <w:gridSpan w:val="9"/>
            <w:shd w:val="clear" w:color="auto" w:fill="CCEEFF"/>
          </w:tcPr>
          <w:p>
            <w:pPr>
              <w:spacing w:after="0" w:line="160" w:lineRule="exact"/>
              <w:rPr>
                <w:rFonts w:ascii="Times New Roman" w:cs="Times New Roman" w:eastAsia="Times New Roman" w:hAnsi="Times New Roman"/>
                <w:sz w:val="16"/>
                <w:szCs w:val="16"/>
                <w:color w:val="0000EE"/>
              </w:rPr>
            </w:pPr>
            <w:hyperlink r:id="rId322">
              <w:r>
                <w:rPr>
                  <w:rFonts w:ascii="Times New Roman" w:cs="Times New Roman" w:eastAsia="Times New Roman" w:hAnsi="Times New Roman"/>
                  <w:sz w:val="16"/>
                  <w:szCs w:val="16"/>
                  <w:color w:val="0000EE"/>
                </w:rPr>
                <w:t>Situations LLC (incorporated by reference to Exhibit 10.2 to the Registrant’s Current Report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320" w:type="dxa"/>
            <w:vAlign w:val="bottom"/>
            <w:gridSpan w:val="9"/>
            <w:shd w:val="clear" w:color="auto" w:fill="CCEEFF"/>
          </w:tcPr>
          <w:p>
            <w:pPr>
              <w:spacing w:after="0" w:line="160" w:lineRule="exact"/>
              <w:rPr>
                <w:rFonts w:ascii="Times New Roman" w:cs="Times New Roman" w:eastAsia="Times New Roman" w:hAnsi="Times New Roman"/>
                <w:sz w:val="16"/>
                <w:szCs w:val="16"/>
                <w:color w:val="0000EE"/>
              </w:rPr>
            </w:pPr>
            <w:hyperlink r:id="rId322">
              <w:r>
                <w:rPr>
                  <w:rFonts w:ascii="Times New Roman" w:cs="Times New Roman" w:eastAsia="Times New Roman" w:hAnsi="Times New Roman"/>
                  <w:sz w:val="16"/>
                  <w:szCs w:val="16"/>
                  <w:color w:val="0000EE"/>
                </w:rPr>
                <w:t>Form 8-K filed with the Securities and Exchange Commission on October 30, 2023)</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70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3"/>
                <w:szCs w:val="13"/>
                <w:color w:val="auto"/>
              </w:rPr>
            </w:pPr>
          </w:p>
        </w:tc>
        <w:tc>
          <w:tcPr>
            <w:tcW w:w="6320" w:type="dxa"/>
            <w:vAlign w:val="bottom"/>
            <w:tcBorders>
              <w:bottom w:val="single" w:sz="8" w:color="0000EE"/>
            </w:tcBorders>
            <w:gridSpan w:val="9"/>
          </w:tcPr>
          <w:p>
            <w:pPr>
              <w:spacing w:after="0" w:line="156" w:lineRule="exact"/>
              <w:rPr>
                <w:rFonts w:ascii="Times New Roman" w:cs="Times New Roman" w:eastAsia="Times New Roman" w:hAnsi="Times New Roman"/>
                <w:sz w:val="16"/>
                <w:szCs w:val="16"/>
                <w:color w:val="0000EE"/>
              </w:rPr>
            </w:pPr>
            <w:hyperlink r:id="rId323">
              <w:r>
                <w:rPr>
                  <w:rFonts w:ascii="Times New Roman" w:cs="Times New Roman" w:eastAsia="Times New Roman" w:hAnsi="Times New Roman"/>
                  <w:sz w:val="16"/>
                  <w:szCs w:val="16"/>
                  <w:color w:val="0000EE"/>
                </w:rPr>
                <w:t>Modification Agreement, effective as of October 18, 2023, between the Registrant and Mack</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Borders>
              <w:bottom w:val="single" w:sz="8" w:color="0000EE"/>
            </w:tcBorders>
            <w:gridSpan w:val="9"/>
          </w:tcPr>
          <w:p>
            <w:pPr>
              <w:spacing w:after="0" w:line="160" w:lineRule="exact"/>
              <w:rPr>
                <w:rFonts w:ascii="Times New Roman" w:cs="Times New Roman" w:eastAsia="Times New Roman" w:hAnsi="Times New Roman"/>
                <w:sz w:val="16"/>
                <w:szCs w:val="16"/>
                <w:color w:val="0000EE"/>
                <w:w w:val="98"/>
              </w:rPr>
            </w:pPr>
            <w:hyperlink r:id="rId323">
              <w:r>
                <w:rPr>
                  <w:rFonts w:ascii="Times New Roman" w:cs="Times New Roman" w:eastAsia="Times New Roman" w:hAnsi="Times New Roman"/>
                  <w:sz w:val="16"/>
                  <w:szCs w:val="16"/>
                  <w:color w:val="0000EE"/>
                  <w:w w:val="98"/>
                </w:rPr>
                <w:t>Molding Company (incorporated by reference to Exhibit 10.3 to the Registrant’s Current Report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9"/>
          </w:tcPr>
          <w:p>
            <w:pPr>
              <w:spacing w:after="0" w:line="160" w:lineRule="exact"/>
              <w:rPr>
                <w:rFonts w:ascii="Times New Roman" w:cs="Times New Roman" w:eastAsia="Times New Roman" w:hAnsi="Times New Roman"/>
                <w:sz w:val="16"/>
                <w:szCs w:val="16"/>
                <w:color w:val="0000EE"/>
              </w:rPr>
            </w:pPr>
            <w:hyperlink r:id="rId323">
              <w:r>
                <w:rPr>
                  <w:rFonts w:ascii="Times New Roman" w:cs="Times New Roman" w:eastAsia="Times New Roman" w:hAnsi="Times New Roman"/>
                  <w:sz w:val="16"/>
                  <w:szCs w:val="16"/>
                  <w:color w:val="0000EE"/>
                </w:rPr>
                <w:t>Form 8-K filed with the Securities and Exchange Commission on October 30, 2023)</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70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3"/>
                <w:szCs w:val="13"/>
                <w:color w:val="auto"/>
              </w:rPr>
            </w:pPr>
          </w:p>
        </w:tc>
        <w:tc>
          <w:tcPr>
            <w:tcW w:w="6320" w:type="dxa"/>
            <w:vAlign w:val="bottom"/>
            <w:gridSpan w:val="9"/>
            <w:shd w:val="clear" w:color="auto" w:fill="CCEEFF"/>
          </w:tcPr>
          <w:p>
            <w:pPr>
              <w:spacing w:after="0" w:line="156" w:lineRule="exact"/>
              <w:rPr>
                <w:rFonts w:ascii="Times New Roman" w:cs="Times New Roman" w:eastAsia="Times New Roman" w:hAnsi="Times New Roman"/>
                <w:sz w:val="16"/>
                <w:szCs w:val="16"/>
                <w:color w:val="0000EE"/>
              </w:rPr>
            </w:pPr>
            <w:hyperlink r:id="rId324">
              <w:r>
                <w:rPr>
                  <w:rFonts w:ascii="Times New Roman" w:cs="Times New Roman" w:eastAsia="Times New Roman" w:hAnsi="Times New Roman"/>
                  <w:sz w:val="16"/>
                  <w:szCs w:val="16"/>
                  <w:color w:val="0000EE"/>
                </w:rPr>
                <w:t>Form of Subscription Agreement</w:t>
              </w:r>
            </w:hyperlink>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7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3"/>
                <w:szCs w:val="13"/>
                <w:color w:val="auto"/>
              </w:rPr>
            </w:pPr>
          </w:p>
        </w:tc>
        <w:tc>
          <w:tcPr>
            <w:tcW w:w="6320" w:type="dxa"/>
            <w:vAlign w:val="bottom"/>
            <w:tcBorders>
              <w:bottom w:val="single" w:sz="8" w:color="0000EE"/>
            </w:tcBorders>
            <w:gridSpan w:val="9"/>
          </w:tcPr>
          <w:p>
            <w:pPr>
              <w:spacing w:after="0" w:line="156" w:lineRule="exact"/>
              <w:rPr>
                <w:rFonts w:ascii="Times New Roman" w:cs="Times New Roman" w:eastAsia="Times New Roman" w:hAnsi="Times New Roman"/>
                <w:sz w:val="16"/>
                <w:szCs w:val="16"/>
                <w:color w:val="0000EE"/>
              </w:rPr>
            </w:pPr>
            <w:hyperlink r:id="rId325">
              <w:r>
                <w:rPr>
                  <w:rFonts w:ascii="Times New Roman" w:cs="Times New Roman" w:eastAsia="Times New Roman" w:hAnsi="Times New Roman"/>
                  <w:sz w:val="16"/>
                  <w:szCs w:val="16"/>
                  <w:color w:val="0000EE"/>
                </w:rPr>
                <w:t>Subsidiaries of the Registrant (previously filed as an exhibit to the Registrant’s Annual Report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9"/>
          </w:tcPr>
          <w:p>
            <w:pPr>
              <w:spacing w:after="0" w:line="160" w:lineRule="exact"/>
              <w:rPr>
                <w:rFonts w:ascii="Times New Roman" w:cs="Times New Roman" w:eastAsia="Times New Roman" w:hAnsi="Times New Roman"/>
                <w:sz w:val="16"/>
                <w:szCs w:val="16"/>
                <w:color w:val="0000EE"/>
              </w:rPr>
            </w:pPr>
            <w:hyperlink r:id="rId325">
              <w:r>
                <w:rPr>
                  <w:rFonts w:ascii="Times New Roman" w:cs="Times New Roman" w:eastAsia="Times New Roman" w:hAnsi="Times New Roman"/>
                  <w:sz w:val="16"/>
                  <w:szCs w:val="16"/>
                  <w:color w:val="0000EE"/>
                </w:rPr>
                <w:t>Form 10-K filed on November 28, 2023 and incorporated by reference thereto).</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70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3"/>
                <w:szCs w:val="13"/>
                <w:color w:val="auto"/>
              </w:rPr>
            </w:pPr>
          </w:p>
        </w:tc>
        <w:tc>
          <w:tcPr>
            <w:tcW w:w="6320" w:type="dxa"/>
            <w:vAlign w:val="bottom"/>
            <w:gridSpan w:val="9"/>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Marcum LLP</w:t>
              </w:r>
            </w:hyperlink>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7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3"/>
                <w:szCs w:val="13"/>
                <w:color w:val="auto"/>
              </w:rPr>
            </w:pPr>
          </w:p>
        </w:tc>
        <w:tc>
          <w:tcPr>
            <w:tcW w:w="6320" w:type="dxa"/>
            <w:vAlign w:val="bottom"/>
            <w:gridSpan w:val="9"/>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Sherman &amp; Howard, L.L.C. (included in Exhibit 5.1)</w:t>
              </w:r>
            </w:hyperlink>
            <w:r>
              <w:rPr>
                <w:rFonts w:ascii="Times New Roman" w:cs="Times New Roman" w:eastAsia="Times New Roman" w:hAnsi="Times New Roman"/>
                <w:sz w:val="16"/>
                <w:szCs w:val="16"/>
                <w:color w:val="0000EE"/>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3"/>
                <w:szCs w:val="13"/>
                <w:color w:val="auto"/>
              </w:rPr>
            </w:pPr>
          </w:p>
        </w:tc>
        <w:tc>
          <w:tcPr>
            <w:tcW w:w="6320" w:type="dxa"/>
            <w:vAlign w:val="bottom"/>
            <w:gridSpan w:val="9"/>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Burns &amp; Levinson LLP (included in Exhibit 5.2)</w:t>
              </w:r>
            </w:hyperlink>
            <w:r>
              <w:rPr>
                <w:rFonts w:ascii="Times New Roman" w:cs="Times New Roman" w:eastAsia="Times New Roman" w:hAnsi="Times New Roman"/>
                <w:sz w:val="16"/>
                <w:szCs w:val="16"/>
                <w:color w:val="0000EE"/>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7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3"/>
                <w:szCs w:val="13"/>
                <w:color w:val="auto"/>
              </w:rPr>
            </w:pPr>
          </w:p>
        </w:tc>
        <w:tc>
          <w:tcPr>
            <w:tcW w:w="6320" w:type="dxa"/>
            <w:vAlign w:val="bottom"/>
            <w:tcBorders>
              <w:bottom w:val="single" w:sz="8" w:color="0000EE"/>
            </w:tcBorders>
            <w:gridSpan w:val="9"/>
          </w:tcPr>
          <w:p>
            <w:pPr>
              <w:spacing w:after="0" w:line="156" w:lineRule="exact"/>
              <w:rPr>
                <w:rFonts w:ascii="Times New Roman" w:cs="Times New Roman" w:eastAsia="Times New Roman" w:hAnsi="Times New Roman"/>
                <w:sz w:val="16"/>
                <w:szCs w:val="16"/>
                <w:color w:val="0000EE"/>
                <w:w w:val="97"/>
              </w:rPr>
            </w:pPr>
            <w:hyperlink r:id="rId326">
              <w:r>
                <w:rPr>
                  <w:rFonts w:ascii="Times New Roman" w:cs="Times New Roman" w:eastAsia="Times New Roman" w:hAnsi="Times New Roman"/>
                  <w:sz w:val="16"/>
                  <w:szCs w:val="16"/>
                  <w:color w:val="0000EE"/>
                  <w:w w:val="97"/>
                </w:rPr>
                <w:t>Power of Attorney (previously filed as an exhibit to the Registrant’s Registration Statement on Form</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gridSpan w:val="9"/>
          </w:tcPr>
          <w:p>
            <w:pPr>
              <w:spacing w:after="0" w:line="160" w:lineRule="exact"/>
              <w:rPr>
                <w:rFonts w:ascii="Times New Roman" w:cs="Times New Roman" w:eastAsia="Times New Roman" w:hAnsi="Times New Roman"/>
                <w:sz w:val="16"/>
                <w:szCs w:val="16"/>
                <w:color w:val="0000EE"/>
              </w:rPr>
            </w:pPr>
            <w:hyperlink r:id="rId326">
              <w:r>
                <w:rPr>
                  <w:rFonts w:ascii="Times New Roman" w:cs="Times New Roman" w:eastAsia="Times New Roman" w:hAnsi="Times New Roman"/>
                  <w:sz w:val="16"/>
                  <w:szCs w:val="16"/>
                  <w:color w:val="0000EE"/>
                </w:rPr>
                <w:t>S-1 filed on January 26, 2024 and incorporated by reference thereto).</w:t>
              </w:r>
            </w:hyperlink>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70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101.INS**</w:t>
            </w:r>
          </w:p>
        </w:tc>
        <w:tc>
          <w:tcPr>
            <w:tcW w:w="100" w:type="dxa"/>
            <w:vAlign w:val="bottom"/>
            <w:shd w:val="clear" w:color="auto" w:fill="CCEEFF"/>
          </w:tcPr>
          <w:p>
            <w:pPr>
              <w:spacing w:after="0"/>
              <w:rPr>
                <w:sz w:val="14"/>
                <w:szCs w:val="14"/>
                <w:color w:val="auto"/>
              </w:rPr>
            </w:pPr>
          </w:p>
        </w:tc>
        <w:tc>
          <w:tcPr>
            <w:tcW w:w="6320" w:type="dxa"/>
            <w:vAlign w:val="bottom"/>
            <w:gridSpan w:val="9"/>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9"/>
              </w:rPr>
              <w:t>Inline XBRL Instance Document — the instance document does not appear in the Interactive Data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32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File because its XBRL tags are embedded within the Inline XBRL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w w:val="98"/>
              </w:rPr>
              <w:t>101.SCH**</w:t>
            </w:r>
          </w:p>
        </w:tc>
        <w:tc>
          <w:tcPr>
            <w:tcW w:w="100" w:type="dxa"/>
            <w:vAlign w:val="bottom"/>
          </w:tcPr>
          <w:p>
            <w:pPr>
              <w:spacing w:after="0"/>
              <w:rPr>
                <w:sz w:val="17"/>
                <w:szCs w:val="17"/>
                <w:color w:val="auto"/>
              </w:rPr>
            </w:pPr>
          </w:p>
        </w:tc>
        <w:tc>
          <w:tcPr>
            <w:tcW w:w="63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101.CAL**</w:t>
            </w:r>
          </w:p>
        </w:tc>
        <w:tc>
          <w:tcPr>
            <w:tcW w:w="100" w:type="dxa"/>
            <w:vAlign w:val="bottom"/>
            <w:shd w:val="clear" w:color="auto" w:fill="CCEEFF"/>
          </w:tcPr>
          <w:p>
            <w:pPr>
              <w:spacing w:after="0"/>
              <w:rPr>
                <w:sz w:val="17"/>
                <w:szCs w:val="17"/>
                <w:color w:val="auto"/>
              </w:rPr>
            </w:pPr>
          </w:p>
        </w:tc>
        <w:tc>
          <w:tcPr>
            <w:tcW w:w="63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101.DEF**</w:t>
            </w:r>
          </w:p>
        </w:tc>
        <w:tc>
          <w:tcPr>
            <w:tcW w:w="100" w:type="dxa"/>
            <w:vAlign w:val="bottom"/>
          </w:tcPr>
          <w:p>
            <w:pPr>
              <w:spacing w:after="0"/>
              <w:rPr>
                <w:sz w:val="17"/>
                <w:szCs w:val="17"/>
                <w:color w:val="auto"/>
              </w:rPr>
            </w:pPr>
          </w:p>
        </w:tc>
        <w:tc>
          <w:tcPr>
            <w:tcW w:w="63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101.LAB**</w:t>
            </w:r>
          </w:p>
        </w:tc>
        <w:tc>
          <w:tcPr>
            <w:tcW w:w="100" w:type="dxa"/>
            <w:vAlign w:val="bottom"/>
            <w:shd w:val="clear" w:color="auto" w:fill="CCEEFF"/>
          </w:tcPr>
          <w:p>
            <w:pPr>
              <w:spacing w:after="0"/>
              <w:rPr>
                <w:sz w:val="17"/>
                <w:szCs w:val="17"/>
                <w:color w:val="auto"/>
              </w:rPr>
            </w:pPr>
          </w:p>
        </w:tc>
        <w:tc>
          <w:tcPr>
            <w:tcW w:w="63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17"/>
                <w:szCs w:val="17"/>
                <w:color w:val="auto"/>
              </w:rPr>
            </w:pPr>
          </w:p>
        </w:tc>
        <w:tc>
          <w:tcPr>
            <w:tcW w:w="63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3"/>
                <w:szCs w:val="13"/>
                <w:color w:val="auto"/>
              </w:rPr>
            </w:pPr>
          </w:p>
        </w:tc>
        <w:tc>
          <w:tcPr>
            <w:tcW w:w="6320" w:type="dxa"/>
            <w:vAlign w:val="bottom"/>
            <w:gridSpan w:val="9"/>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Calculation of Registration Fee</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7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280" w:hanging="374"/>
        <w:spacing w:after="0"/>
        <w:tabs>
          <w:tab w:leader="none" w:pos="12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has been omitted from this exhibit in reliance upon Item 601(a)(5) of Regulation S-K.</w:t>
      </w:r>
    </w:p>
    <w:p>
      <w:pPr>
        <w:spacing w:after="0" w:line="23" w:lineRule="exact"/>
        <w:rPr>
          <w:rFonts w:ascii="Times New Roman" w:cs="Times New Roman" w:eastAsia="Times New Roman" w:hAnsi="Times New Roman"/>
          <w:sz w:val="14"/>
          <w:szCs w:val="14"/>
          <w:color w:val="auto"/>
        </w:rPr>
      </w:pPr>
    </w:p>
    <w:p>
      <w:pPr>
        <w:ind w:left="900" w:right="3720"/>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compensatory plan, or arrangement. * Previously filed.</w:t>
      </w: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8" w:name="page249"/>
    <w:bookmarkEnd w:id="24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8" w:lineRule="exact"/>
        <w:rPr>
          <w:sz w:val="20"/>
          <w:szCs w:val="20"/>
          <w:color w:val="auto"/>
        </w:rPr>
      </w:pPr>
    </w:p>
    <w:p>
      <w:pPr>
        <w:jc w:val="both"/>
        <w:ind w:left="900" w:right="920" w:firstLine="384"/>
        <w:spacing w:after="0" w:line="263"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in the City of Troy, State of Michigan, on this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day of February, 2024.</w:t>
      </w:r>
    </w:p>
    <w:p>
      <w:pPr>
        <w:spacing w:after="0" w:line="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0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By: /s/ Raymond Nobu Chang</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-115570</wp:posOffset>
            </wp:positionV>
            <wp:extent cx="149415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Chairman and Chief Executive</w:t>
      </w:r>
    </w:p>
    <w:p>
      <w:pPr>
        <w:spacing w:after="0" w:line="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Officer</w:t>
      </w:r>
    </w:p>
    <w:p>
      <w:pPr>
        <w:spacing w:after="0" w:line="17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1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8"/>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Raymond Nobu Chang</w:t>
            </w: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President, Chief Executive Officer and Chairman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(principal executive officer and principal</w:t>
            </w: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32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auto"/>
              </w:rPr>
              <w:t>Raymond Nobu Chang</w:t>
            </w:r>
          </w:p>
        </w:tc>
        <w:tc>
          <w:tcPr>
            <w:tcW w:w="80" w:type="dxa"/>
            <w:vAlign w:val="bottom"/>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and accounting officer)</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I-Tseng Jenny Chan</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 Holtzman</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Mahoney</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Leonard Sokolow</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2024</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Krishnan Varier</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/s/ Raymond Nobu Chang</w:t>
            </w:r>
          </w:p>
        </w:tc>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00" w:type="dxa"/>
            <w:vAlign w:val="bottom"/>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Raymond Nobu Chang</w:t>
            </w: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Attorney-in-Fact</w:t>
            </w:r>
          </w:p>
        </w:tc>
        <w:tc>
          <w:tcPr>
            <w:tcW w:w="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II-10</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February __,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2468 Industrial Row Drive</w:t>
      </w:r>
    </w:p>
    <w:p>
      <w:pPr>
        <w:spacing w:after="0" w:line="234" w:lineRule="auto"/>
        <w:rPr>
          <w:sz w:val="20"/>
          <w:szCs w:val="20"/>
          <w:color w:val="auto"/>
        </w:rPr>
      </w:pPr>
      <w:r>
        <w:rPr>
          <w:rFonts w:ascii="Times New Roman" w:cs="Times New Roman" w:eastAsia="Times New Roman" w:hAnsi="Times New Roman"/>
          <w:sz w:val="16"/>
          <w:szCs w:val="16"/>
          <w:color w:val="auto"/>
        </w:rPr>
        <w:t>Troy, Michigan 48084</w:t>
      </w:r>
    </w:p>
    <w:p>
      <w:pPr>
        <w:spacing w:after="0" w:line="235" w:lineRule="auto"/>
        <w:rPr>
          <w:sz w:val="20"/>
          <w:szCs w:val="20"/>
          <w:color w:val="auto"/>
        </w:rPr>
      </w:pPr>
      <w:r>
        <w:rPr>
          <w:rFonts w:ascii="Times New Roman" w:cs="Times New Roman" w:eastAsia="Times New Roman" w:hAnsi="Times New Roman"/>
          <w:sz w:val="16"/>
          <w:szCs w:val="16"/>
          <w:color w:val="auto"/>
        </w:rPr>
        <w:t>Attn: Raymond Nobu Chang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This letter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constitutes the agreement between Alexander Capital, L.P. (the “</w:t>
      </w:r>
      <w:r>
        <w:rPr>
          <w:rFonts w:ascii="Times New Roman" w:cs="Times New Roman" w:eastAsia="Times New Roman" w:hAnsi="Times New Roman"/>
          <w:sz w:val="16"/>
          <w:szCs w:val="16"/>
          <w:b w:val="1"/>
          <w:bCs w:val="1"/>
          <w:color w:val="auto"/>
        </w:rPr>
        <w:t>Placement Agent</w:t>
      </w:r>
      <w:r>
        <w:rPr>
          <w:rFonts w:ascii="Times New Roman" w:cs="Times New Roman" w:eastAsia="Times New Roman" w:hAnsi="Times New Roman"/>
          <w:sz w:val="16"/>
          <w:szCs w:val="16"/>
          <w:color w:val="auto"/>
        </w:rPr>
        <w:t>”) and 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6"/>
          <w:szCs w:val="16"/>
          <w:b w:val="1"/>
          <w:bCs w:val="1"/>
          <w:color w:val="auto"/>
        </w:rPr>
        <w:t>Placement</w:t>
      </w:r>
      <w:r>
        <w:rPr>
          <w:rFonts w:ascii="Times New Roman" w:cs="Times New Roman" w:eastAsia="Times New Roman" w:hAnsi="Times New Roman"/>
          <w:sz w:val="16"/>
          <w:szCs w:val="16"/>
          <w:color w:val="auto"/>
        </w:rPr>
        <w:t>”) to certain purchasers (the “</w:t>
      </w:r>
      <w:r>
        <w:rPr>
          <w:rFonts w:ascii="Times New Roman" w:cs="Times New Roman" w:eastAsia="Times New Roman" w:hAnsi="Times New Roman"/>
          <w:sz w:val="16"/>
          <w:szCs w:val="16"/>
          <w:b w:val="1"/>
          <w:bCs w:val="1"/>
          <w:color w:val="auto"/>
        </w:rPr>
        <w:t>Purchasers</w:t>
      </w:r>
      <w:r>
        <w:rPr>
          <w:rFonts w:ascii="Times New Roman" w:cs="Times New Roman" w:eastAsia="Times New Roman" w:hAnsi="Times New Roman"/>
          <w:sz w:val="16"/>
          <w:szCs w:val="16"/>
          <w:color w:val="auto"/>
        </w:rPr>
        <w:t>”) of up to an aggregate of (i) __ shares (each a “</w:t>
      </w: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the Company’s common stock, par value $0.001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”)and (ii) __ pre- funded warrants (each a “</w:t>
      </w:r>
      <w:r>
        <w:rPr>
          <w:rFonts w:ascii="Times New Roman" w:cs="Times New Roman" w:eastAsia="Times New Roman" w:hAnsi="Times New Roman"/>
          <w:sz w:val="16"/>
          <w:szCs w:val="16"/>
          <w:b w:val="1"/>
          <w:bCs w:val="1"/>
          <w:color w:val="auto"/>
        </w:rPr>
        <w:t>Pre-Funded Warrant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with each Pre-Funded Warrant exercisable to purchase one share of Common Stock (the “</w:t>
      </w:r>
      <w:r>
        <w:rPr>
          <w:rFonts w:ascii="Times New Roman" w:cs="Times New Roman" w:eastAsia="Times New Roman" w:hAnsi="Times New Roman"/>
          <w:sz w:val="16"/>
          <w:szCs w:val="16"/>
          <w:b w:val="1"/>
          <w:bCs w:val="1"/>
          <w:color w:val="auto"/>
        </w:rPr>
        <w:t>Pre-Funded Warrant Shares</w:t>
      </w:r>
      <w:r>
        <w:rPr>
          <w:rFonts w:ascii="Times New Roman" w:cs="Times New Roman" w:eastAsia="Times New Roman" w:hAnsi="Times New Roman"/>
          <w:sz w:val="16"/>
          <w:szCs w:val="16"/>
          <w:color w:val="auto"/>
        </w:rPr>
        <w:t xml:space="preserve"> ”) at an exercise price of $0.001 per share. The Shares, the Pre-Funded Warrants, and the Pre-Funded Warrant Shares are referred to herein as the “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terms of the Placement shall be mutually agreed upon by the Company and the Purchasers, and nothing herein constitutes that the Placement Agent would have the power or authority to bind the Company or any Purchaser, or an obligation for the Company to issue any Securities or complete the Placement. The purchase price to the Purchasers for each Share is $__ and the purchase price to the Purchasers for each Pre -Funded Warrant is $__. The Placement Agent may retain other brokers or dealers to act as sub-agents or selected-dealers on its behalf in connection with the Placement; provided, however, that the Company shall first approve any such sub-agents. The sale of Securities to any Purchaser will be evidenced by subscription agreements (the “</w:t>
      </w:r>
      <w:r>
        <w:rPr>
          <w:rFonts w:ascii="Times New Roman" w:cs="Times New Roman" w:eastAsia="Times New Roman" w:hAnsi="Times New Roman"/>
          <w:sz w:val="16"/>
          <w:szCs w:val="16"/>
          <w:b w:val="1"/>
          <w:bCs w:val="1"/>
          <w:color w:val="auto"/>
        </w:rPr>
        <w:t>Subscription Agreements</w:t>
      </w:r>
      <w:r>
        <w:rPr>
          <w:rFonts w:ascii="Times New Roman" w:cs="Times New Roman" w:eastAsia="Times New Roman" w:hAnsi="Times New Roman"/>
          <w:sz w:val="16"/>
          <w:szCs w:val="16"/>
          <w:color w:val="auto"/>
        </w:rPr>
        <w:t>”) between the Company and each Purchaser, in a form reasonably acceptable to the Company and the Purchaser. Prior to the signing of any Subscription Agreement, officers of the Company will be available to answer inquiries from prospective Purchasers.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 REPRESENTATIONS AND WARRANTIES OF THE COMPANY; COVENANTS OF THE COMPANY.</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Representations of the Company.</w:t>
      </w:r>
      <w:r>
        <w:rPr>
          <w:rFonts w:ascii="Times New Roman" w:cs="Times New Roman" w:eastAsia="Times New Roman" w:hAnsi="Times New Roman"/>
          <w:sz w:val="16"/>
          <w:szCs w:val="16"/>
          <w:color w:val="auto"/>
        </w:rPr>
        <w:t xml:space="preserve"> The Company represents and warrants that there are no affiliations with any FINRA member firm among the Company’s officers, directors or, to the knowledge of the Company, any five percent (5%) or greater securityholder of the Company.</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has filed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a registration statement on Form S-1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on January 26, 2024 (File No. 333-276724), as amended on February 7, 2024 and on February 14, 2024, and declared effective on February [ ], 2024 for the registration of the Securities under the Securities Act. Following the determination of pricing among the Company and the prospective Purchasers introduced to the Company by Placement Agent, the Company will file with the Commission pursuant to Rules 430A and 424(b) under the Securities Act, and the rules and regulations (the “</w:t>
      </w:r>
      <w:r>
        <w:rPr>
          <w:rFonts w:ascii="Times New Roman" w:cs="Times New Roman" w:eastAsia="Times New Roman" w:hAnsi="Times New Roman"/>
          <w:sz w:val="14"/>
          <w:szCs w:val="14"/>
          <w:b w:val="1"/>
          <w:bCs w:val="1"/>
          <w:color w:val="auto"/>
        </w:rPr>
        <w:t>Rules and Regulations</w:t>
      </w:r>
      <w:r>
        <w:rPr>
          <w:rFonts w:ascii="Times New Roman" w:cs="Times New Roman" w:eastAsia="Times New Roman" w:hAnsi="Times New Roman"/>
          <w:sz w:val="14"/>
          <w:szCs w:val="14"/>
          <w:color w:val="auto"/>
        </w:rPr>
        <w:t>”) of the Commission promulgated thereunder, a final prospectus relating to the placement of the Securities, their respective pricings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(and including any registration statement prepared and filed by the Company in accordance with Rule 462(b) pursuant to the Securities Act), is hereinafter called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such prospectus in the form in which it, appears in the Registration Statement at the time of effectiveness, is hereinafter called the “</w:t>
      </w:r>
      <w:r>
        <w:rPr>
          <w:rFonts w:ascii="Times New Roman" w:cs="Times New Roman" w:eastAsia="Times New Roman" w:hAnsi="Times New Roman"/>
          <w:sz w:val="14"/>
          <w:szCs w:val="14"/>
          <w:b w:val="1"/>
          <w:bCs w:val="1"/>
          <w:color w:val="auto"/>
        </w:rPr>
        <w:t>Preliminary Prospectus</w:t>
      </w:r>
      <w:r>
        <w:rPr>
          <w:rFonts w:ascii="Times New Roman" w:cs="Times New Roman" w:eastAsia="Times New Roman" w:hAnsi="Times New Roman"/>
          <w:sz w:val="14"/>
          <w:szCs w:val="14"/>
          <w:color w:val="auto"/>
        </w:rPr>
        <w:t xml:space="preserve"> ”; and the final prospectus, in the form in which it will be filed with the Commission pursuant to Rules 430A and/or 424(b) (including the Preliminary Prospectus as it may be amended or supplemented) is hereinafter called the “</w:t>
      </w:r>
      <w:r>
        <w:rPr>
          <w:rFonts w:ascii="Times New Roman" w:cs="Times New Roman" w:eastAsia="Times New Roman" w:hAnsi="Times New Roman"/>
          <w:sz w:val="14"/>
          <w:szCs w:val="14"/>
          <w:b w:val="1"/>
          <w:bCs w:val="1"/>
          <w:color w:val="auto"/>
        </w:rPr>
        <w:t>Final Prospectus</w:t>
      </w:r>
      <w:r>
        <w:rPr>
          <w:rFonts w:ascii="Times New Roman" w:cs="Times New Roman" w:eastAsia="Times New Roman" w:hAnsi="Times New Roman"/>
          <w:sz w:val="14"/>
          <w:szCs w:val="14"/>
          <w:color w:val="auto"/>
        </w:rPr>
        <w:t>.” The Registration Statement at the time it originally became effective is hereinafter called the “</w:t>
      </w:r>
      <w:r>
        <w:rPr>
          <w:rFonts w:ascii="Times New Roman" w:cs="Times New Roman" w:eastAsia="Times New Roman" w:hAnsi="Times New Roman"/>
          <w:sz w:val="14"/>
          <w:szCs w:val="14"/>
          <w:b w:val="1"/>
          <w:bCs w:val="1"/>
          <w:color w:val="auto"/>
        </w:rPr>
        <w:t>Original Registration Statement</w:t>
      </w:r>
      <w:r>
        <w:rPr>
          <w:rFonts w:ascii="Times New Roman" w:cs="Times New Roman" w:eastAsia="Times New Roman" w:hAnsi="Times New Roman"/>
          <w:sz w:val="14"/>
          <w:szCs w:val="14"/>
          <w:color w:val="auto"/>
        </w:rPr>
        <w:t>.” Any reference in this Agreement to the Registration Statement, the Original Registration Statement, the Preliminary Prospectus or the Final Prospectus shall be deemed to refer to and include the documents incorporated by reference therein (the “</w:t>
      </w:r>
      <w:r>
        <w:rPr>
          <w:rFonts w:ascii="Times New Roman" w:cs="Times New Roman" w:eastAsia="Times New Roman" w:hAnsi="Times New Roman"/>
          <w:sz w:val="14"/>
          <w:szCs w:val="14"/>
          <w:b w:val="1"/>
          <w:bCs w:val="1"/>
          <w:color w:val="auto"/>
        </w:rPr>
        <w:t>Incorporated Documents</w:t>
      </w:r>
      <w:r>
        <w:rPr>
          <w:rFonts w:ascii="Times New Roman" w:cs="Times New Roman" w:eastAsia="Times New Roman" w:hAnsi="Times New Roman"/>
          <w:sz w:val="14"/>
          <w:szCs w:val="14"/>
          <w:color w:val="auto"/>
        </w:rPr>
        <w:t>”), if any, which were or are filed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xml:space="preserve">”), at any given time, as the case may be; and any reference in this Agreement to the terms “amend,” “amendment” or “supplement” with respect to the Registration Statement, the Original Registration Statement, the Preliminary Prospectus or the Final Prospectus shall be deemed to refer to and include the filing of any document under the Exchange Act after the date of this Agreement, or the issue date of the Preliminary Prospectus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Final Prospectus (and all other references of like import) shall be deemed to mean and include all such financial statements and schedules and other information which is or is deemed to be incorporated by reference in the Registration Statement, the Preliminary Prospectus or the Final Prospectus, as the case may be. As used in this paragraph and elsewhere in this Agreement, “ </w:t>
      </w:r>
      <w:r>
        <w:rPr>
          <w:rFonts w:ascii="Times New Roman" w:cs="Times New Roman" w:eastAsia="Times New Roman" w:hAnsi="Times New Roman"/>
          <w:sz w:val="14"/>
          <w:szCs w:val="14"/>
          <w:b w:val="1"/>
          <w:bCs w:val="1"/>
          <w:color w:val="auto"/>
        </w:rPr>
        <w:t>Time of Sale Disclosure Package</w:t>
      </w:r>
      <w:r>
        <w:rPr>
          <w:rFonts w:ascii="Times New Roman" w:cs="Times New Roman" w:eastAsia="Times New Roman" w:hAnsi="Times New Roman"/>
          <w:sz w:val="14"/>
          <w:szCs w:val="14"/>
          <w:color w:val="auto"/>
        </w:rPr>
        <w:t xml:space="preserve">” means the Preliminary Prospectus, the final terms of the Offering provided to the Purchasers (orally or in writing), and any issuer free writing prospectus as defined in Rule 433 of the Act (each, an “ </w:t>
      </w:r>
      <w:r>
        <w:rPr>
          <w:rFonts w:ascii="Times New Roman" w:cs="Times New Roman" w:eastAsia="Times New Roman" w:hAnsi="Times New Roman"/>
          <w:sz w:val="14"/>
          <w:szCs w:val="14"/>
          <w:b w:val="1"/>
          <w:bCs w:val="1"/>
          <w:color w:val="auto"/>
        </w:rPr>
        <w:t>Issuer Free Writing Prospectus</w:t>
      </w:r>
      <w:r>
        <w:rPr>
          <w:rFonts w:ascii="Times New Roman" w:cs="Times New Roman" w:eastAsia="Times New Roman" w:hAnsi="Times New Roman"/>
          <w:sz w:val="14"/>
          <w:szCs w:val="14"/>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4"/>
          <w:szCs w:val="14"/>
          <w:b w:val="1"/>
          <w:bCs w:val="1"/>
          <w:color w:val="auto"/>
        </w:rPr>
        <w:t>any Prospectus</w:t>
      </w:r>
      <w:r>
        <w:rPr>
          <w:rFonts w:ascii="Times New Roman" w:cs="Times New Roman" w:eastAsia="Times New Roman" w:hAnsi="Times New Roman"/>
          <w:sz w:val="14"/>
          <w:szCs w:val="14"/>
          <w:color w:val="auto"/>
        </w:rPr>
        <w:t>” shall mean, as the context requires, the Preliminary Prospectus, the Final Prospectus and any supplement to either thereof. The Company has not received any notice that the Commission has issued or intends to issue a stop order suspending the effectiveness of the Registration Statement or the use of the Preliminary Prospectus or the Final Prospectus or intends to commence a proceeding for any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708660</wp:posOffset>
            </wp:positionV>
            <wp:extent cx="670750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Original Registration Statement, as amended, (and any further documents to be filed with the Commission) contains all exhibits and schedules as required by the Securities Act. Each of the Registration Statement and any post- 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Final Prospectus, as of its date, complied or will comply in all material respects with the Securities Act and the applicable Rules and Regulations. The Final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Subscription Agreements, there are no documents required to be filed with the Commission in connection with the transaction contemplated hereby that (i) have not been filed as required pursuant to the Securities Act or (ii) will not be filed within the requisite time period under the Rules and Regulations. Except for this Agreement and the Subscription Agreements, there are no contracts or other documents required to be described in the Final Prospectus, or to be filed as exhibits or schedules to the Registration Statement, which have not been described or filed as required. The foregoing shall not apply to statements in, or omissions from, any such document made in reliance upon, and in conformity with, information furnished to the Company by the Placement Agent specifically for use in the preparation thereof.</w:t>
      </w:r>
    </w:p>
    <w:p>
      <w:pPr>
        <w:spacing w:after="0" w:line="3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Neither the Company nor any of its directors and officers has distributed and none of them will distribute, prior to the Closing Date, any offering material in connection with the offering and sale of the Securities other than the Time of Sale Disclosure Package.</w:t>
      </w:r>
    </w:p>
    <w:p>
      <w:pPr>
        <w:spacing w:after="0" w:line="14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No forward- looking statement (within the meaning of Section 27A of the Securities Act and Section 21E of the Exchange Act (“</w:t>
      </w:r>
      <w:r>
        <w:rPr>
          <w:rFonts w:ascii="Times New Roman" w:cs="Times New Roman" w:eastAsia="Times New Roman" w:hAnsi="Times New Roman"/>
          <w:sz w:val="16"/>
          <w:szCs w:val="16"/>
          <w:b w:val="1"/>
          <w:bCs w:val="1"/>
          <w:u w:val="single" w:color="auto"/>
          <w:color w:val="auto"/>
        </w:rPr>
        <w:t>Forward-Looking Statement</w:t>
      </w:r>
      <w:r>
        <w:rPr>
          <w:rFonts w:ascii="Times New Roman" w:cs="Times New Roman" w:eastAsia="Times New Roman" w:hAnsi="Times New Roman"/>
          <w:sz w:val="16"/>
          <w:szCs w:val="16"/>
          <w:color w:val="auto"/>
        </w:rPr>
        <w:t>”) contained in the Time of Sale Disclosure Package has been made or reaffirmed without a reasonable basis or has been disclosed other than in good faith.</w:t>
      </w:r>
    </w:p>
    <w:p>
      <w:pPr>
        <w:spacing w:after="0" w:line="1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Covenants of the Company.</w:t>
      </w:r>
      <w:r>
        <w:rPr>
          <w:rFonts w:ascii="Times New Roman" w:cs="Times New Roman" w:eastAsia="Times New Roman" w:hAnsi="Times New Roman"/>
          <w:sz w:val="14"/>
          <w:szCs w:val="14"/>
          <w:color w:val="auto"/>
        </w:rPr>
        <w:t xml:space="preserve"> The Company covenants and agrees to use commercially reasonable efforts in order to continue to retain (i) a firm of independent Public Company Accounting Oversight Board (PCAOB) registered public accountants for a period of at least five (5) years after the Closing Date and (ii) a competent transfer agent with respect to the Common Stock for a period of five (5) years after the Closing Date. From the date hereof until 180 days after the Closing Date, without the prior written consent of the Placement Agent, neither the Company nor any Subsidiary shall issue, enter into any agreement to issue or announce the issuance or</w:t>
      </w:r>
    </w:p>
    <w:p>
      <w:pPr>
        <w:sectPr>
          <w:pgSz w:w="11900" w:h="16840" w:orient="portrait"/>
          <w:cols w:equalWidth="0" w:num="1">
            <w:col w:w="10580"/>
          </w:cols>
          <w:pgMar w:left="660" w:top="555" w:right="660" w:bottom="119" w:gutter="0" w:footer="0" w:header="0"/>
        </w:sectPr>
      </w:pPr>
    </w:p>
    <w:bookmarkStart w:id="250" w:name="page251"/>
    <w:bookmarkEnd w:id="250"/>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proposed issuance of any shares of Common Stock or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Notwithstanding the foregoing, this Section 1.B shall not apply in respect of any issuance of (a) shares of Common Stock, restricted stock units or options, including the shares of Common Stock underlying the restricted stock units or options, to employees, officers, consultants or directors of the Company pursuant to any stock or option plan or arrangement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under the Subscription Agreements and/or other securities exercisable or exchangeable for or convertible into shares of Common Stock issued and outstanding on the date of this Agreement, and (c) securities pursuant to merger, acquisition or strategic transactions approved by a majority of the disinterested directors of the Company.</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Registration Statement Matters.</w:t>
      </w:r>
      <w:r>
        <w:rPr>
          <w:rFonts w:ascii="Times New Roman" w:cs="Times New Roman" w:eastAsia="Times New Roman" w:hAnsi="Times New Roman"/>
          <w:sz w:val="14"/>
          <w:szCs w:val="14"/>
          <w:color w:val="auto"/>
        </w:rPr>
        <w:t xml:space="preserve"> The Company will advise the Placement Agent promptly after it receives notice thereof of the time when any amendment to the Registration Statement has been filed or becomes effective or any supplement to the Final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or the Final Prospectus or any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32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 xml:space="preserve">D . </w:t>
      </w:r>
      <w:r>
        <w:rPr>
          <w:rFonts w:ascii="Times New Roman" w:cs="Times New Roman" w:eastAsia="Times New Roman" w:hAnsi="Times New Roman"/>
          <w:sz w:val="14"/>
          <w:szCs w:val="14"/>
          <w:u w:val="single" w:color="auto"/>
          <w:color w:val="auto"/>
        </w:rPr>
        <w:t>Amendments and Other Matters.</w:t>
      </w:r>
      <w:r>
        <w:rPr>
          <w:rFonts w:ascii="Times New Roman" w:cs="Times New Roman" w:eastAsia="Times New Roman" w:hAnsi="Times New Roman"/>
          <w:sz w:val="14"/>
          <w:szCs w:val="14"/>
          <w:color w:val="auto"/>
        </w:rPr>
        <w:t xml:space="preserve">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 </w:t>
      </w:r>
      <w:r>
        <w:rPr>
          <w:rFonts w:ascii="Times New Roman" w:cs="Times New Roman" w:eastAsia="Times New Roman" w:hAnsi="Times New Roman"/>
          <w:sz w:val="14"/>
          <w:szCs w:val="14"/>
          <w:b w:val="1"/>
          <w:bCs w:val="1"/>
          <w:color w:val="auto"/>
        </w:rPr>
        <w:t>Prospectus Delivery Period</w:t>
      </w:r>
      <w:r>
        <w:rPr>
          <w:rFonts w:ascii="Times New Roman" w:cs="Times New Roman" w:eastAsia="Times New Roman" w:hAnsi="Times New Roman"/>
          <w:sz w:val="14"/>
          <w:szCs w:val="14"/>
          <w:color w:val="auto"/>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spacing w:after="0" w:line="32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Copies.</w:t>
      </w:r>
      <w:r>
        <w:rPr>
          <w:rFonts w:ascii="Times New Roman" w:cs="Times New Roman" w:eastAsia="Times New Roman" w:hAnsi="Times New Roman"/>
          <w:sz w:val="16"/>
          <w:szCs w:val="16"/>
          <w:color w:val="auto"/>
        </w:rPr>
        <w:t xml:space="preserve"> The Company will furnish the Placement Agent, without charge, during the period beginning on the date hereof and ending on the Closing Date, as many copies of any Prospectus or prospectus supplement and any amendments and supplements thereto, as the Placement Agent may reasonably request.</w:t>
      </w:r>
    </w:p>
    <w:p>
      <w:pPr>
        <w:spacing w:after="0" w:line="14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 xml:space="preserve">F. </w:t>
      </w:r>
      <w:r>
        <w:rPr>
          <w:rFonts w:ascii="Times New Roman" w:cs="Times New Roman" w:eastAsia="Times New Roman" w:hAnsi="Times New Roman"/>
          <w:sz w:val="16"/>
          <w:szCs w:val="16"/>
          <w:u w:val="single" w:color="auto"/>
          <w:color w:val="auto"/>
        </w:rPr>
        <w:t>No Manipulation.</w:t>
      </w:r>
      <w:r>
        <w:rPr>
          <w:rFonts w:ascii="Times New Roman" w:cs="Times New Roman" w:eastAsia="Times New Roman" w:hAnsi="Times New Roman"/>
          <w:sz w:val="16"/>
          <w:szCs w:val="16"/>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 REPRESENTATIONS OF THE PLACEMENT AGENT. The Placement Agent represents and warrants that it (i) is a member in good standing of FINRA,</w:t>
      </w:r>
    </w:p>
    <w:p>
      <w:pPr>
        <w:spacing w:after="0" w:line="37" w:lineRule="exact"/>
        <w:rPr>
          <w:sz w:val="20"/>
          <w:szCs w:val="20"/>
          <w:color w:val="auto"/>
        </w:rPr>
      </w:pPr>
    </w:p>
    <w:p>
      <w:pPr>
        <w:jc w:val="both"/>
        <w:ind w:right="40" w:firstLine="6"/>
        <w:spacing w:after="0" w:line="236" w:lineRule="auto"/>
        <w:tabs>
          <w:tab w:leader="none" w:pos="23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registered as a broker/dealer under the Exchange Act, (iii) is licensed as a broker/dealer under the laws of the United States of America, applicable to the offers and sales of the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3. AGREEMENT TO ACT AS PLACEMENT AGENT; COMPENSATION.</w:t>
      </w:r>
    </w:p>
    <w:p>
      <w:pPr>
        <w:spacing w:after="0" w:line="176"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4"/>
          <w:szCs w:val="14"/>
          <w:color w:val="auto"/>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Registration Statement, with the terms of such offering (the “</w:t>
      </w: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4"/>
          <w:szCs w:val="14"/>
          <w:color w:val="auto"/>
        </w:rPr>
        <w:t>”) to be subject to market conditions 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the Securities and the Company shall have the sole right to accept offers to purchase the Securities and may reject any such offer, in whole or in part. Subject to the terms and conditions hereof, payment of the purchase price for, and delivery of, the Securities shall be made at the closing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and the date on which the Closing occurs,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Unless otherwise requested by a Purchaser, on the Closing Date, the Company shall issue the Shares directly to the account designated by the Placement Agent and, upon receipt of such Shares, the Placement Agent shall electronically deliver such Shares to the applicable Purchaser and payment shall be made by the Placement Agent (or its clearing firm) by wire transfer to the Company, and delivery of the Pre-Funded Warrants shall be made to the applicable Purchaser.</w:t>
      </w:r>
    </w:p>
    <w:p>
      <w:pPr>
        <w:spacing w:after="0" w:line="319"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4"/>
          <w:szCs w:val="14"/>
          <w:color w:val="auto"/>
        </w:rPr>
        <w:t>B. In consideration of the services to be provided for hereunder, the Company shall pay to the Placement Agent and/or their respective designees a cash fee of seven percent (7.0%) of the aggregate gross proceeds raised from the sale of the Securities at the Closing (the “</w:t>
      </w:r>
      <w:r>
        <w:rPr>
          <w:rFonts w:ascii="Times New Roman" w:cs="Times New Roman" w:eastAsia="Times New Roman" w:hAnsi="Times New Roman"/>
          <w:sz w:val="14"/>
          <w:szCs w:val="14"/>
          <w:b w:val="1"/>
          <w:bCs w:val="1"/>
          <w:color w:val="auto"/>
        </w:rPr>
        <w:t>Cash Fee</w:t>
      </w:r>
      <w:r>
        <w:rPr>
          <w:rFonts w:ascii="Times New Roman" w:cs="Times New Roman" w:eastAsia="Times New Roman" w:hAnsi="Times New Roman"/>
          <w:sz w:val="14"/>
          <w:szCs w:val="14"/>
          <w:color w:val="auto"/>
        </w:rPr>
        <w:t>”). The Cash Fee shall be paid on the Closing Date. The Company will reimburse the Placement Agent for a certain amount of its accountable expenses including actual accountable road show expenses for the Offering; the cost associated with the Placement Agent’s use of book- building and compliance software for the Offering, reasonable and documented fees and disbursements of the Placement Agent’s counsel up to an amount of $ 75,000 (which maximum shall apply solely to such fees and disbursements of counsel and not to other fees and expenses provided for in this paragraph); background checks of the Company’s officers and directors; preparation of bound volumes and Lucite cube mementos in such</w:t>
      </w:r>
    </w:p>
    <w:p>
      <w:pPr>
        <w:sectPr>
          <w:pgSz w:w="11900" w:h="16840" w:orient="portrait"/>
          <w:cols w:equalWidth="0" w:num="1">
            <w:col w:w="10600"/>
          </w:cols>
          <w:pgMar w:left="660" w:top="557" w:right="640" w:bottom="0" w:gutter="0" w:footer="0" w:header="0"/>
        </w:sectPr>
      </w:pPr>
    </w:p>
    <w:bookmarkStart w:id="251" w:name="page252"/>
    <w:bookmarkEnd w:id="251"/>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quantities as the Placement Agent may reasonably request; provided that these actual accountable expenses of the underwriter shall not exceed $100,000, including the fees and disbursements of the Placement Agent’s counsel. The Placement Agent acknowledges it received $25,000 as an advance to be applied towards the accountable expenses (the “</w:t>
      </w:r>
      <w:r>
        <w:rPr>
          <w:rFonts w:ascii="Times New Roman" w:cs="Times New Roman" w:eastAsia="Times New Roman" w:hAnsi="Times New Roman"/>
          <w:sz w:val="16"/>
          <w:szCs w:val="16"/>
          <w:b w:val="1"/>
          <w:bCs w:val="1"/>
          <w:color w:val="auto"/>
        </w:rPr>
        <w:t>Advance</w:t>
      </w:r>
      <w:r>
        <w:rPr>
          <w:rFonts w:ascii="Times New Roman" w:cs="Times New Roman" w:eastAsia="Times New Roman" w:hAnsi="Times New Roman"/>
          <w:sz w:val="16"/>
          <w:szCs w:val="16"/>
          <w:color w:val="auto"/>
        </w:rPr>
        <w:t>”). In the event the Offering is terminated, the Advance received against reasonable out-of-pocket expenses incurred in connection with the Offering will be returned to the issuer to the extent not actually incurred in accordance with FINRA Rule 5110(f)(2)(C).The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6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6"/>
          <w:szCs w:val="16"/>
          <w:color w:val="auto"/>
        </w:rPr>
        <w:t>C. The Company shall, at the Closing, grant to Alexander Capital, L.P (or such other recipient as designated by Placement Agent) securities purchase warrants (the “</w:t>
      </w:r>
      <w:r>
        <w:rPr>
          <w:rFonts w:ascii="Times New Roman" w:cs="Times New Roman" w:eastAsia="Times New Roman" w:hAnsi="Times New Roman"/>
          <w:sz w:val="16"/>
          <w:szCs w:val="16"/>
          <w:b w:val="1"/>
          <w:bCs w:val="1"/>
          <w:color w:val="auto"/>
        </w:rPr>
        <w:t>Placement Agent Warrants</w:t>
      </w:r>
      <w:r>
        <w:rPr>
          <w:rFonts w:ascii="Times New Roman" w:cs="Times New Roman" w:eastAsia="Times New Roman" w:hAnsi="Times New Roman"/>
          <w:sz w:val="16"/>
          <w:szCs w:val="16"/>
          <w:color w:val="auto"/>
        </w:rPr>
        <w:t xml:space="preserve">”) covering a number of Securities equal to one percent (1.0%) of the total number of Securities being sold and/or issued in the Placement. The form of the Placement Agent Warrants is set forth as </w:t>
      </w:r>
      <w:r>
        <w:rPr>
          <w:rFonts w:ascii="Times New Roman" w:cs="Times New Roman" w:eastAsia="Times New Roman" w:hAnsi="Times New Roman"/>
          <w:sz w:val="16"/>
          <w:szCs w:val="16"/>
          <w:u w:val="single" w:color="auto"/>
          <w:color w:val="auto"/>
        </w:rPr>
        <w:t>Addendum A</w:t>
      </w:r>
      <w:r>
        <w:rPr>
          <w:rFonts w:ascii="Times New Roman" w:cs="Times New Roman" w:eastAsia="Times New Roman" w:hAnsi="Times New Roman"/>
          <w:sz w:val="16"/>
          <w:szCs w:val="16"/>
          <w:color w:val="auto"/>
        </w:rPr>
        <w:t xml:space="preserve"> hereto. The Placement Agent Warrants will be non-exercisable for one hundred eighty (180) days beginning on the date of commencement of sales of the securities being offering in the Offering. Following this one hundred eighty (180) day period, the Placement Agent Warrants will be exercisable until the fifth (5th) year anniversary of commencement of sales of the securities being offering in the Offering. The Placement Agent Warrants will be exercisable at a price per share equal to 100% of the price of the Securities paid by the Purchasers in connection with the Placement. The Placement Agent Warrants shall not be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offering in the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The Placement Agent Warrants may be exercised in whole or in part, shall provide for “cashless” exercise, and shall provide for customary anti-dilution and price protection.</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4. INDEMNIFICATION.</w:t>
      </w:r>
    </w:p>
    <w:p>
      <w:pPr>
        <w:spacing w:after="0" w:line="17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 To the extent permitted by law, with respect to the Securities, the Company will indemnify each Placement Agent and its affiliates,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any Placement Agent’s willful misconduct, bad faith or gross negligence in performing the services described herein.</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 Promptly after receipt by a Placement Agent of notice of any claim or the commencement of any action or proceeding with respect to which such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a Placement Agent, the Company will assume the defense of such action or proceeding and will employ counsel reasonably satisfactory to such Placement Agent and will pay the reasonable fees and expenses of such counsel. Notwithstanding the preceding sentence, any Placement Agent will be entitled to employ counsel separate from counsel for the Company and from any other party in such action if counsel for the Placement Agent reasonably determines that it would be conflict of interest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31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43"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16"/>
          <w:szCs w:val="16"/>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a Placement Agent’s share of the liability hereunder shall not be in excess of the amount of fees actually received, or to be received, by such Placement Agent under this Agreement (excluding any amounts received as reimbursement of expenses incurred by the Placement Agent).</w:t>
      </w:r>
    </w:p>
    <w:p>
      <w:pPr>
        <w:spacing w:after="0" w:line="161"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 xml:space="preserve">SECTION 5. ENGAGEMENT TERM. The Placement Agent’s engagement hereunder will be until the earlier of (i) sixty (60) days and (ii) the Closing Date. The date of termination of this Agreement is referred to herein as the “ </w:t>
      </w:r>
      <w:r>
        <w:rPr>
          <w:rFonts w:ascii="Times New Roman" w:cs="Times New Roman" w:eastAsia="Times New Roman" w:hAnsi="Times New Roman"/>
          <w:sz w:val="16"/>
          <w:szCs w:val="16"/>
          <w:b w:val="1"/>
          <w:bCs w:val="1"/>
          <w:color w:val="auto"/>
        </w:rPr>
        <w:t>Termination Date</w:t>
      </w:r>
      <w:r>
        <w:rPr>
          <w:rFonts w:ascii="Times New Roman" w:cs="Times New Roman" w:eastAsia="Times New Roman" w:hAnsi="Times New Roman"/>
          <w:sz w:val="16"/>
          <w:szCs w:val="16"/>
          <w:color w:val="auto"/>
        </w:rPr>
        <w:t>.” In the event, however, in the course of the Placement Agent’s performance of due diligence it deems it necessary to terminate the engagement with respect to itself, such Placement Agent may do so prior to the Termination Date. The Company may elect to terminate the engagement hereunder for any reason prior to the Termination Date but will remain responsible for fees and expenses pursuant to Section 3 hereof and fees with respect to the Securities if sold in the Placement. Notwithstanding anything to the contrary contained herein, the provisions concerning the Company’s obligation to pay any fees actually earned pursuant to Section 3 hereof, to pay expenses pursuant to Section 3 hereof, and the provisions concerning confidentiality, indemnification and contribution, and no fiduciary relationship and governing law (including the waiver of the right to trial by jury) contained herein will survive any expiration or termination of this Agreement. If this Agreement is terminated prior to the completion of the Placement, all fees and expenses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such Placement Agent by the Company for any purposes other than those contemplated under this Agreement.</w:t>
      </w:r>
    </w:p>
    <w:p>
      <w:pPr>
        <w:spacing w:after="0" w:line="16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SECTION 6. PLACEMENT AGENT’S INFORMATION.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 NO FIDUCIARY RELATIONSHIP. This Agreement does not create, and shall not be construed as creating rights enforceable by any person or entity not</w:t>
      </w:r>
    </w:p>
    <w:p>
      <w:pPr>
        <w:sectPr>
          <w:pgSz w:w="11900" w:h="16840" w:orient="portrait"/>
          <w:cols w:equalWidth="0" w:num="1">
            <w:col w:w="10600"/>
          </w:cols>
          <w:pgMar w:left="660" w:top="557" w:right="640" w:bottom="49" w:gutter="0" w:footer="0" w:header="0"/>
        </w:sectPr>
      </w:pPr>
    </w:p>
    <w:bookmarkStart w:id="252" w:name="page253"/>
    <w:bookmarkEnd w:id="252"/>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SECTION 8. CLOSING. The obligations of the Placement Agent, and the closing of the sale of the Securities hereunder are subject to the accuracy, when made and on the Closing Date, of the representations and warranties on the part of the Company contained herein, to the performance by the Company of its obligations hereunder and in the Subscription Agreements, and to each of the following additional terms and conditions, except as otherwise disclosed to and acknowledged and waived by the Placement Agent:</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 All corporate proceedings and other legal matters incident to the authorization, form, execution, delivery and validity of each of this Agreement, the Securities, and all other legal matters relating to this Agreement and the transactions contemplated hereby with respect to the Securities shall be reasonably satisfactory in all material respects to the Placement Agent.</w:t>
      </w:r>
    </w:p>
    <w:p>
      <w:pPr>
        <w:spacing w:after="0" w:line="1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B. The Placement Agent shall have received from outside U.S. corporate counsel to the Company, each such counsel’s written opinion and a negative assurance letter, addressed to the Placement Agent and dated as of the Closing Date, in form and substance reasonably satisfactory to the Placement Agent.</w:t>
      </w:r>
    </w:p>
    <w:p>
      <w:pPr>
        <w:spacing w:after="0" w:line="1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 The Placement Agent shall have received a certificate of the Company’s secretary certifying that (i)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5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D. The Placement Agent shall have received an executed FINRA questionnaire from each of the Company and the Company’s executive officers, directors and holders of at least ten percent (10%) of the Company’s common stock.</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E. The Common Stock shall be registered under the Exchange Act and, as of the Closing Date, the Common Stock shall be listed and admitted and authorized for trading on The Nasdaq Capital Market (or any nationally recognized successor thereto) (the “</w:t>
      </w:r>
      <w:r>
        <w:rPr>
          <w:rFonts w:ascii="Times New Roman" w:cs="Times New Roman" w:eastAsia="Times New Roman" w:hAnsi="Times New Roman"/>
          <w:sz w:val="16"/>
          <w:szCs w:val="16"/>
          <w:b w:val="1"/>
          <w:bCs w:val="1"/>
          <w:color w:val="auto"/>
        </w:rPr>
        <w:t>Trading Market</w:t>
      </w:r>
      <w:r>
        <w:rPr>
          <w:rFonts w:ascii="Times New Roman" w:cs="Times New Roman" w:eastAsia="Times New Roman" w:hAnsi="Times New Roman"/>
          <w:sz w:val="16"/>
          <w:szCs w:val="16"/>
          <w:color w:val="auto"/>
        </w:rPr>
        <w:t xml:space="preserve"> ”) or other applicable U.S. national exchange and reasonably satisfactory evidence of such action shall have been provided to the Placement Agent.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F.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57"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G. The Company shall have entered into a Subscription Agreement with each of the several Purchasers of the Securities and such agreements shall be in full force and effect and shall contain representations, warranties and covenants of the Company as agreed upon between the Company and the Purchasers.</w:t>
      </w:r>
    </w:p>
    <w:p>
      <w:pPr>
        <w:spacing w:after="0" w:line="143"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H.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2710 with respect to the Placement and pay all filing fees required in connection therewith.</w:t>
      </w:r>
    </w:p>
    <w:p>
      <w:pPr>
        <w:spacing w:after="0" w:line="15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I. The Placement Agent shall have received Lock-up Agreements, in form and substance reasonably acceptable to the Placement Agent, executed by each officer and director of the Company.</w:t>
      </w:r>
    </w:p>
    <w:p>
      <w:pPr>
        <w:spacing w:after="0" w:line="143"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J. At the pricing of the Offering and the Closing, the Placement Agent shall have received, and the Company shall have caused to be delivered to the Placement Agent, a cold “comfort letter” and a bring- down “comfort letter”, respectively, from the current independent registered public accounting firm of the Company, addressed to the Placement Agent, dated as of the Closing Date, in form and substance reasonably satisfactory to the Placement Agent.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w:t>
      </w:r>
    </w:p>
    <w:p>
      <w:pPr>
        <w:spacing w:after="0" w:line="16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K. On the date of this Agreement and on the Closing Date, the Placement Agent shall have received a certificate of the Chief Financial Officer of the Company addressed to the Placement Agent and in form and substance reasonably satisfactory to the Placement Agent and Placement Agent’s counsel.</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L. Prior to the Closing Date, the Company shall have furnished to the Placement Agent such further information, certificates and documents as the Placement Agent may reasonably request.</w:t>
      </w:r>
    </w:p>
    <w:p>
      <w:pPr>
        <w:spacing w:after="0" w:line="1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SECTION 9. GOVERNING LAW.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ectPr>
          <w:pgSz w:w="11900" w:h="16840" w:orient="portrait"/>
          <w:cols w:equalWidth="0" w:num="1">
            <w:col w:w="10600"/>
          </w:cols>
          <w:pgMar w:left="660" w:top="557" w:right="640" w:bottom="346" w:gutter="0" w:footer="0" w:header="0"/>
        </w:sectPr>
      </w:pPr>
    </w:p>
    <w:bookmarkStart w:id="253" w:name="page254"/>
    <w:bookmarkEnd w:id="253"/>
    <w:p>
      <w:pPr>
        <w:jc w:val="both"/>
        <w:spacing w:after="0" w:line="276" w:lineRule="auto"/>
        <w:rPr>
          <w:sz w:val="20"/>
          <w:szCs w:val="20"/>
          <w:color w:val="auto"/>
        </w:rPr>
      </w:pPr>
      <w:r>
        <w:rPr>
          <w:rFonts w:ascii="Times New Roman" w:cs="Times New Roman" w:eastAsia="Times New Roman" w:hAnsi="Times New Roman"/>
          <w:sz w:val="14"/>
          <w:szCs w:val="14"/>
          <w:color w:val="auto"/>
        </w:rPr>
        <w:t>SECTION 10. ENTIRE AGREEMENT/MISCELLANEOUS.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The representations, warranties, agreements and covenants contained herein shall survive the Closing Date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3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SECTION 11. NOTICES.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6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SECTION 12. PRESS ANNOUNCEMENTS.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remainder of this page has been intentionally left blank.</w:t>
      </w:r>
      <w:r>
        <w:rPr>
          <w:rFonts w:ascii="Times New Roman" w:cs="Times New Roman" w:eastAsia="Times New Roman" w:hAnsi="Times New Roman"/>
          <w:sz w:val="16"/>
          <w:szCs w:val="16"/>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confirm that the foregoing correctly sets forth our agreement by signing and returning to the Placement Agent the enclosed copy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ALEXANDER CAPITAL, 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wp:posOffset>
            </wp:positionV>
            <wp:extent cx="23475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7">
                      <a:extLst>
                        <a:ext uri="{28A0092B-C50C-407E-A947-70E740481C1C}"/>
                      </a:extLst>
                    </a:blip>
                    <a:srcRect/>
                    <a:stretch>
                      <a:fillRect/>
                    </a:stretch>
                  </pic:blipFill>
                  <pic:spPr bwMode="auto">
                    <a:xfrm>
                      <a:off x="0" y="0"/>
                      <a:ext cx="2347595" cy="1524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Title: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Accepted and Agreed to as of the date first written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5715</wp:posOffset>
            </wp:positionV>
            <wp:extent cx="240855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8">
                      <a:extLst>
                        <a:ext uri="{28A0092B-C50C-407E-A947-70E740481C1C}"/>
                      </a:extLst>
                    </a:blip>
                    <a:srcRect/>
                    <a:stretch>
                      <a:fillRect/>
                    </a:stretch>
                  </pic:blipFill>
                  <pic:spPr bwMode="auto">
                    <a:xfrm>
                      <a:off x="0" y="0"/>
                      <a:ext cx="2408555" cy="1524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6"/>
          <w:szCs w:val="16"/>
          <w:color w:val="auto"/>
        </w:rPr>
        <w:t>Name:  Raymond Nobu Chang</w:t>
      </w:r>
    </w:p>
    <w:p>
      <w:pPr>
        <w:spacing w:after="0" w:line="14" w:lineRule="exact"/>
        <w:rPr>
          <w:sz w:val="20"/>
          <w:szCs w:val="20"/>
          <w:color w:val="auto"/>
        </w:rPr>
      </w:pPr>
    </w:p>
    <w:p>
      <w:pPr>
        <w:ind w:left="440"/>
        <w:spacing w:after="0"/>
        <w:tabs>
          <w:tab w:leader="none" w:pos="9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Address for notice:</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Agrify Corporation</w:t>
      </w:r>
    </w:p>
    <w:p>
      <w:pPr>
        <w:ind w:left="440"/>
        <w:spacing w:after="0" w:line="234" w:lineRule="auto"/>
        <w:rPr>
          <w:sz w:val="20"/>
          <w:szCs w:val="20"/>
          <w:color w:val="auto"/>
        </w:rPr>
      </w:pPr>
      <w:r>
        <w:rPr>
          <w:rFonts w:ascii="Times New Roman" w:cs="Times New Roman" w:eastAsia="Times New Roman" w:hAnsi="Times New Roman"/>
          <w:sz w:val="16"/>
          <w:szCs w:val="16"/>
          <w:color w:val="auto"/>
        </w:rPr>
        <w:t>2468 Industrial Row Drive</w:t>
      </w:r>
    </w:p>
    <w:p>
      <w:pPr>
        <w:ind w:left="440"/>
        <w:spacing w:after="0" w:line="235" w:lineRule="auto"/>
        <w:rPr>
          <w:sz w:val="20"/>
          <w:szCs w:val="20"/>
          <w:color w:val="auto"/>
        </w:rPr>
      </w:pPr>
      <w:r>
        <w:rPr>
          <w:rFonts w:ascii="Times New Roman" w:cs="Times New Roman" w:eastAsia="Times New Roman" w:hAnsi="Times New Roman"/>
          <w:sz w:val="16"/>
          <w:szCs w:val="16"/>
          <w:color w:val="auto"/>
        </w:rPr>
        <w:t>Troy, Michigan 48084</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Attn: Raymond Nobu Chang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Placement Agency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4" w:name="page255"/>
    <w:bookmarkEnd w:id="254"/>
    <w:p>
      <w:pPr>
        <w:ind w:left="9580"/>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PLACEMENT AGENT COMMON STOCK PURCHASE WARRANT</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ectPr>
          <w:pgSz w:w="11900" w:h="16840" w:orient="portrait"/>
          <w:cols w:equalWidth="0" w:num="1">
            <w:col w:w="10600"/>
          </w:cols>
          <w:pgMar w:left="660" w:top="554" w:right="640" w:bottom="2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 Shares: 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Date: February _, 2024</w:t>
      </w:r>
    </w:p>
    <w:p>
      <w:pPr>
        <w:spacing w:after="0" w:line="199" w:lineRule="exact"/>
        <w:rPr>
          <w:sz w:val="20"/>
          <w:szCs w:val="20"/>
          <w:color w:val="auto"/>
        </w:rPr>
      </w:pPr>
    </w:p>
    <w:p>
      <w:pPr>
        <w:sectPr>
          <w:pgSz w:w="11900" w:h="16840" w:orient="portrait"/>
          <w:cols w:equalWidth="0" w:num="2">
            <w:col w:w="8040" w:space="720"/>
            <w:col w:w="1840"/>
          </w:cols>
          <w:pgMar w:left="660" w:top="554" w:right="640" w:bottom="20" w:gutter="0" w:footer="0" w:header="0"/>
          <w:type w:val="continuous"/>
        </w:sectPr>
      </w:pPr>
    </w:p>
    <w:p>
      <w:pPr>
        <w:jc w:val="both"/>
        <w:ind w:right="20" w:firstLine="1152"/>
        <w:spacing w:after="0" w:line="275" w:lineRule="auto"/>
        <w:rPr>
          <w:sz w:val="20"/>
          <w:szCs w:val="20"/>
          <w:color w:val="auto"/>
        </w:rPr>
      </w:pPr>
      <w:r>
        <w:rPr>
          <w:rFonts w:ascii="Times New Roman" w:cs="Times New Roman" w:eastAsia="Times New Roman" w:hAnsi="Times New Roman"/>
          <w:sz w:val="14"/>
          <w:szCs w:val="14"/>
          <w:color w:val="auto"/>
        </w:rPr>
        <w:t xml:space="preserve">THIS PLACEMENT AGENT COMMON STOCK PURCHASE WARRANT (the “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Alexander Capital, L.P.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upon the terms and subject to the limitations on exercise and the conditions hereinafter set forth, at any time on or after [180 days after the Issue Date]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xml:space="preserve">”) and on or prior to 5:00 p.m. (New York City time) on February __, 2029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xml:space="preserve">”) but not thereafter, to subscribe for and purchase from Agrify Corporation, a Nevada corporation (the “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_________ shares (as subject to adjustment hereunder,</w:t>
      </w:r>
    </w:p>
    <w:p>
      <w:pPr>
        <w:jc w:val="both"/>
        <w:ind w:right="40"/>
        <w:spacing w:after="0" w:line="238"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xml:space="preserve"> ”) of Common Stock. The purchase price of one share of Common Stock under this Warrant shall be equal to the Exercise Price, as defined in Section 2(b).</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In addition to the terms defined elsewhere in this Warrant, the following terms have the meanings indicated in this Section 1:</w:t>
      </w:r>
    </w:p>
    <w:p>
      <w:pPr>
        <w:spacing w:after="0" w:line="176" w:lineRule="exact"/>
        <w:rPr>
          <w:sz w:val="20"/>
          <w:szCs w:val="20"/>
          <w:color w:val="auto"/>
        </w:rPr>
      </w:pPr>
    </w:p>
    <w:p>
      <w:pPr>
        <w:jc w:val="both"/>
        <w:ind w:left="580" w:right="20" w:firstLine="5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43" w:lineRule="exact"/>
        <w:rPr>
          <w:sz w:val="20"/>
          <w:szCs w:val="20"/>
          <w:color w:val="auto"/>
        </w:rPr>
      </w:pPr>
    </w:p>
    <w:p>
      <w:pPr>
        <w:jc w:val="both"/>
        <w:ind w:left="580" w:firstLine="576"/>
        <w:spacing w:after="0" w:line="238"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Bid Price</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the board of directors of the Company.</w:t>
      </w:r>
    </w:p>
    <w:p>
      <w:pPr>
        <w:spacing w:after="0" w:line="176" w:lineRule="exact"/>
        <w:rPr>
          <w:sz w:val="20"/>
          <w:szCs w:val="20"/>
          <w:color w:val="auto"/>
        </w:rPr>
      </w:pPr>
    </w:p>
    <w:p>
      <w:pPr>
        <w:jc w:val="both"/>
        <w:ind w:left="580" w:right="20" w:firstLine="5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for clarification, commercial banks shall not be deemed to be authorized or required by law to remain closed due to “stay at home”, “shelter-in-place”, “non- 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670750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means the United States Securities and Exchange Commission.</w:t>
      </w:r>
    </w:p>
    <w:p>
      <w:pPr>
        <w:spacing w:after="0" w:line="176" w:lineRule="exact"/>
        <w:rPr>
          <w:sz w:val="20"/>
          <w:szCs w:val="20"/>
          <w:color w:val="auto"/>
        </w:rPr>
      </w:pPr>
    </w:p>
    <w:p>
      <w:pPr>
        <w:ind w:left="580" w:right="40" w:firstLine="5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common stock of the Company, par value $0.001 per share, and any other class of securities into which such securities may hereafter be reclassified or changed.</w:t>
      </w:r>
    </w:p>
    <w:p>
      <w:pPr>
        <w:spacing w:after="0" w:line="143" w:lineRule="exact"/>
        <w:rPr>
          <w:sz w:val="20"/>
          <w:szCs w:val="20"/>
          <w:color w:val="auto"/>
        </w:rPr>
      </w:pPr>
    </w:p>
    <w:p>
      <w:pPr>
        <w:jc w:val="both"/>
        <w:ind w:left="580" w:right="20" w:firstLine="5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 Equivalents</w:t>
      </w:r>
      <w:r>
        <w:rPr>
          <w:rFonts w:ascii="Times New Roman" w:cs="Times New Roman" w:eastAsia="Times New Roman" w:hAnsi="Times New Roman"/>
          <w:sz w:val="16"/>
          <w:szCs w:val="16"/>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76" w:lineRule="exact"/>
        <w:rPr>
          <w:sz w:val="20"/>
          <w:szCs w:val="20"/>
          <w:color w:val="auto"/>
        </w:rPr>
      </w:pPr>
    </w:p>
    <w:p>
      <w:pPr>
        <w:jc w:val="both"/>
        <w:ind w:left="580" w:right="40" w:firstLine="5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the Company’s registration statement on Form S-1 (File No. 333-276724).</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76" w:lineRule="exact"/>
        <w:rPr>
          <w:sz w:val="20"/>
          <w:szCs w:val="20"/>
          <w:color w:val="auto"/>
        </w:rPr>
      </w:pPr>
    </w:p>
    <w:p>
      <w:pPr>
        <w:jc w:val="both"/>
        <w:ind w:left="580" w:right="40" w:firstLine="5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any subsidiary of the Company and shall, where applicable, also include any direct or indirect subsidiary of the Company formed or acquired after the date hereof.</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the Common Stock is traded on a Trading Market.</w:t>
      </w:r>
    </w:p>
    <w:p>
      <w:pPr>
        <w:spacing w:after="0" w:line="176" w:lineRule="exact"/>
        <w:rPr>
          <w:sz w:val="20"/>
          <w:szCs w:val="20"/>
          <w:color w:val="auto"/>
        </w:rPr>
      </w:pPr>
    </w:p>
    <w:p>
      <w:pPr>
        <w:jc w:val="both"/>
        <w:ind w:left="580" w:right="40" w:firstLine="5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52" w:lineRule="exact"/>
        <w:rPr>
          <w:sz w:val="20"/>
          <w:szCs w:val="20"/>
          <w:color w:val="auto"/>
        </w:rPr>
      </w:pPr>
    </w:p>
    <w:p>
      <w:pPr>
        <w:jc w:val="both"/>
        <w:ind w:left="580" w:right="40" w:firstLine="5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 Agent</w:t>
      </w:r>
      <w:r>
        <w:rPr>
          <w:rFonts w:ascii="Times New Roman" w:cs="Times New Roman" w:eastAsia="Times New Roman" w:hAnsi="Times New Roman"/>
          <w:sz w:val="16"/>
          <w:szCs w:val="16"/>
          <w:color w:val="auto"/>
        </w:rPr>
        <w:t>” means Broadridge Corporate Issuer Solutions, Inc., the current transfer agent of the Company, with a mailing address of 51 Mercedes Way, Edgewood, New York 11717, and any successor transfer agent of the Company.</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580" w:right="20" w:firstLine="576"/>
        <w:spacing w:after="0" w:line="28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w:t>
      </w:r>
    </w:p>
    <w:p>
      <w:pPr>
        <w:sectPr>
          <w:pgSz w:w="11900" w:h="16840" w:orient="portrait"/>
          <w:cols w:equalWidth="0" w:num="1">
            <w:col w:w="10600"/>
          </w:cols>
          <w:pgMar w:left="660" w:top="554" w:right="640" w:bottom="20" w:gutter="0" w:footer="0" w:header="0"/>
          <w:type w:val="continuous"/>
        </w:sectPr>
      </w:pPr>
    </w:p>
    <w:bookmarkStart w:id="255" w:name="page256"/>
    <w:bookmarkEnd w:id="255"/>
    <w:p>
      <w:pPr>
        <w:jc w:val="both"/>
        <w:ind w:left="580" w:right="20"/>
        <w:spacing w:after="0" w:line="247" w:lineRule="auto"/>
        <w:rPr>
          <w:sz w:val="20"/>
          <w:szCs w:val="20"/>
          <w:color w:val="auto"/>
        </w:rPr>
      </w:pPr>
      <w:r>
        <w:rPr>
          <w:rFonts w:ascii="Times New Roman" w:cs="Times New Roman" w:eastAsia="Times New Roman" w:hAnsi="Times New Roman"/>
          <w:sz w:val="16"/>
          <w:szCs w:val="16"/>
          <w:color w:val="auto"/>
        </w:rPr>
        <w:t>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means this Warrant and other Common Stock purchase warrants issued by the Company pursuant to the Registration Statement.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left="580" w:right="40" w:firstLine="578"/>
        <w:spacing w:after="0" w:line="236" w:lineRule="auto"/>
        <w:tabs>
          <w:tab w:leader="none" w:pos="131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r>
        <w:rPr>
          <w:rFonts w:ascii="Times New Roman" w:cs="Times New Roman" w:eastAsia="Times New Roman" w:hAnsi="Times New Roman"/>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6"/>
          <w:szCs w:val="16"/>
          <w:u w:val="single" w:color="auto"/>
          <w:color w:val="auto"/>
        </w:rPr>
        <w:t>Notice of Exercise</w:t>
      </w:r>
      <w:r>
        <w:rPr>
          <w:rFonts w:ascii="Times New Roman" w:cs="Times New Roman" w:eastAsia="Times New Roman" w:hAnsi="Times New Roman"/>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6"/>
          <w:szCs w:val="16"/>
          <w:b w:val="1"/>
          <w:bCs w:val="1"/>
          <w:color w:val="auto"/>
        </w:rPr>
        <w:t>The Holder and any assignee, by acceptance of this Warrant, acknowledge and agree that,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right="40" w:firstLine="578"/>
        <w:spacing w:after="0" w:line="259" w:lineRule="auto"/>
        <w:tabs>
          <w:tab w:leader="none" w:pos="1336"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exercise price per share of Common Stock under this Warrant shall be [100% of the offering price], subject to adjustment hereunder (the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jc w:val="both"/>
        <w:ind w:left="580" w:right="40" w:firstLine="578"/>
        <w:spacing w:after="0" w:line="243" w:lineRule="auto"/>
        <w:tabs>
          <w:tab w:leader="none" w:pos="131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55" w:lineRule="exact"/>
        <w:rPr>
          <w:rFonts w:ascii="Times New Roman" w:cs="Times New Roman" w:eastAsia="Times New Roman" w:hAnsi="Times New Roman"/>
          <w:sz w:val="16"/>
          <w:szCs w:val="16"/>
          <w:color w:val="auto"/>
        </w:rPr>
      </w:pPr>
    </w:p>
    <w:p>
      <w:pPr>
        <w:ind w:left="580" w:hanging="574"/>
        <w:spacing w:after="0" w:line="238" w:lineRule="auto"/>
        <w:tabs>
          <w:tab w:leader="none" w:pos="39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58"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Exercise Price of this Warrant, as adjusted hereunder; and</w:t>
      </w:r>
    </w:p>
    <w:p>
      <w:pPr>
        <w:spacing w:after="0" w:line="176" w:lineRule="exact"/>
        <w:rPr>
          <w:sz w:val="20"/>
          <w:szCs w:val="20"/>
          <w:color w:val="auto"/>
        </w:rPr>
      </w:pPr>
    </w:p>
    <w:p>
      <w:pPr>
        <w:ind w:left="580" w:right="20" w:hanging="574"/>
        <w:spacing w:after="0" w:line="259" w:lineRule="auto"/>
        <w:tabs>
          <w:tab w:leader="none" w:pos="39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43" w:lineRule="exact"/>
        <w:rPr>
          <w:sz w:val="20"/>
          <w:szCs w:val="20"/>
          <w:color w:val="auto"/>
        </w:rPr>
      </w:pPr>
    </w:p>
    <w:p>
      <w:pPr>
        <w:jc w:val="both"/>
        <w:ind w:left="580" w:right="40" w:firstLine="576"/>
        <w:spacing w:after="0" w:line="247"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0" w:hanging="846"/>
        <w:spacing w:after="0"/>
        <w:tabs>
          <w:tab w:leader="none" w:pos="10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740" w:right="20" w:firstLine="571"/>
        <w:spacing w:after="0" w:line="277" w:lineRule="auto"/>
        <w:tabs>
          <w:tab w:leader="none" w:pos="2436" w:val="left"/>
        </w:tabs>
        <w:numPr>
          <w:ilvl w:val="2"/>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4"/>
          <w:szCs w:val="14"/>
          <w:u w:val="single" w:color="auto"/>
          <w:color w:val="auto"/>
        </w:rPr>
        <w:t>DWAC</w:t>
      </w:r>
      <w:r>
        <w:rPr>
          <w:rFonts w:ascii="Times New Roman" w:cs="Times New Roman" w:eastAsia="Times New Roman" w:hAnsi="Times New Roman"/>
          <w:sz w:val="14"/>
          <w:szCs w:val="14"/>
          <w:color w:val="auto"/>
        </w:rPr>
        <w:t>”) if the Company is then a participant in such system and either</w:t>
      </w:r>
    </w:p>
    <w:p>
      <w:pPr>
        <w:ind w:left="2000" w:hanging="265"/>
        <w:spacing w:after="0"/>
        <w:tabs>
          <w:tab w:leader="none" w:pos="20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effective registration statement permitting the issuance of the Warrant Shares to or resale of the Warrant Shares by Holder or</w:t>
      </w:r>
    </w:p>
    <w:p>
      <w:pPr>
        <w:spacing w:after="0" w:line="19" w:lineRule="exact"/>
        <w:rPr>
          <w:rFonts w:ascii="Times New Roman" w:cs="Times New Roman" w:eastAsia="Times New Roman" w:hAnsi="Times New Roman"/>
          <w:sz w:val="14"/>
          <w:szCs w:val="14"/>
          <w:color w:val="auto"/>
        </w:rPr>
      </w:pPr>
    </w:p>
    <w:p>
      <w:pPr>
        <w:jc w:val="both"/>
        <w:ind w:left="1740" w:right="20" w:hanging="5"/>
        <w:spacing w:after="0" w:line="270" w:lineRule="auto"/>
        <w:tabs>
          <w:tab w:leader="none" w:pos="2002"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4"/>
          <w:szCs w:val="14"/>
          <w:u w:val="single" w:color="auto"/>
          <w:color w:val="auto"/>
        </w:rPr>
        <w:t>Warrant Share Delivery Date</w:t>
      </w:r>
      <w:r>
        <w:rPr>
          <w:rFonts w:ascii="Times New Roman" w:cs="Times New Roman" w:eastAsia="Times New Roman" w:hAnsi="Times New Roman"/>
          <w:sz w:val="14"/>
          <w:szCs w:val="14"/>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4"/>
          <w:szCs w:val="14"/>
          <w:u w:val="single" w:color="auto"/>
          <w:color w:val="auto"/>
        </w:rPr>
        <w:t>Standard Settlement Period</w:t>
      </w:r>
      <w:r>
        <w:rPr>
          <w:rFonts w:ascii="Times New Roman" w:cs="Times New Roman" w:eastAsia="Times New Roman" w:hAnsi="Times New Roman"/>
          <w:sz w:val="14"/>
          <w:szCs w:val="14"/>
          <w:color w:val="auto"/>
        </w:rPr>
        <w:t>” means the standard settlement period, expressed in a number of Trading Days, on the Company’s primary Trading Market with respect to the Common Stock as in effect on the date of delivery of the Notice</w:t>
      </w:r>
    </w:p>
    <w:p>
      <w:pPr>
        <w:sectPr>
          <w:pgSz w:w="11900" w:h="16840" w:orient="portrait"/>
          <w:cols w:equalWidth="0" w:num="1">
            <w:col w:w="10600"/>
          </w:cols>
          <w:pgMar w:left="660" w:top="557" w:right="640" w:bottom="175" w:gutter="0" w:footer="0" w:header="0"/>
        </w:sectPr>
      </w:pPr>
    </w:p>
    <w:bookmarkStart w:id="256" w:name="page257"/>
    <w:bookmarkEnd w:id="256"/>
    <w:p>
      <w:pPr>
        <w:ind w:left="960"/>
        <w:spacing w:after="0"/>
        <w:rPr>
          <w:sz w:val="20"/>
          <w:szCs w:val="20"/>
          <w:color w:val="auto"/>
        </w:rPr>
      </w:pPr>
      <w:r>
        <w:rPr>
          <w:rFonts w:ascii="Times New Roman" w:cs="Times New Roman" w:eastAsia="Times New Roman" w:hAnsi="Times New Roman"/>
          <w:sz w:val="16"/>
          <w:szCs w:val="16"/>
          <w:color w:val="auto"/>
        </w:rPr>
        <w:t>of Exercise.</w:t>
      </w:r>
    </w:p>
    <w:p>
      <w:pPr>
        <w:spacing w:after="0" w:line="176" w:lineRule="exact"/>
        <w:rPr>
          <w:sz w:val="20"/>
          <w:szCs w:val="20"/>
          <w:color w:val="auto"/>
        </w:rPr>
      </w:pPr>
    </w:p>
    <w:p>
      <w:pPr>
        <w:jc w:val="both"/>
        <w:ind w:left="960" w:right="60" w:firstLine="571"/>
        <w:spacing w:after="0" w:line="243" w:lineRule="auto"/>
        <w:tabs>
          <w:tab w:leader="none" w:pos="169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New Warrants Upon Exercise</w:t>
      </w:r>
      <w:r>
        <w:rPr>
          <w:rFonts w:ascii="Times New Roman" w:cs="Times New Roman" w:eastAsia="Times New Roman" w:hAnsi="Times New Roman"/>
          <w:sz w:val="16"/>
          <w:szCs w:val="16"/>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5715</wp:posOffset>
            </wp:positionV>
            <wp:extent cx="670750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60" w:right="80" w:firstLine="571"/>
        <w:spacing w:after="0" w:line="259" w:lineRule="auto"/>
        <w:tabs>
          <w:tab w:leader="none" w:pos="175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Rescission Rights</w:t>
      </w:r>
      <w:r>
        <w:rPr>
          <w:rFonts w:ascii="Times New Roman" w:cs="Times New Roman" w:eastAsia="Times New Roman" w:hAnsi="Times New Roman"/>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43" w:lineRule="exact"/>
        <w:rPr>
          <w:rFonts w:ascii="Times New Roman" w:cs="Times New Roman" w:eastAsia="Times New Roman" w:hAnsi="Times New Roman"/>
          <w:sz w:val="16"/>
          <w:szCs w:val="16"/>
          <w:color w:val="auto"/>
        </w:rPr>
      </w:pPr>
    </w:p>
    <w:p>
      <w:pPr>
        <w:ind w:left="960" w:firstLine="571"/>
        <w:spacing w:after="0" w:line="236" w:lineRule="auto"/>
        <w:tabs>
          <w:tab w:leader="none" w:pos="172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for Buy-In on Failure to Timely Deliver Warrant Shares Upon Exercise</w:t>
      </w:r>
      <w:r>
        <w:rPr>
          <w:rFonts w:ascii="Times New Roman" w:cs="Times New Roman" w:eastAsia="Times New Roman" w:hAnsi="Times New Roman"/>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u w:val="single" w:color="auto"/>
          <w:color w:val="auto"/>
        </w:rPr>
        <w:t>Buy-In</w:t>
      </w:r>
      <w:r>
        <w:rPr>
          <w:rFonts w:ascii="Times New Roman" w:cs="Times New Roman" w:eastAsia="Times New Roman" w:hAnsi="Times New Roman"/>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3" w:lineRule="exact"/>
        <w:rPr>
          <w:rFonts w:ascii="Times New Roman" w:cs="Times New Roman" w:eastAsia="Times New Roman" w:hAnsi="Times New Roman"/>
          <w:sz w:val="16"/>
          <w:szCs w:val="16"/>
          <w:color w:val="auto"/>
        </w:rPr>
      </w:pPr>
    </w:p>
    <w:p>
      <w:pPr>
        <w:jc w:val="both"/>
        <w:ind w:left="960" w:right="40" w:firstLine="571"/>
        <w:spacing w:after="0" w:line="243" w:lineRule="auto"/>
        <w:tabs>
          <w:tab w:leader="none" w:pos="169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 or Scrip</w:t>
      </w:r>
      <w:r>
        <w:rPr>
          <w:rFonts w:ascii="Times New Roman" w:cs="Times New Roman" w:eastAsia="Times New Roman" w:hAnsi="Times New Roman"/>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55" w:lineRule="exact"/>
        <w:rPr>
          <w:rFonts w:ascii="Times New Roman" w:cs="Times New Roman" w:eastAsia="Times New Roman" w:hAnsi="Times New Roman"/>
          <w:sz w:val="16"/>
          <w:szCs w:val="16"/>
          <w:color w:val="auto"/>
        </w:rPr>
      </w:pPr>
    </w:p>
    <w:p>
      <w:pPr>
        <w:jc w:val="both"/>
        <w:ind w:left="960" w:right="60" w:firstLine="571"/>
        <w:spacing w:after="0" w:line="277" w:lineRule="auto"/>
        <w:tabs>
          <w:tab w:leader="none" w:pos="1728"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Charges, Taxes and Expenses</w:t>
      </w:r>
      <w:r>
        <w:rPr>
          <w:rFonts w:ascii="Times New Roman" w:cs="Times New Roman" w:eastAsia="Times New Roman" w:hAnsi="Times New Roman"/>
          <w:sz w:val="14"/>
          <w:szCs w:val="14"/>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34" w:lineRule="exact"/>
        <w:rPr>
          <w:rFonts w:ascii="Times New Roman" w:cs="Times New Roman" w:eastAsia="Times New Roman" w:hAnsi="Times New Roman"/>
          <w:sz w:val="14"/>
          <w:szCs w:val="14"/>
          <w:color w:val="auto"/>
        </w:rPr>
      </w:pPr>
    </w:p>
    <w:p>
      <w:pPr>
        <w:ind w:left="960" w:right="40" w:firstLine="571"/>
        <w:spacing w:after="0" w:line="259" w:lineRule="auto"/>
        <w:tabs>
          <w:tab w:leader="none" w:pos="18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of Books</w:t>
      </w:r>
      <w:r>
        <w:rPr>
          <w:rFonts w:ascii="Times New Roman" w:cs="Times New Roman" w:eastAsia="Times New Roman" w:hAnsi="Times New Roman"/>
          <w:sz w:val="16"/>
          <w:szCs w:val="16"/>
          <w:color w:val="auto"/>
        </w:rPr>
        <w:t>. The Company will not close its stockholder books or records in any manner which prevents the timely exercise of this Warrant, pursuant to the terms hereof.</w:t>
      </w:r>
    </w:p>
    <w:p>
      <w:pPr>
        <w:spacing w:after="0" w:line="3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5715</wp:posOffset>
            </wp:positionV>
            <wp:extent cx="670750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200" w:right="40" w:firstLine="578"/>
        <w:spacing w:after="0" w:line="270" w:lineRule="auto"/>
        <w:tabs>
          <w:tab w:leader="none" w:pos="544"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4"/>
          <w:szCs w:val="14"/>
          <w:u w:val="single" w:color="auto"/>
          <w:color w:val="auto"/>
        </w:rPr>
        <w:t>Attribution Parties</w:t>
      </w:r>
      <w:r>
        <w:rPr>
          <w:rFonts w:ascii="Times New Roman" w:cs="Times New Roman" w:eastAsia="Times New Roman" w:hAnsi="Times New Roman"/>
          <w:sz w:val="14"/>
          <w:szCs w:val="14"/>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w:t>
      </w:r>
    </w:p>
    <w:p>
      <w:pPr>
        <w:sectPr>
          <w:pgSz w:w="11900" w:h="16840" w:orient="portrait"/>
          <w:cols w:equalWidth="0" w:num="1">
            <w:col w:w="9840"/>
          </w:cols>
          <w:pgMar w:left="1440" w:top="557" w:right="620" w:bottom="363" w:gutter="0" w:footer="0" w:header="0"/>
        </w:sectPr>
      </w:pPr>
    </w:p>
    <w:bookmarkStart w:id="257" w:name="page258"/>
    <w:bookmarkEnd w:id="257"/>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6"/>
          <w:szCs w:val="16"/>
          <w:color w:val="auto"/>
        </w:rPr>
        <w:t>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5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 xml:space="preserve">a ) </w:t>
      </w:r>
      <w:r>
        <w:rPr>
          <w:rFonts w:ascii="Times New Roman" w:cs="Times New Roman" w:eastAsia="Times New Roman" w:hAnsi="Times New Roman"/>
          <w:sz w:val="16"/>
          <w:szCs w:val="16"/>
          <w:u w:val="single" w:color="auto"/>
          <w:color w:val="auto"/>
        </w:rPr>
        <w:t>Stock Dividends and Splits</w:t>
      </w:r>
      <w:r>
        <w:rPr>
          <w:rFonts w:ascii="Times New Roman" w:cs="Times New Roman" w:eastAsia="Times New Roman" w:hAnsi="Times New Roman"/>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2" w:lineRule="exact"/>
        <w:rPr>
          <w:sz w:val="20"/>
          <w:szCs w:val="20"/>
          <w:color w:val="auto"/>
        </w:rPr>
      </w:pPr>
    </w:p>
    <w:p>
      <w:pPr>
        <w:jc w:val="both"/>
        <w:ind w:right="20" w:firstLine="578"/>
        <w:spacing w:after="0" w:line="237" w:lineRule="auto"/>
        <w:tabs>
          <w:tab w:leader="none" w:pos="74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Rights Offerings</w:t>
      </w:r>
      <w:r>
        <w:rPr>
          <w:rFonts w:ascii="Times New Roman" w:cs="Times New Roman" w:eastAsia="Times New Roman" w:hAnsi="Times New Roman"/>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2" w:lineRule="exact"/>
        <w:rPr>
          <w:rFonts w:ascii="Times New Roman" w:cs="Times New Roman" w:eastAsia="Times New Roman" w:hAnsi="Times New Roman"/>
          <w:sz w:val="16"/>
          <w:szCs w:val="16"/>
          <w:color w:val="auto"/>
        </w:rPr>
      </w:pPr>
    </w:p>
    <w:p>
      <w:pPr>
        <w:jc w:val="both"/>
        <w:ind w:right="20" w:firstLine="578"/>
        <w:spacing w:after="0" w:line="274" w:lineRule="auto"/>
        <w:tabs>
          <w:tab w:leader="none" w:pos="7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Distributions</w:t>
      </w:r>
      <w:r>
        <w:rPr>
          <w:rFonts w:ascii="Times New Roman" w:cs="Times New Roman" w:eastAsia="Times New Roman" w:hAnsi="Times New Roman"/>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4"/>
          <w:szCs w:val="14"/>
          <w:u w:val="single" w:color="auto"/>
          <w:color w:val="auto"/>
        </w:rPr>
        <w:t>Distribution</w:t>
      </w:r>
      <w:r>
        <w:rPr>
          <w:rFonts w:ascii="Times New Roman" w:cs="Times New Roman" w:eastAsia="Times New Roman" w:hAnsi="Times New Roman"/>
          <w:sz w:val="14"/>
          <w:szCs w:val="14"/>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3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firstLine="576"/>
        <w:spacing w:after="0" w:line="270" w:lineRule="auto"/>
        <w:rPr>
          <w:sz w:val="20"/>
          <w:szCs w:val="20"/>
          <w:color w:val="auto"/>
        </w:rPr>
      </w:pPr>
      <w:r>
        <w:rPr>
          <w:rFonts w:ascii="Times New Roman" w:cs="Times New Roman" w:eastAsia="Times New Roman" w:hAnsi="Times New Roman"/>
          <w:sz w:val="14"/>
          <w:szCs w:val="14"/>
          <w:color w:val="auto"/>
        </w:rPr>
        <w:t xml:space="preserve">d )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4"/>
          <w:szCs w:val="14"/>
          <w:u w:val="single" w:color="auto"/>
          <w:color w:val="auto"/>
        </w:rPr>
        <w:t>Alternate Consideration</w:t>
      </w:r>
      <w:r>
        <w:rPr>
          <w:rFonts w:ascii="Times New Roman" w:cs="Times New Roman" w:eastAsia="Times New Roman" w:hAnsi="Times New Roman"/>
          <w:sz w:val="14"/>
          <w:szCs w:val="14"/>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4"/>
          <w:szCs w:val="14"/>
          <w:u w:val="single" w:color="auto"/>
          <w:color w:val="auto"/>
        </w:rPr>
        <w:t>Successor Entity</w:t>
      </w:r>
      <w:r>
        <w:rPr>
          <w:rFonts w:ascii="Times New Roman" w:cs="Times New Roman" w:eastAsia="Times New Roman" w:hAnsi="Times New Roman"/>
          <w:sz w:val="14"/>
          <w:szCs w:val="14"/>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w:t>
      </w:r>
    </w:p>
    <w:p>
      <w:pPr>
        <w:sectPr>
          <w:pgSz w:w="11900" w:h="16840" w:orient="portrait"/>
          <w:cols w:equalWidth="0" w:num="1">
            <w:col w:w="10020"/>
          </w:cols>
          <w:pgMar w:left="1240" w:top="557" w:right="640" w:bottom="689" w:gutter="0" w:footer="0" w:header="0"/>
        </w:sectPr>
      </w:pPr>
    </w:p>
    <w:bookmarkStart w:id="258" w:name="page259"/>
    <w:bookmarkEnd w:id="258"/>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3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firstLine="578"/>
        <w:spacing w:after="0" w:line="247" w:lineRule="auto"/>
        <w:tabs>
          <w:tab w:leader="none" w:pos="74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Calculations</w:t>
      </w:r>
      <w:r>
        <w:rPr>
          <w:rFonts w:ascii="Times New Roman" w:cs="Times New Roman" w:eastAsia="Times New Roman" w:hAnsi="Times New Roman"/>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52" w:lineRule="exact"/>
        <w:rPr>
          <w:rFonts w:ascii="Times New Roman" w:cs="Times New Roman" w:eastAsia="Times New Roman" w:hAnsi="Times New Roman"/>
          <w:sz w:val="16"/>
          <w:szCs w:val="16"/>
          <w:color w:val="auto"/>
        </w:rPr>
      </w:pPr>
    </w:p>
    <w:p>
      <w:pPr>
        <w:ind w:left="720" w:hanging="142"/>
        <w:spacing w:after="0"/>
        <w:tabs>
          <w:tab w:leader="none" w:pos="7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Holder</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jc w:val="both"/>
        <w:ind w:left="1160" w:right="20" w:firstLine="571"/>
        <w:spacing w:after="0" w:line="247" w:lineRule="auto"/>
        <w:tabs>
          <w:tab w:leader="none" w:pos="185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to Exercise Price</w:t>
      </w:r>
      <w:r>
        <w:rPr>
          <w:rFonts w:ascii="Times New Roman" w:cs="Times New Roman" w:eastAsia="Times New Roman" w:hAnsi="Times New Roman"/>
          <w:sz w:val="16"/>
          <w:szCs w:val="16"/>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2" w:lineRule="exact"/>
        <w:rPr>
          <w:rFonts w:ascii="Times New Roman" w:cs="Times New Roman" w:eastAsia="Times New Roman" w:hAnsi="Times New Roman"/>
          <w:sz w:val="16"/>
          <w:szCs w:val="16"/>
          <w:color w:val="auto"/>
        </w:rPr>
      </w:pPr>
    </w:p>
    <w:p>
      <w:pPr>
        <w:jc w:val="both"/>
        <w:ind w:left="1160" w:right="20" w:firstLine="571"/>
        <w:spacing w:after="0" w:line="236" w:lineRule="auto"/>
        <w:tabs>
          <w:tab w:leader="none" w:pos="1892"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Allow Exercise by Holder</w:t>
      </w:r>
      <w:r>
        <w:rPr>
          <w:rFonts w:ascii="Times New Roman" w:cs="Times New Roman" w:eastAsia="Times New Roman" w:hAnsi="Times New Roman"/>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5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40" w:firstLine="578"/>
        <w:spacing w:after="0" w:line="289" w:lineRule="auto"/>
        <w:tabs>
          <w:tab w:leader="none" w:pos="73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 Pursuant to FINRA Rule 5110(e),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this Warrant or any Warrant Shares issued upon exercise of this Warrant by any person for a period of 180 days immediately following the date of commencement of sales of the offering pursuant to which this Warrant is being issued, except the transfer of any security:</w:t>
      </w:r>
    </w:p>
    <w:p>
      <w:pPr>
        <w:spacing w:after="0" w:line="124" w:lineRule="exact"/>
        <w:rPr>
          <w:rFonts w:ascii="Times New Roman" w:cs="Times New Roman" w:eastAsia="Times New Roman" w:hAnsi="Times New Roman"/>
          <w:sz w:val="14"/>
          <w:szCs w:val="14"/>
          <w:color w:val="auto"/>
        </w:rPr>
      </w:pPr>
    </w:p>
    <w:p>
      <w:pPr>
        <w:ind w:left="1060" w:hanging="194"/>
        <w:spacing w:after="0"/>
        <w:tabs>
          <w:tab w:leader="none" w:pos="106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operation of law or by reason of reorganization of the Company;</w:t>
      </w:r>
    </w:p>
    <w:p>
      <w:pPr>
        <w:spacing w:after="0" w:line="176" w:lineRule="exact"/>
        <w:rPr>
          <w:rFonts w:ascii="Times New Roman" w:cs="Times New Roman" w:eastAsia="Times New Roman" w:hAnsi="Times New Roman"/>
          <w:sz w:val="16"/>
          <w:szCs w:val="16"/>
          <w:color w:val="auto"/>
        </w:rPr>
      </w:pPr>
    </w:p>
    <w:p>
      <w:pPr>
        <w:ind w:left="860" w:right="40" w:firstLine="6"/>
        <w:spacing w:after="0" w:line="259" w:lineRule="auto"/>
        <w:tabs>
          <w:tab w:leader="none" w:pos="1098"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FINRA member firm participating in the offering and the officers, partners, registered persons or affiliates thereof, if all securities so transferred remain subject to the lock-up restriction in this Section 4(a) for the remainder of the time period;</w:t>
      </w:r>
    </w:p>
    <w:p>
      <w:pPr>
        <w:spacing w:after="0" w:line="143" w:lineRule="exact"/>
        <w:rPr>
          <w:rFonts w:ascii="Times New Roman" w:cs="Times New Roman" w:eastAsia="Times New Roman" w:hAnsi="Times New Roman"/>
          <w:sz w:val="16"/>
          <w:szCs w:val="16"/>
          <w:color w:val="auto"/>
        </w:rPr>
      </w:pPr>
    </w:p>
    <w:p>
      <w:pPr>
        <w:ind w:left="1140" w:hanging="274"/>
        <w:spacing w:after="0"/>
        <w:tabs>
          <w:tab w:leader="none" w:pos="114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aggregate amount of securities of the Company held by the Holder or related person does not exceed 1% of the securities being offered;</w:t>
      </w:r>
    </w:p>
    <w:p>
      <w:pPr>
        <w:spacing w:after="0" w:line="199" w:lineRule="exact"/>
        <w:rPr>
          <w:rFonts w:ascii="Times New Roman" w:cs="Times New Roman" w:eastAsia="Times New Roman" w:hAnsi="Times New Roman"/>
          <w:sz w:val="14"/>
          <w:szCs w:val="14"/>
          <w:color w:val="auto"/>
        </w:rPr>
      </w:pPr>
    </w:p>
    <w:p>
      <w:pPr>
        <w:ind w:left="860" w:right="40" w:firstLine="6"/>
        <w:spacing w:after="0" w:line="331" w:lineRule="auto"/>
        <w:tabs>
          <w:tab w:leader="none" w:pos="1129"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96" w:lineRule="exact"/>
        <w:rPr>
          <w:rFonts w:ascii="Times New Roman" w:cs="Times New Roman" w:eastAsia="Times New Roman" w:hAnsi="Times New Roman"/>
          <w:sz w:val="14"/>
          <w:szCs w:val="14"/>
          <w:color w:val="auto"/>
        </w:rPr>
      </w:pPr>
    </w:p>
    <w:p>
      <w:pPr>
        <w:ind w:left="860" w:right="40" w:firstLine="6"/>
        <w:spacing w:after="0" w:line="259" w:lineRule="auto"/>
        <w:tabs>
          <w:tab w:leader="none" w:pos="1094"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via the exercise or conversion of any security, if all securities received remain subject to the lock-up restriction in this Section 4(a) for the remainder of the time period;</w:t>
      </w:r>
    </w:p>
    <w:p>
      <w:pPr>
        <w:spacing w:after="0" w:line="143" w:lineRule="exact"/>
        <w:rPr>
          <w:rFonts w:ascii="Times New Roman" w:cs="Times New Roman" w:eastAsia="Times New Roman" w:hAnsi="Times New Roman"/>
          <w:sz w:val="16"/>
          <w:szCs w:val="16"/>
          <w:color w:val="auto"/>
        </w:rPr>
      </w:pPr>
    </w:p>
    <w:p>
      <w:pPr>
        <w:ind w:left="1140" w:hanging="274"/>
        <w:spacing w:after="0"/>
        <w:tabs>
          <w:tab w:leader="none" w:pos="114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meets the registration requirements of Forms S-3, F-3 or F-10; or</w:t>
      </w:r>
    </w:p>
    <w:p>
      <w:pPr>
        <w:spacing w:after="0" w:line="176" w:lineRule="exact"/>
        <w:rPr>
          <w:rFonts w:ascii="Times New Roman" w:cs="Times New Roman" w:eastAsia="Times New Roman" w:hAnsi="Times New Roman"/>
          <w:sz w:val="16"/>
          <w:szCs w:val="16"/>
          <w:color w:val="auto"/>
        </w:rPr>
      </w:pPr>
    </w:p>
    <w:p>
      <w:pPr>
        <w:ind w:left="1180" w:hanging="314"/>
        <w:spacing w:after="0"/>
        <w:tabs>
          <w:tab w:leader="none" w:pos="118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back to the Company in a transaction exempt from registration with the Commission.</w:t>
      </w:r>
    </w:p>
    <w:p>
      <w:pPr>
        <w:spacing w:after="0" w:line="36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860"/>
        <w:spacing w:after="0" w:line="299" w:lineRule="auto"/>
        <w:rPr>
          <w:sz w:val="20"/>
          <w:szCs w:val="20"/>
          <w:color w:val="auto"/>
        </w:rPr>
      </w:pPr>
      <w:r>
        <w:rPr>
          <w:rFonts w:ascii="Times New Roman" w:cs="Times New Roman" w:eastAsia="Times New Roman" w:hAnsi="Times New Roman"/>
          <w:sz w:val="14"/>
          <w:szCs w:val="14"/>
          <w:color w:val="auto"/>
        </w:rPr>
        <w:t>Subject to the foregoing restriction,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w:t>
      </w:r>
    </w:p>
    <w:p>
      <w:pPr>
        <w:sectPr>
          <w:pgSz w:w="11900" w:h="16840" w:orient="portrait"/>
          <w:cols w:equalWidth="0" w:num="1">
            <w:col w:w="10020"/>
          </w:cols>
          <w:pgMar w:left="1240" w:top="557" w:right="640" w:bottom="0" w:gutter="0" w:footer="0" w:header="0"/>
        </w:sectPr>
      </w:pPr>
    </w:p>
    <w:bookmarkStart w:id="259" w:name="page260"/>
    <w:bookmarkEnd w:id="259"/>
    <w:p>
      <w:pPr>
        <w:jc w:val="both"/>
        <w:ind w:left="860" w:right="20"/>
        <w:spacing w:after="0" w:line="239" w:lineRule="auto"/>
        <w:rPr>
          <w:sz w:val="20"/>
          <w:szCs w:val="20"/>
          <w:color w:val="auto"/>
        </w:rPr>
      </w:pPr>
      <w:r>
        <w:rPr>
          <w:rFonts w:ascii="Times New Roman" w:cs="Times New Roman" w:eastAsia="Times New Roman" w:hAnsi="Times New Roman"/>
          <w:sz w:val="16"/>
          <w:szCs w:val="16"/>
          <w:color w:val="auto"/>
        </w:rPr>
        <w:t>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58" w:lineRule="exact"/>
        <w:rPr>
          <w:sz w:val="20"/>
          <w:szCs w:val="20"/>
          <w:color w:val="auto"/>
        </w:rPr>
      </w:pPr>
    </w:p>
    <w:p>
      <w:pPr>
        <w:ind w:right="20" w:firstLine="578"/>
        <w:spacing w:after="0" w:line="239" w:lineRule="auto"/>
        <w:tabs>
          <w:tab w:leader="none" w:pos="74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Warrants</w:t>
      </w:r>
      <w:r>
        <w:rPr>
          <w:rFonts w:ascii="Times New Roman" w:cs="Times New Roman" w:eastAsia="Times New Roman" w:hAnsi="Times New Roman"/>
          <w:sz w:val="16"/>
          <w:szCs w:val="16"/>
          <w:color w:val="auto"/>
        </w:rPr>
        <w:t xml:space="preserve"> .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61" w:lineRule="exact"/>
        <w:rPr>
          <w:sz w:val="20"/>
          <w:szCs w:val="20"/>
          <w:color w:val="auto"/>
        </w:rPr>
      </w:pPr>
    </w:p>
    <w:p>
      <w:pPr>
        <w:jc w:val="both"/>
        <w:ind w:right="20" w:firstLine="576"/>
        <w:spacing w:after="0" w:line="299" w:lineRule="auto"/>
        <w:rPr>
          <w:sz w:val="20"/>
          <w:szCs w:val="20"/>
          <w:color w:val="auto"/>
        </w:rPr>
      </w:pPr>
      <w:r>
        <w:rPr>
          <w:rFonts w:ascii="Times New Roman" w:cs="Times New Roman" w:eastAsia="Times New Roman" w:hAnsi="Times New Roman"/>
          <w:sz w:val="14"/>
          <w:szCs w:val="14"/>
          <w:color w:val="auto"/>
        </w:rPr>
        <w:t xml:space="preserve">c ) </w:t>
      </w: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xml:space="preserve">. The Company shall register this Warrant, upon records to be maintained by the Company for that purpose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firstLine="578"/>
        <w:spacing w:after="0" w:line="243" w:lineRule="auto"/>
        <w:tabs>
          <w:tab w:leader="none" w:pos="73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as Stockholder Until Exercise; No Settlement in Cash</w:t>
      </w:r>
      <w:r>
        <w:rPr>
          <w:rFonts w:ascii="Times New Roman" w:cs="Times New Roman" w:eastAsia="Times New Roman" w:hAnsi="Times New Roman"/>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firstLine="578"/>
        <w:spacing w:after="0" w:line="241" w:lineRule="auto"/>
        <w:tabs>
          <w:tab w:leader="none" w:pos="74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Loss, Theft, Destruction or Mutilation of Warrant</w:t>
      </w:r>
      <w:r>
        <w:rPr>
          <w:rFonts w:ascii="Times New Roman" w:cs="Times New Roman" w:eastAsia="Times New Roman" w:hAnsi="Times New Roman"/>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56" w:lineRule="exact"/>
        <w:rPr>
          <w:rFonts w:ascii="Times New Roman" w:cs="Times New Roman" w:eastAsia="Times New Roman" w:hAnsi="Times New Roman"/>
          <w:sz w:val="16"/>
          <w:szCs w:val="16"/>
          <w:color w:val="auto"/>
        </w:rPr>
      </w:pPr>
    </w:p>
    <w:p>
      <w:pPr>
        <w:ind w:right="20" w:firstLine="578"/>
        <w:spacing w:after="0" w:line="259" w:lineRule="auto"/>
        <w:tabs>
          <w:tab w:leader="none" w:pos="73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3" w:lineRule="exact"/>
        <w:rPr>
          <w:rFonts w:ascii="Times New Roman" w:cs="Times New Roman" w:eastAsia="Times New Roman" w:hAnsi="Times New Roman"/>
          <w:sz w:val="16"/>
          <w:szCs w:val="16"/>
          <w:color w:val="auto"/>
        </w:rPr>
      </w:pPr>
    </w:p>
    <w:p>
      <w:pPr>
        <w:ind w:left="740" w:hanging="162"/>
        <w:spacing w:after="0"/>
        <w:tabs>
          <w:tab w:leader="none" w:pos="7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Shares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left="580" w:right="20" w:firstLine="576"/>
        <w:spacing w:after="0" w:line="237" w:lineRule="auto"/>
        <w:rPr>
          <w:sz w:val="20"/>
          <w:szCs w:val="20"/>
          <w:color w:val="auto"/>
        </w:rPr>
      </w:pPr>
      <w:r>
        <w:rPr>
          <w:rFonts w:ascii="Times New Roman" w:cs="Times New Roman" w:eastAsia="Times New Roman" w:hAnsi="Times New Roman"/>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4" w:lineRule="exact"/>
        <w:rPr>
          <w:sz w:val="20"/>
          <w:szCs w:val="20"/>
          <w:color w:val="auto"/>
        </w:rPr>
      </w:pPr>
    </w:p>
    <w:p>
      <w:pPr>
        <w:jc w:val="both"/>
        <w:ind w:left="580" w:right="20" w:firstLine="576"/>
        <w:spacing w:after="0" w:line="238" w:lineRule="auto"/>
        <w:rPr>
          <w:sz w:val="20"/>
          <w:szCs w:val="20"/>
          <w:color w:val="auto"/>
        </w:rPr>
      </w:pPr>
      <w:r>
        <w:rPr>
          <w:rFonts w:ascii="Times New Roman" w:cs="Times New Roman" w:eastAsia="Times New Roman" w:hAnsi="Times New Roman"/>
          <w:sz w:val="16"/>
          <w:szCs w:val="16"/>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5715</wp:posOffset>
            </wp:positionV>
            <wp:extent cx="670750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580" w:right="20" w:firstLine="576"/>
        <w:spacing w:after="0" w:line="247" w:lineRule="auto"/>
        <w:rPr>
          <w:sz w:val="20"/>
          <w:szCs w:val="20"/>
          <w:color w:val="auto"/>
        </w:rPr>
      </w:pPr>
      <w:r>
        <w:rPr>
          <w:rFonts w:ascii="Times New Roman" w:cs="Times New Roman" w:eastAsia="Times New Roman" w:hAnsi="Times New Roman"/>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2"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4"/>
          <w:szCs w:val="14"/>
          <w:color w:val="auto"/>
        </w:rPr>
        <w:t xml:space="preserve">e )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w:t>
      </w:r>
    </w:p>
    <w:p>
      <w:pPr>
        <w:sectPr>
          <w:pgSz w:w="11900" w:h="16840" w:orient="portrait"/>
          <w:cols w:equalWidth="0" w:num="1">
            <w:col w:w="10000"/>
          </w:cols>
          <w:pgMar w:left="1240" w:top="557" w:right="660" w:bottom="173" w:gutter="0" w:footer="0" w:header="0"/>
        </w:sectPr>
      </w:pPr>
    </w:p>
    <w:bookmarkStart w:id="260" w:name="page261"/>
    <w:bookmarkEnd w:id="260"/>
    <w:p>
      <w:pPr>
        <w:ind w:left="580"/>
        <w:spacing w:after="0"/>
        <w:rPr>
          <w:sz w:val="20"/>
          <w:szCs w:val="20"/>
          <w:color w:val="auto"/>
        </w:rPr>
      </w:pPr>
      <w:r>
        <w:rPr>
          <w:rFonts w:ascii="Times New Roman" w:cs="Times New Roman" w:eastAsia="Times New Roman" w:hAnsi="Times New Roman"/>
          <w:sz w:val="16"/>
          <w:szCs w:val="16"/>
          <w:color w:val="auto"/>
        </w:rPr>
        <w:t>and expenses incurred with the investigation, preparation and prosecution of such action or proceeding.</w:t>
      </w:r>
    </w:p>
    <w:p>
      <w:pPr>
        <w:spacing w:after="0" w:line="176" w:lineRule="exact"/>
        <w:rPr>
          <w:sz w:val="20"/>
          <w:szCs w:val="20"/>
          <w:color w:val="auto"/>
        </w:rPr>
      </w:pPr>
    </w:p>
    <w:p>
      <w:pPr>
        <w:ind w:left="580" w:right="40" w:firstLine="578"/>
        <w:spacing w:after="0" w:line="259" w:lineRule="auto"/>
        <w:tabs>
          <w:tab w:leader="none" w:pos="13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3" w:lineRule="exact"/>
        <w:rPr>
          <w:rFonts w:ascii="Times New Roman" w:cs="Times New Roman" w:eastAsia="Times New Roman" w:hAnsi="Times New Roman"/>
          <w:sz w:val="16"/>
          <w:szCs w:val="16"/>
          <w:color w:val="auto"/>
        </w:rPr>
      </w:pPr>
    </w:p>
    <w:p>
      <w:pPr>
        <w:jc w:val="both"/>
        <w:ind w:left="580" w:right="20" w:firstLine="578"/>
        <w:spacing w:after="0" w:line="284" w:lineRule="auto"/>
        <w:tabs>
          <w:tab w:leader="none" w:pos="1336"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580" w:firstLine="578"/>
        <w:spacing w:after="0" w:line="237" w:lineRule="auto"/>
        <w:tabs>
          <w:tab w:leader="none" w:pos="133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2468 Industrial Row Drive, Troy, Michigan 48084, Attention: General Counsel, email address: josh.savitz@agrify.com,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58" w:lineRule="exact"/>
        <w:rPr>
          <w:rFonts w:ascii="Times New Roman" w:cs="Times New Roman" w:eastAsia="Times New Roman" w:hAnsi="Times New Roman"/>
          <w:sz w:val="16"/>
          <w:szCs w:val="16"/>
          <w:color w:val="auto"/>
        </w:rPr>
      </w:pPr>
    </w:p>
    <w:p>
      <w:pPr>
        <w:jc w:val="both"/>
        <w:ind w:left="580" w:right="20" w:firstLine="578"/>
        <w:spacing w:after="0" w:line="247" w:lineRule="auto"/>
        <w:tabs>
          <w:tab w:leader="none" w:pos="128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2" w:lineRule="exact"/>
        <w:rPr>
          <w:rFonts w:ascii="Times New Roman" w:cs="Times New Roman" w:eastAsia="Times New Roman" w:hAnsi="Times New Roman"/>
          <w:sz w:val="16"/>
          <w:szCs w:val="16"/>
          <w:color w:val="auto"/>
        </w:rPr>
      </w:pPr>
    </w:p>
    <w:p>
      <w:pPr>
        <w:jc w:val="both"/>
        <w:ind w:left="580" w:right="20" w:firstLine="578"/>
        <w:spacing w:after="0" w:line="243" w:lineRule="auto"/>
        <w:tabs>
          <w:tab w:leader="none" w:pos="128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580" w:right="20" w:firstLine="578"/>
        <w:spacing w:after="0" w:line="299" w:lineRule="auto"/>
        <w:tabs>
          <w:tab w:leader="none" w:pos="1324"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8" w:lineRule="exact"/>
        <w:rPr>
          <w:rFonts w:ascii="Times New Roman" w:cs="Times New Roman" w:eastAsia="Times New Roman" w:hAnsi="Times New Roman"/>
          <w:sz w:val="14"/>
          <w:szCs w:val="14"/>
          <w:color w:val="auto"/>
        </w:rPr>
      </w:pPr>
    </w:p>
    <w:p>
      <w:pPr>
        <w:ind w:left="580" w:right="40" w:firstLine="578"/>
        <w:spacing w:after="0" w:line="259" w:lineRule="auto"/>
        <w:tabs>
          <w:tab w:leader="none" w:pos="128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Warrant may be modified or amended or the provisions hereof waived with the written consent of the Company, on the one hand, and the Holder or the beneficial owner of this Warrant, on the other hand.</w:t>
      </w:r>
    </w:p>
    <w:p>
      <w:pPr>
        <w:spacing w:after="0" w:line="143" w:lineRule="exact"/>
        <w:rPr>
          <w:rFonts w:ascii="Times New Roman" w:cs="Times New Roman" w:eastAsia="Times New Roman" w:hAnsi="Times New Roman"/>
          <w:sz w:val="16"/>
          <w:szCs w:val="16"/>
          <w:color w:val="auto"/>
        </w:rPr>
      </w:pPr>
    </w:p>
    <w:p>
      <w:pPr>
        <w:jc w:val="both"/>
        <w:ind w:left="580" w:right="20" w:firstLine="578"/>
        <w:spacing w:after="0" w:line="247" w:lineRule="auto"/>
        <w:tabs>
          <w:tab w:leader="none" w:pos="13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2" w:lineRule="exact"/>
        <w:rPr>
          <w:rFonts w:ascii="Times New Roman" w:cs="Times New Roman" w:eastAsia="Times New Roman" w:hAnsi="Times New Roman"/>
          <w:sz w:val="16"/>
          <w:szCs w:val="16"/>
          <w:color w:val="auto"/>
        </w:rPr>
      </w:pPr>
    </w:p>
    <w:p>
      <w:pPr>
        <w:ind w:left="1340" w:hanging="182"/>
        <w:spacing w:after="0"/>
        <w:tabs>
          <w:tab w:leader="none" w:pos="13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used in this Warrant are for the convenience of reference only and shall not, for any purpose, be deemed a part of this</w:t>
      </w:r>
    </w:p>
    <w:p>
      <w:pPr>
        <w:spacing w:after="0" w:line="14"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executed by its officer thereunto duly authorized as of the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indicated.</w:t>
      </w:r>
    </w:p>
    <w:p>
      <w:pPr>
        <w:spacing w:after="0" w:line="15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0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5715</wp:posOffset>
            </wp:positionV>
            <wp:extent cx="240855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6">
                      <a:extLst>
                        <a:ext uri="{28A0092B-C50C-407E-A947-70E740481C1C}"/>
                      </a:extLst>
                    </a:blip>
                    <a:srcRect/>
                    <a:stretch>
                      <a:fillRect/>
                    </a:stretch>
                  </pic:blipFill>
                  <pic:spPr bwMode="auto">
                    <a:xfrm>
                      <a:off x="0" y="0"/>
                      <a:ext cx="2408555" cy="1524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6"/>
          <w:szCs w:val="16"/>
          <w:color w:val="auto"/>
        </w:rPr>
        <w:t>Name:  Raymond N. Chang</w:t>
      </w:r>
    </w:p>
    <w:p>
      <w:pPr>
        <w:spacing w:after="0" w:line="14" w:lineRule="exact"/>
        <w:rPr>
          <w:sz w:val="20"/>
          <w:szCs w:val="20"/>
          <w:color w:val="auto"/>
        </w:rPr>
      </w:pPr>
    </w:p>
    <w:p>
      <w:pPr>
        <w:ind w:left="6780"/>
        <w:spacing w:after="0"/>
        <w:tabs>
          <w:tab w:leader="none" w:pos="72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ectPr>
          <w:pgSz w:w="11900" w:h="16840" w:orient="portrait"/>
          <w:cols w:equalWidth="0" w:num="1">
            <w:col w:w="10580"/>
          </w:cols>
          <w:pgMar w:left="660" w:top="557" w:right="660" w:bottom="159" w:gutter="0" w:footer="0" w:header="0"/>
          <w:type w:val="continuous"/>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color w:val="auto"/>
        </w:rPr>
        <w:t>TO: AGRIFY CORPORATION</w:t>
      </w:r>
    </w:p>
    <w:p>
      <w:pPr>
        <w:spacing w:after="0" w:line="176" w:lineRule="exact"/>
        <w:rPr>
          <w:sz w:val="20"/>
          <w:szCs w:val="20"/>
          <w:color w:val="auto"/>
        </w:rPr>
      </w:pPr>
    </w:p>
    <w:p>
      <w:pPr>
        <w:ind w:right="40" w:firstLine="1158"/>
        <w:spacing w:after="0" w:line="259" w:lineRule="auto"/>
        <w:tabs>
          <w:tab w:leader="none" w:pos="1394"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3" w:lineRule="exact"/>
        <w:rPr>
          <w:rFonts w:ascii="Times New Roman" w:cs="Times New Roman" w:eastAsia="Times New Roman" w:hAnsi="Times New Roman"/>
          <w:sz w:val="16"/>
          <w:szCs w:val="16"/>
          <w:color w:val="auto"/>
        </w:rPr>
      </w:pPr>
    </w:p>
    <w:p>
      <w:pPr>
        <w:ind w:left="1380" w:hanging="222"/>
        <w:spacing w:after="0"/>
        <w:tabs>
          <w:tab w:leader="none" w:pos="13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shall take the form of (check applicable box):</w:t>
      </w:r>
    </w:p>
    <w:p>
      <w:pPr>
        <w:spacing w:after="0" w:line="176" w:lineRule="exact"/>
        <w:rPr>
          <w:rFonts w:ascii="Times New Roman" w:cs="Times New Roman" w:eastAsia="Times New Roman" w:hAnsi="Times New Roman"/>
          <w:sz w:val="16"/>
          <w:szCs w:val="16"/>
          <w:color w:val="auto"/>
        </w:rPr>
      </w:pPr>
    </w:p>
    <w:p>
      <w:pPr>
        <w:ind w:left="1920" w:hanging="185"/>
        <w:spacing w:after="0"/>
        <w:tabs>
          <w:tab w:leader="none" w:pos="1920" w:val="left"/>
        </w:tabs>
        <w:numPr>
          <w:ilvl w:val="1"/>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lawful money of the United States; or</w:t>
      </w:r>
    </w:p>
    <w:p>
      <w:pPr>
        <w:spacing w:after="0" w:line="176" w:lineRule="exact"/>
        <w:rPr>
          <w:rFonts w:ascii="MS PGothic" w:cs="MS PGothic" w:eastAsia="MS PGothic" w:hAnsi="MS PGothic"/>
          <w:sz w:val="16"/>
          <w:szCs w:val="16"/>
          <w:color w:val="auto"/>
        </w:rPr>
      </w:pPr>
    </w:p>
    <w:p>
      <w:pPr>
        <w:jc w:val="both"/>
        <w:ind w:left="1740" w:hanging="5"/>
        <w:spacing w:after="0" w:line="247" w:lineRule="auto"/>
        <w:tabs>
          <w:tab w:leader="none" w:pos="1923" w:val="left"/>
        </w:tabs>
        <w:numPr>
          <w:ilvl w:val="1"/>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52" w:lineRule="exact"/>
        <w:rPr>
          <w:rFonts w:ascii="MS PGothic" w:cs="MS PGothic" w:eastAsia="MS PGothic" w:hAnsi="MS PGothic"/>
          <w:sz w:val="16"/>
          <w:szCs w:val="16"/>
          <w:color w:val="auto"/>
        </w:rPr>
      </w:pPr>
    </w:p>
    <w:p>
      <w:pPr>
        <w:ind w:left="1380" w:hanging="222"/>
        <w:spacing w:after="0"/>
        <w:tabs>
          <w:tab w:leader="none" w:pos="13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issue said Warrant Shares in the name of the undersigned or in such other name as is specified below:</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 Shares shall be delivered to the following DWAC Account Number:</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Investing Entity: 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Investing Entity</w:t>
      </w:r>
      <w:r>
        <w:rPr>
          <w:rFonts w:ascii="Times New Roman" w:cs="Times New Roman" w:eastAsia="Times New Roman" w:hAnsi="Times New Roman"/>
          <w:sz w:val="16"/>
          <w:szCs w:val="16"/>
          <w:color w:val="auto"/>
        </w:rPr>
        <w:t>: ____________________________________________________</w:t>
      </w:r>
    </w:p>
    <w:p>
      <w:pPr>
        <w:spacing w:after="0" w:line="234" w:lineRule="auto"/>
        <w:rPr>
          <w:sz w:val="20"/>
          <w:szCs w:val="20"/>
          <w:color w:val="auto"/>
        </w:rPr>
      </w:pPr>
      <w:r>
        <w:rPr>
          <w:rFonts w:ascii="Times New Roman" w:cs="Times New Roman" w:eastAsia="Times New Roman" w:hAnsi="Times New Roman"/>
          <w:sz w:val="16"/>
          <w:szCs w:val="16"/>
          <w:color w:val="auto"/>
        </w:rPr>
        <w:t>Name of Authorized Signatory: ______________________________________________________________________</w:t>
      </w:r>
    </w:p>
    <w:p>
      <w:pPr>
        <w:spacing w:after="0" w:line="235" w:lineRule="auto"/>
        <w:rPr>
          <w:sz w:val="20"/>
          <w:szCs w:val="20"/>
          <w:color w:val="auto"/>
        </w:rPr>
      </w:pPr>
      <w:r>
        <w:rPr>
          <w:rFonts w:ascii="Times New Roman" w:cs="Times New Roman" w:eastAsia="Times New Roman" w:hAnsi="Times New Roman"/>
          <w:sz w:val="16"/>
          <w:szCs w:val="16"/>
          <w:color w:val="auto"/>
        </w:rPr>
        <w:t>Title of Authorized Signatory: _______________________________________________________________________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670750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(To assign the foregoing Warrant, execute this form and supply required information. Do not use this form to purchase shares.)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5715</wp:posOffset>
            </wp:positionV>
            <wp:extent cx="121221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9">
                      <a:extLst>
                        <a:ext uri="{28A0092B-C50C-407E-A947-70E740481C1C}"/>
                      </a:extLst>
                    </a:blip>
                    <a:srcRect/>
                    <a:stretch>
                      <a:fillRect/>
                    </a:stretch>
                  </pic:blipFill>
                  <pic:spPr bwMode="auto">
                    <a:xfrm>
                      <a:off x="0" y="0"/>
                      <a:ext cx="1212215" cy="15240"/>
                    </a:xfrm>
                    <a:prstGeom prst="rect">
                      <a:avLst/>
                    </a:prstGeom>
                    <a:noFill/>
                  </pic:spPr>
                </pic:pic>
              </a:graphicData>
            </a:graphic>
          </wp:anchor>
        </w:drawing>
      </w:r>
    </w:p>
    <w:p>
      <w:pPr>
        <w:ind w:left="8660"/>
        <w:spacing w:after="0"/>
        <w:rPr>
          <w:sz w:val="20"/>
          <w:szCs w:val="20"/>
          <w:color w:val="auto"/>
        </w:rPr>
      </w:pPr>
      <w:r>
        <w:rPr>
          <w:rFonts w:ascii="Times New Roman" w:cs="Times New Roman" w:eastAsia="Times New Roman" w:hAnsi="Times New Roman"/>
          <w:sz w:val="16"/>
          <w:szCs w:val="16"/>
          <w:color w:val="auto"/>
        </w:rPr>
        <w:t>(Please Print)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5715</wp:posOffset>
            </wp:positionV>
            <wp:extent cx="121221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0">
                      <a:extLst>
                        <a:ext uri="{28A0092B-C50C-407E-A947-70E740481C1C}"/>
                      </a:extLst>
                    </a:blip>
                    <a:srcRect/>
                    <a:stretch>
                      <a:fillRect/>
                    </a:stretch>
                  </pic:blipFill>
                  <pic:spPr bwMode="auto">
                    <a:xfrm>
                      <a:off x="0" y="0"/>
                      <a:ext cx="1212215" cy="15240"/>
                    </a:xfrm>
                    <a:prstGeom prst="rect">
                      <a:avLst/>
                    </a:prstGeom>
                    <a:noFill/>
                  </pic:spPr>
                </pic:pic>
              </a:graphicData>
            </a:graphic>
          </wp:anchor>
        </w:drawing>
      </w:r>
    </w:p>
    <w:p>
      <w:pPr>
        <w:ind w:left="8660"/>
        <w:spacing w:after="0"/>
        <w:rPr>
          <w:sz w:val="20"/>
          <w:szCs w:val="20"/>
          <w:color w:val="auto"/>
        </w:rPr>
      </w:pPr>
      <w:r>
        <w:rPr>
          <w:rFonts w:ascii="Times New Roman" w:cs="Times New Roman" w:eastAsia="Times New Roman" w:hAnsi="Times New Roman"/>
          <w:sz w:val="16"/>
          <w:szCs w:val="16"/>
          <w:color w:val="auto"/>
        </w:rPr>
        <w:t>(Please Print)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20955</wp:posOffset>
            </wp:positionV>
            <wp:extent cx="121221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1">
                      <a:extLst>
                        <a:ext uri="{28A0092B-C50C-407E-A947-70E740481C1C}"/>
                      </a:extLst>
                    </a:blip>
                    <a:srcRect/>
                    <a:stretch>
                      <a:fillRect/>
                    </a:stretch>
                  </pic:blipFill>
                  <pic:spPr bwMode="auto">
                    <a:xfrm>
                      <a:off x="0" y="0"/>
                      <a:ext cx="1212215"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20955</wp:posOffset>
            </wp:positionV>
            <wp:extent cx="121221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2">
                      <a:extLst>
                        <a:ext uri="{28A0092B-C50C-407E-A947-70E740481C1C}"/>
                      </a:extLst>
                    </a:blip>
                    <a:srcRect/>
                    <a:stretch>
                      <a:fillRect/>
                    </a:stretch>
                  </pic:blipFill>
                  <pic:spPr bwMode="auto">
                    <a:xfrm>
                      <a:off x="0" y="0"/>
                      <a:ext cx="1212215"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_______________ __, 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Signature: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-8890</wp:posOffset>
            </wp:positionV>
            <wp:extent cx="2286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3">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Address: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670750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37" w:right="660" w:bottom="1440" w:gutter="0" w:footer="0" w:header="0"/>
        </w:sectPr>
      </w:pPr>
    </w:p>
    <w:bookmarkStart w:id="262" w:name="page263"/>
    <w:bookmarkEnd w:id="262"/>
    <w:p>
      <w:pPr>
        <w:ind w:left="984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135890</wp:posOffset>
            </wp:positionV>
            <wp:extent cx="5182870" cy="10058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5">
                      <a:extLst>
                        <a:ext uri="{28A0092B-C50C-407E-A947-70E740481C1C}"/>
                      </a:extLst>
                    </a:blip>
                    <a:srcRect/>
                    <a:stretch>
                      <a:fillRect/>
                    </a:stretch>
                  </pic:blipFill>
                  <pic:spPr bwMode="auto">
                    <a:xfrm>
                      <a:off x="0" y="0"/>
                      <a:ext cx="5182870" cy="100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2468 Industrial Row Drive</w:t>
      </w:r>
    </w:p>
    <w:p>
      <w:pPr>
        <w:spacing w:after="0"/>
        <w:rPr>
          <w:sz w:val="20"/>
          <w:szCs w:val="20"/>
          <w:color w:val="auto"/>
        </w:rPr>
      </w:pPr>
      <w:r>
        <w:rPr>
          <w:rFonts w:ascii="Times New Roman" w:cs="Times New Roman" w:eastAsia="Times New Roman" w:hAnsi="Times New Roman"/>
          <w:sz w:val="16"/>
          <w:szCs w:val="16"/>
          <w:color w:val="auto"/>
        </w:rPr>
        <w:t>Troy, Michigan 48084</w:t>
      </w:r>
    </w:p>
    <w:p>
      <w:pPr>
        <w:spacing w:after="0" w:line="15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6"/>
          <w:szCs w:val="16"/>
          <w:b w:val="1"/>
          <w:bCs w:val="1"/>
          <w:i w:val="1"/>
          <w:iCs w:val="1"/>
          <w:color w:val="auto"/>
        </w:rPr>
        <w:t>Re:</w:t>
      </w:r>
      <w:r>
        <w:rPr>
          <w:sz w:val="20"/>
          <w:szCs w:val="20"/>
          <w:color w:val="auto"/>
        </w:rPr>
        <w:tab/>
      </w:r>
      <w:r>
        <w:rPr>
          <w:rFonts w:ascii="Times New Roman" w:cs="Times New Roman" w:eastAsia="Times New Roman" w:hAnsi="Times New Roman"/>
          <w:sz w:val="16"/>
          <w:szCs w:val="16"/>
          <w:b w:val="1"/>
          <w:bCs w:val="1"/>
          <w:i w:val="1"/>
          <w:iCs w:val="1"/>
          <w:color w:val="auto"/>
        </w:rPr>
        <w:t>Agrify Corporation/Registration Statement on Form S-1 (File No. 333-276724)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We have acted as special Nevada counsel to Agrify Corporation, a Nevada corporation (the “Company”), in connection with the issuance and sale by the Company of (a) up to 2,288,330 shares (the “Shares”) of the Company’s common stock, par value $0.001 per share (the “Common Stock”); (b) up to 2,288,330 pre-funded warrants (the “Pre-Funded Warrants”) to purchase and equal number of shares of Common Stock (the “Pre -Funded Warrant Shares”) with an exercise price equal to $0.001 per share; and (c) up to 45,767 warrants (the “Placement Agent Warrants”) to purchase an aggregate of 45,767 shares of Common Stock (the “Placement Agent Warrant Shares”) with an exercise price equal to $0.6555 per share. The Shares, the Pre-Funded Warrants, the Pre- Funded Warrant Shares, the Placement Agent Warrants, and the Placement Agent Warrant Shares are collectively referred to herein as the “Securities.” The Securities are being offered, sold, and issued under the terms of a Placement Agency Agreement (the “Placement Agreement”), to be entered into between the Company and Alexander Capital L.P., as placement agent, and the terms of a Subscription Agreement (the “Subscription Agreement”) to be entered into between the Company and the purchaser of the Shares and Pre-Funded Warrants.</w:t>
      </w:r>
    </w:p>
    <w:p>
      <w:pPr>
        <w:spacing w:after="0" w:line="158"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Securities are to be offered by the Company under a Registration Statement on Form S-1 (Registration No. 333-276724) (the “Registration Statement”) in accordance with the Securities Act of 1933, as amended (the “Securities Act”), as filed with the Securities and Exchange Commission (the “Commission”)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670750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-107950</wp:posOffset>
            </wp:positionV>
            <wp:extent cx="1143635" cy="922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7">
                      <a:extLst>
                        <a:ext uri="{28A0092B-C50C-407E-A947-70E740481C1C}"/>
                      </a:extLst>
                    </a:blip>
                    <a:srcRect/>
                    <a:stretch>
                      <a:fillRect/>
                    </a:stretch>
                  </pic:blipFill>
                  <pic:spPr bwMode="auto">
                    <a:xfrm>
                      <a:off x="0" y="0"/>
                      <a:ext cx="1143635" cy="922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purposes of these opinions, we have examined originals or copies, certified or otherwise identified to our satisfaction of:</w:t>
      </w:r>
    </w:p>
    <w:p>
      <w:pPr>
        <w:spacing w:after="0" w:line="176" w:lineRule="exact"/>
        <w:rPr>
          <w:sz w:val="20"/>
          <w:szCs w:val="20"/>
          <w:color w:val="auto"/>
        </w:rPr>
      </w:pPr>
    </w:p>
    <w:p>
      <w:pPr>
        <w:ind w:left="880" w:hanging="298"/>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w:t>
      </w:r>
    </w:p>
    <w:p>
      <w:pPr>
        <w:spacing w:after="0" w:line="176"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the Placement Agreement;</w:t>
      </w:r>
    </w:p>
    <w:p>
      <w:pPr>
        <w:spacing w:after="0" w:line="176"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Subscription Agreement;</w:t>
      </w:r>
    </w:p>
    <w:p>
      <w:pPr>
        <w:spacing w:after="0" w:line="176"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the Pre-Funded Warrants;</w:t>
      </w:r>
    </w:p>
    <w:p>
      <w:pPr>
        <w:spacing w:after="0" w:line="176" w:lineRule="exact"/>
        <w:rPr>
          <w:rFonts w:ascii="Times New Roman" w:cs="Times New Roman" w:eastAsia="Times New Roman" w:hAnsi="Times New Roman"/>
          <w:sz w:val="16"/>
          <w:szCs w:val="16"/>
          <w:color w:val="auto"/>
        </w:rPr>
      </w:pPr>
    </w:p>
    <w:p>
      <w:pPr>
        <w:ind w:left="880" w:hanging="298"/>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the Placement Agent Warrants; and</w:t>
      </w:r>
    </w:p>
    <w:p>
      <w:pPr>
        <w:spacing w:after="0" w:line="176"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7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resolutions of the Board of Directors and such other matters as relevant related to (i) the approval of the Placement Agreement and authorization of the Company to execute, deliver, and perform its obligations under the Placement Agreement and the Subscription Agreements, (ii) the issuance and registration of the Securities under the Securities Act, and (iii) such other matters as relevant.</w:t>
      </w:r>
    </w:p>
    <w:p>
      <w:pPr>
        <w:spacing w:after="0" w:line="152" w:lineRule="exact"/>
        <w:rPr>
          <w:sz w:val="20"/>
          <w:szCs w:val="20"/>
          <w:color w:val="auto"/>
        </w:rPr>
      </w:pPr>
    </w:p>
    <w:p>
      <w:pPr>
        <w:jc w:val="both"/>
        <w:ind w:right="20" w:firstLine="576"/>
        <w:spacing w:after="0" w:line="242" w:lineRule="auto"/>
        <w:rPr>
          <w:sz w:val="20"/>
          <w:szCs w:val="20"/>
          <w:color w:val="auto"/>
        </w:rPr>
      </w:pPr>
      <w:r>
        <w:rPr>
          <w:rFonts w:ascii="Times New Roman" w:cs="Times New Roman" w:eastAsia="Times New Roman" w:hAnsi="Times New Roman"/>
          <w:sz w:val="16"/>
          <w:szCs w:val="16"/>
          <w:color w:val="auto"/>
        </w:rPr>
        <w:t>We also have examined originals or copies, certified or otherwise identified to our satisfaction, of such records of the Company corporate charter documents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our examination, we have assumed:</w:t>
      </w:r>
    </w:p>
    <w:p>
      <w:pPr>
        <w:spacing w:after="0" w:line="158" w:lineRule="exact"/>
        <w:rPr>
          <w:sz w:val="20"/>
          <w:szCs w:val="20"/>
          <w:color w:val="auto"/>
        </w:rPr>
      </w:pPr>
    </w:p>
    <w:p>
      <w:pPr>
        <w:ind w:left="780" w:hanging="198"/>
        <w:spacing w:after="0"/>
        <w:tabs>
          <w:tab w:leader="none" w:pos="7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capacity of all natural persons executing the documents;</w:t>
      </w:r>
    </w:p>
    <w:p>
      <w:pPr>
        <w:spacing w:after="0" w:line="176" w:lineRule="exact"/>
        <w:rPr>
          <w:rFonts w:ascii="Times New Roman" w:cs="Times New Roman" w:eastAsia="Times New Roman" w:hAnsi="Times New Roman"/>
          <w:sz w:val="16"/>
          <w:szCs w:val="16"/>
          <w:color w:val="auto"/>
        </w:rPr>
      </w:pPr>
    </w:p>
    <w:p>
      <w:pPr>
        <w:ind w:left="800" w:hanging="218"/>
        <w:spacing w:after="0"/>
        <w:tabs>
          <w:tab w:leader="none" w:pos="8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genuineness of all signatures on the documents;</w:t>
      </w:r>
    </w:p>
    <w:p>
      <w:pPr>
        <w:spacing w:after="0" w:line="176"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authenticity of all documents submitted to us as originals, and the conformity to original documents of all documents submitted to us as copies or forms;</w:t>
      </w:r>
    </w:p>
    <w:p>
      <w:pPr>
        <w:spacing w:after="0" w:line="199" w:lineRule="exact"/>
        <w:rPr>
          <w:rFonts w:ascii="Times New Roman" w:cs="Times New Roman" w:eastAsia="Times New Roman" w:hAnsi="Times New Roman"/>
          <w:sz w:val="14"/>
          <w:szCs w:val="14"/>
          <w:color w:val="auto"/>
        </w:rPr>
      </w:pPr>
    </w:p>
    <w:p>
      <w:pPr>
        <w:ind w:left="800" w:hanging="218"/>
        <w:spacing w:after="0"/>
        <w:tabs>
          <w:tab w:leader="none" w:pos="8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parties to such documents, other than the Company, had the power, corporate or other, to enter into and perform all obligations thereunder; and</w:t>
      </w:r>
    </w:p>
    <w:p>
      <w:pPr>
        <w:spacing w:after="0" w:line="176"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with respect to the Company, the due authorization by all requisite action, corporate or other; and</w:t>
      </w:r>
    </w:p>
    <w:p>
      <w:pPr>
        <w:spacing w:after="0" w:line="176" w:lineRule="exact"/>
        <w:rPr>
          <w:rFonts w:ascii="Times New Roman" w:cs="Times New Roman" w:eastAsia="Times New Roman" w:hAnsi="Times New Roman"/>
          <w:sz w:val="16"/>
          <w:szCs w:val="16"/>
          <w:color w:val="auto"/>
        </w:rPr>
      </w:pPr>
    </w:p>
    <w:p>
      <w:pPr>
        <w:ind w:left="780" w:hanging="198"/>
        <w:spacing w:after="0"/>
        <w:tabs>
          <w:tab w:leader="none" w:pos="7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241935</wp:posOffset>
            </wp:positionV>
            <wp:extent cx="670750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5" w:right="660" w:bottom="1106"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-107950</wp:posOffset>
            </wp:positionV>
            <wp:extent cx="1143635" cy="922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9">
                      <a:extLst>
                        <a:ext uri="{28A0092B-C50C-407E-A947-70E740481C1C}"/>
                      </a:extLst>
                    </a:blip>
                    <a:srcRect/>
                    <a:stretch>
                      <a:fillRect/>
                    </a:stretch>
                  </pic:blipFill>
                  <pic:spPr bwMode="auto">
                    <a:xfrm>
                      <a:off x="0" y="0"/>
                      <a:ext cx="1143635" cy="922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We have relied upon the accuracy and completeness of the information, factual matters, representations, and warranties contained in such documents. The opinions expressed herein are subject to the effect of applicable bankruptcy, insolvency, reorganization, receivership, moratorium, fraudulent transfer, and other similar laws affecting the rights and remedies of creditors generally and the effect of general principles of equity.</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assumptions, limitations, and qualifications set forth herein, we are of the opinion that:</w:t>
      </w:r>
    </w:p>
    <w:p>
      <w:pPr>
        <w:spacing w:after="0" w:line="199" w:lineRule="exact"/>
        <w:rPr>
          <w:sz w:val="20"/>
          <w:szCs w:val="20"/>
          <w:color w:val="auto"/>
        </w:rPr>
      </w:pPr>
    </w:p>
    <w:p>
      <w:pPr>
        <w:ind w:right="20" w:firstLine="582"/>
        <w:spacing w:after="0" w:line="259" w:lineRule="auto"/>
        <w:tabs>
          <w:tab w:leader="none" w:pos="7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have been duly authorized, and when issued against payment in accordance with the terms of the Placement Agreement, will be validly issued, fully paid, and nonassessable;</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792"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Pre-Funded Warrant Shares have been duly authorized, and when issued upon exercise of the Pre-Funded Warrants in accordance with the terms thereof and the Company’s charter documents, including, without limitation, the payment in full of the applicable consideration, will be validly issued, fully paid, and non-assessable; and</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7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 Warrant Shares have been duly authorized, and when issued upon exercise of the Placement Agent Warrants in accordance with the terms thereof and the Company’s charter documents, including, without limitation, the payment in full of the applicable consideration, will be validly issued, fully paid, and non-assessable.</w:t>
      </w:r>
    </w:p>
    <w:p>
      <w:pPr>
        <w:spacing w:after="0" w:line="152"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While certain members of this firm are admitted to practice in certain jurisdictions other than Nevada, in rendering the foregoing opinions we have not examined the laws of any jurisdiction other than Nevada. The opinions we express herein are limited solely to the laws of the State of Nevada. We express no opinion regarding any state or federal securities laws, including any Nevada securities laws or regulations. We express no opinion regarding the effect of the laws of any other jurisdiction or state, including any federal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228600</wp:posOffset>
            </wp:positionV>
            <wp:extent cx="670750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-107950</wp:posOffset>
            </wp:positionV>
            <wp:extent cx="1143635" cy="922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1">
                      <a:extLst>
                        <a:ext uri="{28A0092B-C50C-407E-A947-70E740481C1C}"/>
                      </a:extLst>
                    </a:blip>
                    <a:srcRect/>
                    <a:stretch>
                      <a:fillRect/>
                    </a:stretch>
                  </pic:blipFill>
                  <pic:spPr bwMode="auto">
                    <a:xfrm>
                      <a:off x="0" y="0"/>
                      <a:ext cx="1143635" cy="922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We hereby consent to the use of this opinion letter as Exhibit 5.1 to the Registration Statement and to the use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7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 Sherman &amp; Howard L.L.C.</w:t>
      </w:r>
    </w:p>
    <w:p>
      <w:pPr>
        <w:spacing w:after="0" w:line="17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670750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4" w:name="page265"/>
    <w:bookmarkEnd w:id="264"/>
    <w:p>
      <w:pPr>
        <w:ind w:left="9840"/>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[Letterhead of Burns &amp; Levinson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2468 Industrial Row Drive</w:t>
      </w:r>
    </w:p>
    <w:p>
      <w:pPr>
        <w:spacing w:after="0"/>
        <w:rPr>
          <w:sz w:val="20"/>
          <w:szCs w:val="20"/>
          <w:color w:val="auto"/>
        </w:rPr>
      </w:pPr>
      <w:r>
        <w:rPr>
          <w:rFonts w:ascii="Times New Roman" w:cs="Times New Roman" w:eastAsia="Times New Roman" w:hAnsi="Times New Roman"/>
          <w:sz w:val="16"/>
          <w:szCs w:val="16"/>
          <w:color w:val="auto"/>
        </w:rPr>
        <w:t>Troy, Michigan 48084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Registration Statement on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have acted as counsel to 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preparation of a Registration Statement on Form S-1 (Registration No. 333-276724)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filed by the Company with the U.S.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on January 26, 2024, as amended on February 7, 2024 and February 14, 2024, with respect to the offer and sale of (a) 2,288,330 shares (the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of the Company’s common stock, par value $0.001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(b) pre-funded warrants (the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to purchase an aggregate of 2,288,330 shares of Common Stock (the “</w:t>
      </w:r>
      <w:r>
        <w:rPr>
          <w:rFonts w:ascii="Times New Roman" w:cs="Times New Roman" w:eastAsia="Times New Roman" w:hAnsi="Times New Roman"/>
          <w:sz w:val="16"/>
          <w:szCs w:val="16"/>
          <w:b w:val="1"/>
          <w:bCs w:val="1"/>
          <w:color w:val="auto"/>
        </w:rPr>
        <w:t>Pre-Funded Warrant Shares</w:t>
      </w:r>
      <w:r>
        <w:rPr>
          <w:rFonts w:ascii="Times New Roman" w:cs="Times New Roman" w:eastAsia="Times New Roman" w:hAnsi="Times New Roman"/>
          <w:sz w:val="16"/>
          <w:szCs w:val="16"/>
          <w:color w:val="auto"/>
        </w:rPr>
        <w:t xml:space="preserve"> ”), and (c) warrants issuable to the placement agent (the “</w:t>
      </w:r>
      <w:r>
        <w:rPr>
          <w:rFonts w:ascii="Times New Roman" w:cs="Times New Roman" w:eastAsia="Times New Roman" w:hAnsi="Times New Roman"/>
          <w:sz w:val="16"/>
          <w:szCs w:val="16"/>
          <w:b w:val="1"/>
          <w:bCs w:val="1"/>
          <w:color w:val="auto"/>
        </w:rPr>
        <w:t>Placement Agent Warrants</w:t>
      </w:r>
      <w:r>
        <w:rPr>
          <w:rFonts w:ascii="Times New Roman" w:cs="Times New Roman" w:eastAsia="Times New Roman" w:hAnsi="Times New Roman"/>
          <w:sz w:val="16"/>
          <w:szCs w:val="16"/>
          <w:color w:val="auto"/>
        </w:rPr>
        <w:t xml:space="preserve"> ” and, together with the Pre-Funded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to purchase an aggregate of 45,767 shares of Common Stock (the “</w:t>
      </w:r>
      <w:r>
        <w:rPr>
          <w:rFonts w:ascii="Times New Roman" w:cs="Times New Roman" w:eastAsia="Times New Roman" w:hAnsi="Times New Roman"/>
          <w:sz w:val="16"/>
          <w:szCs w:val="16"/>
          <w:b w:val="1"/>
          <w:bCs w:val="1"/>
          <w:color w:val="auto"/>
        </w:rPr>
        <w:t>Placement Agent Warrant Shares</w:t>
      </w:r>
      <w:r>
        <w:rPr>
          <w:rFonts w:ascii="Times New Roman" w:cs="Times New Roman" w:eastAsia="Times New Roman" w:hAnsi="Times New Roman"/>
          <w:sz w:val="16"/>
          <w:szCs w:val="16"/>
          <w:color w:val="auto"/>
        </w:rPr>
        <w:t xml:space="preserve"> ” and, together with the Pre-Funded Warrant Shares,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The Common Shares, Warrants and Warrant Shares are referred to herein collectively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The Securities are to be sold to purchasers as described in the Registration Statement and pursuant to subscription agreements referred to in the Registration Statement (collectively, the “</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We have assumed that the sale of the Securities by the Company and the exercise price of the Warrants will be at a price established by the Board of Directors of the Company or a duly -formed Pricing Committee thereof in accordance with applicable law that is at least the par value for each share of Common Stock being sold as part of the Securities and upon exercise of the Warrants. We have also assumed that: (i) the Warrant Shares will be properly delivered to the persons exercising the Warrants, and (ii) at the time of exercise of the Warrants, the consideration for the issuance and sale of the Common Stock in connection with such exercise is an amount that is not less than the par value of the Common Stock. With respect to the Warrant Shares, we express no opinion to the extent that future issuances of securities of the Company, including the Warrant Shares, may cause the Warrants to be exercisable for more shares of Common Stock than the number that then remain authorized but unissued and available for issuance.</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connection with this opinion, we have examined and relied upon the Registration Statement and the related prospectus, the Company’s Articles of Incorporation, as amended, the Company’s By-Laws, the Subscription Agreement, the Pre -Funded Warrants, the Placement Agent Warrants, and such instruments, documents, certificates and records that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due execution and delivery of all documents where due execution and delivery are a prerequisite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670750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Based upon the foregoing, we are of the opinion that when the Warrants have been offered, sold, issued, duly executed and delivered by the Company as described in the Registration Statement and the related prospectus, and in accordance with, and in the manner set forth in, the Subscription Agreement (including, without limitation, the payment in full of all applicable consideration therefor), against payment therefor, such Warrants will constitute binding obligations of the Company enforceable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w:t>
      </w:r>
    </w:p>
    <w:p>
      <w:pPr>
        <w:spacing w:after="0" w:line="15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This opinion is limited to the Commonwealth of Massachusetts, and we express no opinion with respect to the laws of any other jurisdiction. We have assumed, with the permission of the Company and without any independent investigation, that the law of New York is identical to that of the Commonwealth of Massachusetts as it relates to the Warrants. No opinion is expressed herein with respect to the qualification of the Shares under the securities or blue sky laws of any state or foreign jurisdiction.</w:t>
      </w:r>
    </w:p>
    <w:p>
      <w:pPr>
        <w:spacing w:after="0" w:line="11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hereby consent to the filing of this opinion as Exhibit 5.2 to the Registration Statement and to the reference to this firm under the caption “Legal Matters” in the Registration Statement.</w:t>
      </w:r>
    </w:p>
    <w:p>
      <w:pPr>
        <w:spacing w:after="0" w:line="14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 giving this consent, we do not admit that we are within the category of persons whose consent is required by Section 7 of the Securities Act or the rules and regulations promulgated thereunder by the Commission. 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15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7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 BURNS &amp; LEVINSON LLP</w:t>
      </w:r>
    </w:p>
    <w:p>
      <w:pPr>
        <w:spacing w:after="0" w:line="17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670750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INDEPENDENT REGISTERED PUBLIC ACCOUNTING FIRM’S CONSENT</w:t>
      </w:r>
    </w:p>
    <w:p>
      <w:pPr>
        <w:spacing w:after="0" w:line="17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consent to the inclusion in this Registration Statement of Agrify Corporation and Subsidiaries on Form S-1 Amendment No. 2 of our report dated November 27, 2023, which includes an explanatory paragraph as to Agrify Corporation and Subsidiaries ability to continue as a going concern, with respect to our audits of the consolidated financial statements of Agrify Corporation and Subsidiaries as of December 31, 2022 and 2021 and for the two years in the period ended December 31, 2022, which report appears in the Prospectus, which is part of this Registration Statement. We also consent to the reference to our Firm under the heading “Experts” in such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Marcum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Melville, NY</w:t>
      </w:r>
    </w:p>
    <w:p>
      <w:pPr>
        <w:spacing w:after="0"/>
        <w:rPr>
          <w:sz w:val="20"/>
          <w:szCs w:val="20"/>
          <w:color w:val="auto"/>
        </w:rPr>
      </w:pPr>
      <w:r>
        <w:rPr>
          <w:rFonts w:ascii="Times New Roman" w:cs="Times New Roman" w:eastAsia="Times New Roman" w:hAnsi="Times New Roman"/>
          <w:sz w:val="16"/>
          <w:szCs w:val="16"/>
          <w:color w:val="auto"/>
        </w:rPr>
        <w:t>February 14, 2024</w:t>
      </w:r>
    </w:p>
    <w:p>
      <w:pPr>
        <w:sectPr>
          <w:pgSz w:w="11900" w:h="16840" w:orient="portrait"/>
          <w:cols w:equalWidth="0" w:num="1">
            <w:col w:w="10580"/>
          </w:cols>
          <w:pgMar w:left="660" w:top="555" w:right="660" w:bottom="1440" w:gutter="0" w:footer="0" w:header="0"/>
        </w:sectPr>
      </w:pPr>
    </w:p>
    <w:bookmarkStart w:id="266" w:name="page267"/>
    <w:bookmarkEnd w:id="266"/>
    <w:p>
      <w:pPr>
        <w:ind w:left="962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Calculation of Filing Fee Tables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S-1/A</w:t>
      </w:r>
    </w:p>
    <w:p>
      <w:pPr>
        <w:spacing w:after="0" w:line="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w:t>
      </w: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w:t>
      </w: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Table 1: Newly Registered and Carry Forward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Fee</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08"/>
              <w:spacing w:after="0" w:line="147"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or Carry</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0" w:type="dxa"/>
            <w:vAlign w:val="bottom"/>
          </w:tcPr>
          <w:p>
            <w:pPr>
              <w:spacing w:after="0"/>
              <w:rPr>
                <w:sz w:val="14"/>
                <w:szCs w:val="14"/>
                <w:color w:val="auto"/>
              </w:rPr>
            </w:pPr>
          </w:p>
        </w:tc>
        <w:tc>
          <w:tcPr>
            <w:tcW w:w="2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Rule</w:t>
            </w:r>
          </w:p>
        </w:tc>
        <w:tc>
          <w:tcPr>
            <w:tcW w:w="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3"/>
                <w:szCs w:val="23"/>
                <w:b w:val="1"/>
                <w:bCs w:val="1"/>
                <w:color w:val="auto"/>
                <w:w w:val="95"/>
                <w:vertAlign w:val="superscript"/>
              </w:rPr>
              <w:t>(1)</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gridSpan w:val="7"/>
          </w:tcPr>
          <w:p>
            <w:pPr>
              <w:jc w:val="right"/>
              <w:ind w:right="880"/>
              <w:spacing w:after="0" w:line="156"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Fees Previously</w:t>
            </w:r>
          </w:p>
        </w:tc>
        <w:tc>
          <w:tcPr>
            <w:tcW w:w="8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Common Stock, par value $0.001</w:t>
            </w:r>
          </w:p>
        </w:tc>
        <w:tc>
          <w:tcPr>
            <w:tcW w:w="880" w:type="dxa"/>
            <w:vAlign w:val="bottom"/>
            <w:shd w:val="clear" w:color="auto" w:fill="CCEEFF"/>
          </w:tcPr>
          <w:p>
            <w:pPr>
              <w:jc w:val="center"/>
              <w:ind w:right="108"/>
              <w:spacing w:after="0" w:line="156" w:lineRule="exact"/>
              <w:rPr>
                <w:sz w:val="20"/>
                <w:szCs w:val="20"/>
                <w:color w:val="auto"/>
              </w:rPr>
            </w:pPr>
            <w:r>
              <w:rPr>
                <w:rFonts w:ascii="Times New Roman" w:cs="Times New Roman" w:eastAsia="Times New Roman" w:hAnsi="Times New Roman"/>
                <w:sz w:val="14"/>
                <w:szCs w:val="14"/>
                <w:color w:val="auto"/>
              </w:rPr>
              <w:t>Rule 457(o)</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Paid</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220"/>
              <w:spacing w:after="0" w:line="217" w:lineRule="exact"/>
              <w:rPr>
                <w:sz w:val="20"/>
                <w:szCs w:val="20"/>
                <w:color w:val="auto"/>
              </w:rPr>
            </w:pPr>
            <w:r>
              <w:rPr>
                <w:rFonts w:ascii="Times New Roman" w:cs="Times New Roman" w:eastAsia="Times New Roman" w:hAnsi="Times New Roman"/>
                <w:sz w:val="14"/>
                <w:szCs w:val="14"/>
                <w:color w:val="auto"/>
                <w:w w:val="94"/>
              </w:rPr>
              <w:t>per share</w:t>
            </w:r>
            <w:r>
              <w:rPr>
                <w:rFonts w:ascii="Times New Roman" w:cs="Times New Roman" w:eastAsia="Times New Roman" w:hAnsi="Times New Roman"/>
                <w:sz w:val="24"/>
                <w:szCs w:val="24"/>
                <w:color w:val="auto"/>
                <w:w w:val="94"/>
                <w:vertAlign w:val="superscript"/>
              </w:rPr>
              <w:t>(2)</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$147.60 per $1,000,000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Fees Previously</w:t>
            </w: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3"/>
                <w:szCs w:val="13"/>
                <w:color w:val="auto"/>
              </w:rPr>
            </w:pPr>
          </w:p>
        </w:tc>
        <w:tc>
          <w:tcPr>
            <w:tcW w:w="2280" w:type="dxa"/>
            <w:vAlign w:val="bottom"/>
            <w:gridSpan w:val="3"/>
          </w:tcPr>
          <w:p>
            <w:pPr>
              <w:jc w:val="center"/>
              <w:ind w:right="240"/>
              <w:spacing w:after="0" w:line="156" w:lineRule="exact"/>
              <w:rPr>
                <w:sz w:val="20"/>
                <w:szCs w:val="20"/>
                <w:color w:val="auto"/>
              </w:rPr>
            </w:pPr>
            <w:r>
              <w:rPr>
                <w:rFonts w:ascii="Times New Roman" w:cs="Times New Roman" w:eastAsia="Times New Roman" w:hAnsi="Times New Roman"/>
                <w:sz w:val="14"/>
                <w:szCs w:val="14"/>
                <w:color w:val="auto"/>
              </w:rPr>
              <w:t>Pre-Funded Warrants to purchase</w:t>
            </w:r>
          </w:p>
        </w:tc>
        <w:tc>
          <w:tcPr>
            <w:tcW w:w="880" w:type="dxa"/>
            <w:vAlign w:val="bottom"/>
          </w:tcPr>
          <w:p>
            <w:pPr>
              <w:jc w:val="center"/>
              <w:ind w:right="108"/>
              <w:spacing w:after="0" w:line="156" w:lineRule="exact"/>
              <w:rPr>
                <w:sz w:val="20"/>
                <w:szCs w:val="20"/>
                <w:color w:val="auto"/>
              </w:rPr>
            </w:pPr>
            <w:r>
              <w:rPr>
                <w:rFonts w:ascii="Times New Roman" w:cs="Times New Roman" w:eastAsia="Times New Roman" w:hAnsi="Times New Roman"/>
                <w:sz w:val="14"/>
                <w:szCs w:val="14"/>
                <w:color w:val="auto"/>
              </w:rPr>
              <w:t>Rule 457(g)</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5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2"/>
                <w:szCs w:val="12"/>
                <w:color w:val="auto"/>
              </w:rPr>
              <w:t>(4)</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Paid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3"/>
          </w:tcPr>
          <w:p>
            <w:pPr>
              <w:jc w:val="center"/>
              <w:ind w:right="220"/>
              <w:spacing w:after="0" w:line="217" w:lineRule="exact"/>
              <w:rPr>
                <w:sz w:val="20"/>
                <w:szCs w:val="20"/>
                <w:color w:val="auto"/>
              </w:rPr>
            </w:pPr>
            <w:r>
              <w:rPr>
                <w:rFonts w:ascii="Times New Roman" w:cs="Times New Roman" w:eastAsia="Times New Roman" w:hAnsi="Times New Roman"/>
                <w:sz w:val="14"/>
                <w:szCs w:val="14"/>
                <w:color w:val="auto"/>
                <w:w w:val="94"/>
              </w:rPr>
              <w:t>Common Stock</w:t>
            </w:r>
            <w:r>
              <w:rPr>
                <w:rFonts w:ascii="Times New Roman" w:cs="Times New Roman" w:eastAsia="Times New Roman" w:hAnsi="Times New Roman"/>
                <w:sz w:val="24"/>
                <w:szCs w:val="24"/>
                <w:color w:val="auto"/>
                <w:w w:val="94"/>
                <w:vertAlign w:val="superscript"/>
              </w:rPr>
              <w:t>(2)(3)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Fees Previously</w:t>
            </w:r>
          </w:p>
        </w:tc>
        <w:tc>
          <w:tcPr>
            <w:tcW w:w="8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jc w:val="center"/>
              <w:ind w:right="240"/>
              <w:spacing w:after="0" w:line="156" w:lineRule="exact"/>
              <w:rPr>
                <w:sz w:val="20"/>
                <w:szCs w:val="20"/>
                <w:color w:val="auto"/>
              </w:rPr>
            </w:pPr>
            <w:r>
              <w:rPr>
                <w:rFonts w:ascii="Times New Roman" w:cs="Times New Roman" w:eastAsia="Times New Roman" w:hAnsi="Times New Roman"/>
                <w:sz w:val="14"/>
                <w:szCs w:val="14"/>
                <w:color w:val="auto"/>
              </w:rPr>
              <w:t>Common Stock issuable upon</w:t>
            </w:r>
          </w:p>
        </w:tc>
        <w:tc>
          <w:tcPr>
            <w:tcW w:w="880" w:type="dxa"/>
            <w:vAlign w:val="bottom"/>
            <w:shd w:val="clear" w:color="auto" w:fill="CCEEFF"/>
          </w:tcPr>
          <w:p>
            <w:pPr>
              <w:jc w:val="center"/>
              <w:ind w:right="108"/>
              <w:spacing w:after="0" w:line="156" w:lineRule="exact"/>
              <w:rPr>
                <w:sz w:val="20"/>
                <w:szCs w:val="20"/>
                <w:color w:val="auto"/>
              </w:rPr>
            </w:pPr>
            <w:r>
              <w:rPr>
                <w:rFonts w:ascii="Times New Roman" w:cs="Times New Roman" w:eastAsia="Times New Roman" w:hAnsi="Times New Roman"/>
                <w:sz w:val="14"/>
                <w:szCs w:val="14"/>
                <w:color w:val="auto"/>
              </w:rPr>
              <w:t>Rule 457(o)</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Paid</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right="240"/>
              <w:spacing w:after="0" w:line="217" w:lineRule="exact"/>
              <w:rPr>
                <w:sz w:val="20"/>
                <w:szCs w:val="20"/>
                <w:color w:val="auto"/>
              </w:rPr>
            </w:pPr>
            <w:r>
              <w:rPr>
                <w:rFonts w:ascii="Times New Roman" w:cs="Times New Roman" w:eastAsia="Times New Roman" w:hAnsi="Times New Roman"/>
                <w:sz w:val="14"/>
                <w:szCs w:val="14"/>
                <w:color w:val="auto"/>
              </w:rPr>
              <w:t>exercise of Pre-Funded Warrants</w:t>
            </w:r>
            <w:r>
              <w:rPr>
                <w:rFonts w:ascii="Times New Roman" w:cs="Times New Roman" w:eastAsia="Times New Roman" w:hAnsi="Times New Roman"/>
                <w:sz w:val="24"/>
                <w:szCs w:val="24"/>
                <w:color w:val="auto"/>
                <w:vertAlign w:val="superscript"/>
              </w:rPr>
              <w:t>(2)</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1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Fees Previously</w:t>
            </w: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3"/>
                <w:szCs w:val="13"/>
                <w:color w:val="auto"/>
              </w:rPr>
            </w:pPr>
          </w:p>
        </w:tc>
        <w:tc>
          <w:tcPr>
            <w:tcW w:w="2280" w:type="dxa"/>
            <w:vAlign w:val="bottom"/>
            <w:gridSpan w:val="3"/>
          </w:tcPr>
          <w:p>
            <w:pPr>
              <w:jc w:val="center"/>
              <w:ind w:right="240"/>
              <w:spacing w:after="0" w:line="156" w:lineRule="exact"/>
              <w:rPr>
                <w:sz w:val="20"/>
                <w:szCs w:val="20"/>
                <w:color w:val="auto"/>
              </w:rPr>
            </w:pPr>
            <w:r>
              <w:rPr>
                <w:rFonts w:ascii="Times New Roman" w:cs="Times New Roman" w:eastAsia="Times New Roman" w:hAnsi="Times New Roman"/>
                <w:sz w:val="16"/>
                <w:szCs w:val="16"/>
                <w:color w:val="auto"/>
                <w:w w:val="97"/>
              </w:rPr>
              <w:t>Placement Agent Warrants to</w:t>
            </w:r>
          </w:p>
        </w:tc>
        <w:tc>
          <w:tcPr>
            <w:tcW w:w="880" w:type="dxa"/>
            <w:vAlign w:val="bottom"/>
          </w:tcPr>
          <w:p>
            <w:pPr>
              <w:jc w:val="center"/>
              <w:ind w:right="108"/>
              <w:spacing w:after="0" w:line="156" w:lineRule="exact"/>
              <w:rPr>
                <w:sz w:val="20"/>
                <w:szCs w:val="20"/>
                <w:color w:val="auto"/>
              </w:rPr>
            </w:pPr>
            <w:r>
              <w:rPr>
                <w:rFonts w:ascii="Times New Roman" w:cs="Times New Roman" w:eastAsia="Times New Roman" w:hAnsi="Times New Roman"/>
                <w:sz w:val="14"/>
                <w:szCs w:val="14"/>
                <w:color w:val="auto"/>
              </w:rPr>
              <w:t>Rule 457(g)</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5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2"/>
                <w:szCs w:val="12"/>
                <w:color w:val="auto"/>
              </w:rPr>
              <w:t>(4)</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Paid</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gridSpan w:val="3"/>
          </w:tcPr>
          <w:p>
            <w:pPr>
              <w:jc w:val="center"/>
              <w:ind w:right="240"/>
              <w:spacing w:after="0" w:line="240" w:lineRule="exact"/>
              <w:rPr>
                <w:sz w:val="20"/>
                <w:szCs w:val="20"/>
                <w:color w:val="auto"/>
              </w:rPr>
            </w:pPr>
            <w:r>
              <w:rPr>
                <w:rFonts w:ascii="Times New Roman" w:cs="Times New Roman" w:eastAsia="Times New Roman" w:hAnsi="Times New Roman"/>
                <w:sz w:val="16"/>
                <w:szCs w:val="16"/>
                <w:color w:val="auto"/>
                <w:w w:val="94"/>
              </w:rPr>
              <w:t>purchase Common Stock</w:t>
            </w:r>
            <w:r>
              <w:rPr>
                <w:rFonts w:ascii="Times New Roman" w:cs="Times New Roman" w:eastAsia="Times New Roman" w:hAnsi="Times New Roman"/>
                <w:sz w:val="26"/>
                <w:szCs w:val="26"/>
                <w:color w:val="auto"/>
                <w:w w:val="94"/>
                <w:vertAlign w:val="superscript"/>
              </w:rPr>
              <w:t>(2)</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Fees Previously</w:t>
            </w:r>
          </w:p>
        </w:tc>
        <w:tc>
          <w:tcPr>
            <w:tcW w:w="8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jc w:val="center"/>
              <w:ind w:right="220"/>
              <w:spacing w:after="0" w:line="156" w:lineRule="exact"/>
              <w:rPr>
                <w:sz w:val="20"/>
                <w:szCs w:val="20"/>
                <w:color w:val="auto"/>
              </w:rPr>
            </w:pPr>
            <w:r>
              <w:rPr>
                <w:rFonts w:ascii="Times New Roman" w:cs="Times New Roman" w:eastAsia="Times New Roman" w:hAnsi="Times New Roman"/>
                <w:sz w:val="16"/>
                <w:szCs w:val="16"/>
                <w:color w:val="auto"/>
                <w:w w:val="97"/>
              </w:rPr>
              <w:t>Common Stock issuable upon</w:t>
            </w:r>
          </w:p>
        </w:tc>
        <w:tc>
          <w:tcPr>
            <w:tcW w:w="880" w:type="dxa"/>
            <w:vAlign w:val="bottom"/>
            <w:shd w:val="clear" w:color="auto" w:fill="CCEEFF"/>
          </w:tcPr>
          <w:p>
            <w:pPr>
              <w:jc w:val="center"/>
              <w:ind w:right="108"/>
              <w:spacing w:after="0" w:line="156" w:lineRule="exact"/>
              <w:rPr>
                <w:sz w:val="20"/>
                <w:szCs w:val="20"/>
                <w:color w:val="auto"/>
              </w:rPr>
            </w:pPr>
            <w:r>
              <w:rPr>
                <w:rFonts w:ascii="Times New Roman" w:cs="Times New Roman" w:eastAsia="Times New Roman" w:hAnsi="Times New Roman"/>
                <w:sz w:val="14"/>
                <w:szCs w:val="14"/>
                <w:color w:val="auto"/>
              </w:rPr>
              <w:t>Rule 457(o)</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Paid</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exercise of Placement Agent</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80" w:type="dxa"/>
            <w:vAlign w:val="bottom"/>
            <w:gridSpan w:val="3"/>
            <w:shd w:val="clear" w:color="auto" w:fill="CCEEFF"/>
          </w:tcPr>
          <w:p>
            <w:pPr>
              <w:jc w:val="center"/>
              <w:ind w:right="220"/>
              <w:spacing w:after="0" w:line="228" w:lineRule="exact"/>
              <w:rPr>
                <w:sz w:val="20"/>
                <w:szCs w:val="20"/>
                <w:color w:val="auto"/>
              </w:rPr>
            </w:pPr>
            <w:r>
              <w:rPr>
                <w:rFonts w:ascii="Times New Roman" w:cs="Times New Roman" w:eastAsia="Times New Roman" w:hAnsi="Times New Roman"/>
                <w:sz w:val="16"/>
                <w:szCs w:val="16"/>
                <w:color w:val="auto"/>
                <w:w w:val="93"/>
              </w:rPr>
              <w:t>Warrants</w:t>
            </w:r>
            <w:r>
              <w:rPr>
                <w:rFonts w:ascii="Times New Roman" w:cs="Times New Roman" w:eastAsia="Times New Roman" w:hAnsi="Times New Roman"/>
                <w:sz w:val="26"/>
                <w:szCs w:val="26"/>
                <w:color w:val="auto"/>
                <w:w w:val="93"/>
                <w:vertAlign w:val="superscript"/>
              </w:rPr>
              <w:t>(2)</w:t>
            </w: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$147.60 per $1,000,000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jc w:val="center"/>
              <w:ind w:left="686"/>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3,030,000</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top w:val="single" w:sz="8" w:color="CCEEFF"/>
              <w:bottom w:val="single" w:sz="8" w:color="CCEEFF"/>
            </w:tcBorders>
          </w:tcPr>
          <w:p>
            <w:pPr>
              <w:spacing w:after="0"/>
              <w:rPr>
                <w:sz w:val="14"/>
                <w:szCs w:val="14"/>
                <w:color w:val="auto"/>
              </w:rPr>
            </w:pPr>
          </w:p>
        </w:tc>
        <w:tc>
          <w:tcPr>
            <w:tcW w:w="82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3160" w:type="dxa"/>
            <w:vAlign w:val="bottom"/>
            <w:tcBorders>
              <w:top w:val="single" w:sz="8" w:color="CCEEFF"/>
              <w:bottom w:val="single" w:sz="8" w:color="CCEEFF"/>
            </w:tcBorders>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72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6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447.23</w:t>
            </w:r>
          </w:p>
        </w:tc>
        <w:tc>
          <w:tcPr>
            <w:tcW w:w="4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gridSpan w:val="3"/>
            <w:shd w:val="clear" w:color="auto" w:fill="CCEEFF"/>
          </w:tcPr>
          <w:p>
            <w:pPr>
              <w:jc w:val="center"/>
              <w:ind w:left="706"/>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8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3"/>
          </w:tcPr>
          <w:p>
            <w:pPr>
              <w:jc w:val="center"/>
              <w:ind w:left="706"/>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right="20" w:hanging="294"/>
        <w:spacing w:after="0" w:line="246" w:lineRule="auto"/>
        <w:tabs>
          <w:tab w:leader="none" w:pos="30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amount of the registration fee in accordance with Rule 457(i) and Rule 457(o) under the Securities Act of 1933 (the “Securities Act”).</w:t>
      </w:r>
    </w:p>
    <w:p>
      <w:pPr>
        <w:ind w:left="300" w:hanging="294"/>
        <w:spacing w:after="0" w:line="234" w:lineRule="auto"/>
        <w:tabs>
          <w:tab w:leader="none" w:pos="30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there are also being registered such indeterminate number of additional securities as may be issued to prevent dilution resulting from share splits, share dividends or similar transactions.</w:t>
      </w:r>
    </w:p>
    <w:p>
      <w:pPr>
        <w:spacing w:after="0" w:line="1" w:lineRule="exact"/>
        <w:rPr>
          <w:rFonts w:ascii="Times New Roman" w:cs="Times New Roman" w:eastAsia="Times New Roman" w:hAnsi="Times New Roman"/>
          <w:sz w:val="16"/>
          <w:szCs w:val="16"/>
          <w:color w:val="auto"/>
        </w:rPr>
      </w:pPr>
    </w:p>
    <w:p>
      <w:pPr>
        <w:jc w:val="both"/>
        <w:ind w:left="300" w:right="20" w:hanging="294"/>
        <w:spacing w:after="0" w:line="234" w:lineRule="auto"/>
        <w:tabs>
          <w:tab w:leader="none" w:pos="30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may issue Pre-Funded Warrants in lieu of shares of Common Stock in the offering. The purchase price of each Pre-Funded Warrant will equal the price per share at which shares of Common Stock are being sold to the public in this offering, minus $0.001, which constitutes the pre-funded portion of the exercise price of the Pre-Funded Warrants, and the remaining unpaid exercise price of the Pre-Funded Warrants will equal $0.001 per share (subject to adjustment as provided for therein). The proposed maximum aggregate offering price of the Pre-Funded Warrants will be reduced on a dollar-for-dollar basis based on the offering price of any shares of Common Stock issued in the offering, and the proposed maximum aggregate offering price of the Pre-Funded Warrants will be reduced on a dollar-for-dollar basis based on the offering price of any shares of Common Stock issued in the offering. Accordingly, the proposed maximum aggregate offering price of the Common Stock and Pre-Funded Warrants is $3,000,000.</w:t>
      </w:r>
    </w:p>
    <w:p>
      <w:pPr>
        <w:spacing w:after="0" w:line="4"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separate registration fee required pursuant to Rule 457(g).</w:t>
      </w:r>
    </w:p>
    <w:p>
      <w:pPr>
        <w:sectPr>
          <w:pgSz w:w="11900" w:h="16840" w:orient="portrait"/>
          <w:cols w:equalWidth="0" w:num="1">
            <w:col w:w="10580"/>
          </w:cols>
          <w:pgMar w:left="660" w:top="554" w:right="660" w:bottom="1440" w:gutter="0" w:footer="0" w:header="0"/>
        </w:sectPr>
      </w:pPr>
    </w:p>
    <w:bookmarkStart w:id="267" w:name="page268"/>
    <w:bookmarkEnd w:id="26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lowerRoman"/>
      <w:start w:val="2"/>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1)"/>
      <w:numFmt w:val="lowerRoman"/>
      <w:start w:val="2"/>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1)"/>
      <w:numFmt w:val="decimal"/>
      <w:start w:val="3"/>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1)"/>
      <w:numFmt w:val="decimal"/>
      <w:start w:val="1"/>
    </w:lvl>
  </w:abstractNum>
  <w:abstractNum w:abstractNumId="32">
    <w:nsid w:val="76272110"/>
    <w:multiLevelType w:val="hybridMultilevel"/>
    <w:lvl w:ilvl="0">
      <w:lvlJc w:val="left"/>
      <w:lvlText w:val="(%1)"/>
      <w:numFmt w:val="decimal"/>
      <w:start w:val="1"/>
    </w:lvl>
  </w:abstractNum>
  <w:abstractNum w:abstractNumId="33">
    <w:nsid w:val="4C04A8AF"/>
    <w:multiLevelType w:val="hybridMultilevel"/>
    <w:lvl w:ilvl="0">
      <w:lvlJc w:val="left"/>
      <w:lvlText w:val="(%1)"/>
      <w:numFmt w:val="decimal"/>
      <w:start w:val="1"/>
    </w:lvl>
  </w:abstractNum>
  <w:abstractNum w:abstractNumId="34">
    <w:nsid w:val="1716703B"/>
    <w:multiLevelType w:val="hybridMultilevel"/>
    <w:lvl w:ilvl="0">
      <w:lvlJc w:val="left"/>
      <w:lvlText w:val="(%1)"/>
      <w:numFmt w:val="decimal"/>
      <w:start w:val="1"/>
    </w:lvl>
  </w:abstractNum>
  <w:abstractNum w:abstractNumId="35">
    <w:nsid w:val="14E17E33"/>
    <w:multiLevelType w:val="hybridMultilevel"/>
    <w:lvl w:ilvl="0">
      <w:lvlJc w:val="left"/>
      <w:lvlText w:val="(%1)"/>
      <w:numFmt w:val="decimal"/>
      <w:start w:val="2"/>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1)"/>
      <w:numFmt w:val="decimal"/>
      <w:start w:val="1"/>
    </w:lvl>
    <w:lvl w:ilvl="1">
      <w:lvlJc w:val="left"/>
      <w:lvlText w:val="(%2)"/>
      <w:numFmt w:val="lowerLetter"/>
      <w:start w:val="1"/>
    </w:lvl>
  </w:abstractNum>
  <w:abstractNum w:abstractNumId="38">
    <w:nsid w:val="68EBC550"/>
    <w:multiLevelType w:val="hybridMultilevel"/>
    <w:lvl w:ilvl="0">
      <w:lvlJc w:val="left"/>
      <w:lvlText w:val="(%1)"/>
      <w:numFmt w:val="decimal"/>
      <w:start w:val="4"/>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a"/>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1)"/>
      <w:numFmt w:val="lowerRoman"/>
      <w:start w:val="4"/>
    </w:lvl>
  </w:abstractNum>
  <w:abstractNum w:abstractNumId="55">
    <w:nsid w:val="6AA78F7F"/>
    <w:multiLevelType w:val="hybridMultilevel"/>
    <w:lvl w:ilvl="0">
      <w:lvlJc w:val="left"/>
      <w:lvlText w:val="(%1)"/>
      <w:numFmt w:val="decimal"/>
      <w:start w:val="2"/>
    </w:lvl>
  </w:abstractNum>
  <w:abstractNum w:abstractNumId="56">
    <w:nsid w:val="7672BD23"/>
    <w:multiLevelType w:val="hybridMultilevel"/>
    <w:lvl w:ilvl="0">
      <w:lvlJc w:val="left"/>
      <w:lvlText w:val="(%1)"/>
      <w:numFmt w:val="lowerRoman"/>
      <w:start w:val="1"/>
    </w:lvl>
  </w:abstractNum>
  <w:abstractNum w:abstractNumId="57">
    <w:nsid w:val="6FC75AF8"/>
    <w:multiLevelType w:val="hybridMultilevel"/>
    <w:lvl w:ilvl="0">
      <w:lvlJc w:val="left"/>
      <w:lvlText w:val="(%1)"/>
      <w:numFmt w:val="lowerRoman"/>
      <w:start w:val="2"/>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1)"/>
      <w:numFmt w:val="lowerRoman"/>
      <w:start w:val="4"/>
    </w:lvl>
  </w:abstractNum>
  <w:abstractNum w:abstractNumId="66">
    <w:nsid w:val="6A3DD3E8"/>
    <w:multiLevelType w:val="hybridMultilevel"/>
    <w:lvl w:ilvl="0">
      <w:lvlJc w:val="left"/>
      <w:lvlText w:val="(%1)"/>
      <w:numFmt w:val="lowerLetter"/>
      <w:start w:val="1"/>
    </w:lvl>
  </w:abstractNum>
  <w:abstractNum w:abstractNumId="67">
    <w:nsid w:val="71C91298"/>
    <w:multiLevelType w:val="hybridMultilevel"/>
    <w:lvl w:ilvl="0">
      <w:lvlJc w:val="left"/>
      <w:lvlText w:val="(%1)"/>
      <w:numFmt w:val="lowerLetter"/>
      <w:start w:val="3"/>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1)"/>
      <w:numFmt w:val="lowerRoman"/>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emdash "/>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emdash "/>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1)"/>
      <w:numFmt w:val="lowerRoman"/>
      <w:start w:val="1"/>
    </w:lvl>
  </w:abstractNum>
  <w:abstractNum w:abstractNumId="83">
    <w:nsid w:val="23D86AAC"/>
    <w:multiLevelType w:val="hybridMultilevel"/>
    <w:lvl w:ilvl="0">
      <w:lvlJc w:val="left"/>
      <w:lvlText w:val="(%1)"/>
      <w:numFmt w:val="decimal"/>
      <w:start w:val="1"/>
    </w:lvl>
  </w:abstractNum>
  <w:abstractNum w:abstractNumId="84">
    <w:nsid w:val="45E6D486"/>
    <w:multiLevelType w:val="hybridMultilevel"/>
    <w:lvl w:ilvl="0">
      <w:lvlJc w:val="left"/>
      <w:lvlText w:val="(%1)"/>
      <w:numFmt w:val="decimal"/>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1)"/>
      <w:numFmt w:val="decimal"/>
      <w:start w:val="1"/>
    </w:lvl>
  </w:abstractNum>
  <w:abstractNum w:abstractNumId="88">
    <w:nsid w:val="4BD8591A"/>
    <w:multiLevelType w:val="hybridMultilevel"/>
    <w:lvl w:ilvl="0">
      <w:lvlJc w:val="left"/>
      <w:lvlText w:val="\emdash "/>
      <w:numFmt w:val="bullet"/>
      <w:start w:val="1"/>
    </w:lvl>
  </w:abstractNum>
  <w:abstractNum w:abstractNumId="89">
    <w:nsid w:val="78DF6A55"/>
    <w:multiLevelType w:val="hybridMultilevel"/>
    <w:lvl w:ilvl="0">
      <w:lvlJc w:val="left"/>
      <w:lvlText w:val="%1"/>
      <w:numFmt w:val="upperLetter"/>
      <w:start w:val="68"/>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emdash "/>
      <w:numFmt w:val="bullet"/>
      <w:start w:val="1"/>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1"/>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1)"/>
      <w:numFmt w:val="lowerRoman"/>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emdash "/>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1)"/>
      <w:numFmt w:val="lowerRoman"/>
      <w:start w:val="1"/>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1)"/>
      <w:numFmt w:val="decimal"/>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upperLetter"/>
      <w:start w:val="68"/>
    </w:lvl>
  </w:abstractNum>
  <w:abstractNum w:abstractNumId="110">
    <w:nsid w:val="519E3149"/>
    <w:multiLevelType w:val="hybridMultilevel"/>
    <w:lvl w:ilvl="0">
      <w:lvlJc w:val="left"/>
      <w:lvlText w:val="\emdash "/>
      <w:numFmt w:val="bullet"/>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5"/>
    </w:lvl>
  </w:abstractNum>
  <w:abstractNum w:abstractNumId="113">
    <w:nsid w:val="4DF72E4E"/>
    <w:multiLevelType w:val="hybridMultilevel"/>
    <w:lvl w:ilvl="0">
      <w:lvlJc w:val="left"/>
      <w:lvlText w:val="(%1)"/>
      <w:numFmt w:val="decimal"/>
      <w:start w:val="11"/>
    </w:lvl>
  </w:abstractNum>
  <w:abstractNum w:abstractNumId="114">
    <w:nsid w:val="5046B5A9"/>
    <w:multiLevelType w:val="hybridMultilevel"/>
    <w:lvl w:ilvl="0">
      <w:lvlJc w:val="left"/>
      <w:lvlText w:val="(%1)"/>
      <w:numFmt w:val="lowerLetter"/>
      <w:start w:val="1"/>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1)"/>
      <w:numFmt w:val="lowerRoman"/>
      <w:start w:val="2"/>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upperLetter"/>
      <w:start w:val="1"/>
    </w:lvl>
    <w:lvl w:ilvl="1">
      <w:lvlJc w:val="left"/>
      <w:lvlText w:val="%2)"/>
      <w:numFmt w:val="lowerLetter"/>
      <w:start w:val="2"/>
    </w:lvl>
  </w:abstractNum>
  <w:abstractNum w:abstractNumId="121">
    <w:nsid w:val="5399C654"/>
    <w:multiLevelType w:val="hybridMultilevel"/>
    <w:lvl w:ilvl="0">
      <w:lvlJc w:val="left"/>
      <w:lvlText w:val="(%1)"/>
      <w:numFmt w:val="upperLetter"/>
      <w:start w:val="1"/>
    </w:lvl>
    <w:lvl w:ilvl="1">
      <w:lvlJc w:val="left"/>
      <w:lvlText w:val="%2"/>
      <w:numFmt w:val="lowerLetter"/>
      <w:start w:val="1"/>
    </w:lvl>
  </w:abstractNum>
  <w:abstractNum w:abstractNumId="122">
    <w:nsid w:val="20EE1348"/>
    <w:multiLevelType w:val="hybridMultilevel"/>
    <w:lvl w:ilvl="0">
      <w:lvlJc w:val="left"/>
      <w:lvlText w:val="(%1)"/>
      <w:numFmt w:val="upperLetter"/>
      <w:start w:val="24"/>
    </w:lvl>
  </w:abstractNum>
  <w:abstractNum w:abstractNumId="123">
    <w:nsid w:val="4427069A"/>
    <w:multiLevelType w:val="hybridMultilevel"/>
    <w:lvl w:ilvl="0">
      <w:lvlJc w:val="left"/>
      <w:lvlText w:val="%1)"/>
      <w:numFmt w:val="lowerLetter"/>
      <w:start w:val="4"/>
    </w:lvl>
    <w:lvl w:ilvl="1">
      <w:lvlJc w:val="left"/>
      <w:lvlText w:val="(%2)"/>
      <w:numFmt w:val="upperLetter"/>
    </w:lvl>
    <w:lvl w:ilvl="2">
      <w:lvlJc w:val="left"/>
      <w:lvlText w:val="%3."/>
      <w:numFmt w:val="lowerRoman"/>
      <w:start w:val="1"/>
    </w:lvl>
  </w:abstractNum>
  <w:abstractNum w:abstractNumId="124">
    <w:nsid w:val="B37E80A"/>
    <w:multiLevelType w:val="hybridMultilevel"/>
    <w:lvl w:ilvl="0">
      <w:lvlJc w:val="left"/>
      <w:lvlText w:val="%1."/>
      <w:numFmt w:val="lowerRoman"/>
      <w:start w:val="2"/>
    </w:lvl>
  </w:abstractNum>
  <w:abstractNum w:abstractNumId="125">
    <w:nsid w:val="2157F6BC"/>
    <w:multiLevelType w:val="hybridMultilevel"/>
    <w:lvl w:ilvl="0">
      <w:lvlJc w:val="left"/>
      <w:lvlText w:val="%1."/>
      <w:numFmt w:val="lowerRoman"/>
      <w:start w:val="3"/>
    </w:lvl>
  </w:abstractNum>
  <w:abstractNum w:abstractNumId="126">
    <w:nsid w:val="704E1DD5"/>
    <w:multiLevelType w:val="hybridMultilevel"/>
    <w:lvl w:ilvl="0">
      <w:lvlJc w:val="left"/>
      <w:lvlText w:val="%1)"/>
      <w:numFmt w:val="lowerLetter"/>
      <w:start w:val="5"/>
    </w:lvl>
  </w:abstractNum>
  <w:abstractNum w:abstractNumId="127">
    <w:nsid w:val="57D2F10E"/>
    <w:multiLevelType w:val="hybridMultilevel"/>
    <w:lvl w:ilvl="0">
      <w:lvlJc w:val="left"/>
      <w:lvlText w:val="%1)"/>
      <w:numFmt w:val="lowerLetter"/>
      <w:start w:val="2"/>
    </w:lvl>
  </w:abstractNum>
  <w:abstractNum w:abstractNumId="128">
    <w:nsid w:val="BFFAE18"/>
    <w:multiLevelType w:val="hybridMultilevel"/>
    <w:lvl w:ilvl="0">
      <w:lvlJc w:val="left"/>
      <w:lvlText w:val="%1)"/>
      <w:numFmt w:val="lowerLetter"/>
      <w:start w:val="5"/>
    </w:lvl>
    <w:lvl w:ilvl="1">
      <w:lvlJc w:val="left"/>
      <w:lvlText w:val="%2."/>
      <w:numFmt w:val="lowerRoman"/>
      <w:start w:val="1"/>
    </w:lvl>
  </w:abstractNum>
  <w:abstractNum w:abstractNumId="129">
    <w:nsid w:val="E3E47A8"/>
    <w:multiLevelType w:val="hybridMultilevel"/>
    <w:lvl w:ilvl="0">
      <w:lvlJc w:val="left"/>
      <w:lvlText w:val="%1)"/>
      <w:numFmt w:val="lowerLetter"/>
      <w:start w:val="1"/>
    </w:lvl>
    <w:lvl w:ilvl="1">
      <w:lvlJc w:val="left"/>
      <w:lvlText w:val="(%2)"/>
      <w:numFmt w:val="lowerRoman"/>
      <w:start w:val="1"/>
    </w:lvl>
  </w:abstractNum>
  <w:abstractNum w:abstractNumId="130">
    <w:nsid w:val="2E48F044"/>
    <w:multiLevelType w:val="hybridMultilevel"/>
    <w:lvl w:ilvl="0">
      <w:lvlJc w:val="left"/>
      <w:lvlText w:val="%1)"/>
      <w:numFmt w:val="lowerLetter"/>
      <w:start w:val="2"/>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lowerLetter"/>
      <w:start w:val="2"/>
    </w:lvl>
  </w:abstractNum>
  <w:abstractNum w:abstractNumId="133">
    <w:nsid w:val="5551B9F3"/>
    <w:multiLevelType w:val="hybridMultilevel"/>
    <w:lvl w:ilvl="0">
      <w:lvlJc w:val="left"/>
      <w:lvlText w:val="%1)"/>
      <w:numFmt w:val="lowerLetter"/>
      <w:start w:val="6"/>
    </w:lvl>
  </w:abstractNum>
  <w:abstractNum w:abstractNumId="134">
    <w:nsid w:val="24F6AB8E"/>
    <w:multiLevelType w:val="hybridMultilevel"/>
    <w:lvl w:ilvl="0">
      <w:lvlJc w:val="left"/>
      <w:lvlText w:val="%1)"/>
      <w:numFmt w:val="lowerLetter"/>
      <w:start w:val="8"/>
    </w:lvl>
  </w:abstractNum>
  <w:abstractNum w:abstractNumId="135">
    <w:nsid w:val="634C574C"/>
    <w:multiLevelType w:val="hybridMultilevel"/>
    <w:lvl w:ilvl="0">
      <w:lvlJc w:val="left"/>
      <w:lvlText w:val="%1)"/>
      <w:numFmt w:val="lowerLetter"/>
      <w:start w:val="11"/>
    </w:lvl>
  </w:abstractNum>
  <w:abstractNum w:abstractNumId="136">
    <w:nsid w:val="24E99DD7"/>
    <w:multiLevelType w:val="hybridMultilevel"/>
    <w:lvl w:ilvl="0">
      <w:lvlJc w:val="left"/>
      <w:lvlText w:val="(%1)"/>
      <w:numFmt w:val="decimal"/>
      <w:start w:val="1"/>
    </w:lvl>
    <w:lvl w:ilvl="1">
      <w:lvlJc w:val="left"/>
      <w:lvlText w:val="☐"/>
      <w:numFmt w:val="bullet"/>
      <w:start w:val="1"/>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lowerLetter"/>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81" Type="http://schemas.openxmlformats.org/officeDocument/2006/relationships/image" Target="media/image258.png"/><Relationship Id="rId302" Type="http://schemas.openxmlformats.org/officeDocument/2006/relationships/image" Target="media/image259.png"/><Relationship Id="rId321" Type="http://schemas.openxmlformats.org/officeDocument/2006/relationships/image" Target="media/image260.png"/><Relationship Id="rId327" Type="http://schemas.openxmlformats.org/officeDocument/2006/relationships/image" Target="media/image261.png"/><Relationship Id="rId328" Type="http://schemas.openxmlformats.org/officeDocument/2006/relationships/image" Target="media/image262.png"/><Relationship Id="rId329" Type="http://schemas.openxmlformats.org/officeDocument/2006/relationships/image" Target="media/image263.png"/><Relationship Id="rId330" Type="http://schemas.openxmlformats.org/officeDocument/2006/relationships/image" Target="media/image264.png"/><Relationship Id="rId331" Type="http://schemas.openxmlformats.org/officeDocument/2006/relationships/image" Target="media/image265.png"/><Relationship Id="rId332" Type="http://schemas.openxmlformats.org/officeDocument/2006/relationships/image" Target="media/image266.png"/><Relationship Id="rId333" Type="http://schemas.openxmlformats.org/officeDocument/2006/relationships/image" Target="media/image267.png"/><Relationship Id="rId334" Type="http://schemas.openxmlformats.org/officeDocument/2006/relationships/image" Target="media/image268.png"/><Relationship Id="rId335" Type="http://schemas.openxmlformats.org/officeDocument/2006/relationships/image" Target="media/image269.png"/><Relationship Id="rId336" Type="http://schemas.openxmlformats.org/officeDocument/2006/relationships/image" Target="media/image270.png"/><Relationship Id="rId337" Type="http://schemas.openxmlformats.org/officeDocument/2006/relationships/image" Target="media/image271.png"/><Relationship Id="rId338" Type="http://schemas.openxmlformats.org/officeDocument/2006/relationships/image" Target="media/image272.png"/><Relationship Id="rId339" Type="http://schemas.openxmlformats.org/officeDocument/2006/relationships/image" Target="media/image273.png"/><Relationship Id="rId340" Type="http://schemas.openxmlformats.org/officeDocument/2006/relationships/image" Target="media/image274.png"/><Relationship Id="rId341" Type="http://schemas.openxmlformats.org/officeDocument/2006/relationships/image" Target="media/image275.png"/><Relationship Id="rId342" Type="http://schemas.openxmlformats.org/officeDocument/2006/relationships/image" Target="media/image276.png"/><Relationship Id="rId343" Type="http://schemas.openxmlformats.org/officeDocument/2006/relationships/image" Target="media/image277.png"/><Relationship Id="rId344" Type="http://schemas.openxmlformats.org/officeDocument/2006/relationships/image" Target="media/image278.png"/><Relationship Id="rId345" Type="http://schemas.openxmlformats.org/officeDocument/2006/relationships/image" Target="media/image279.png"/><Relationship Id="rId346" Type="http://schemas.openxmlformats.org/officeDocument/2006/relationships/image" Target="media/image280.png"/><Relationship Id="rId347" Type="http://schemas.openxmlformats.org/officeDocument/2006/relationships/image" Target="media/image281.png"/><Relationship Id="rId348" Type="http://schemas.openxmlformats.org/officeDocument/2006/relationships/image" Target="media/image282.png"/><Relationship Id="rId349" Type="http://schemas.openxmlformats.org/officeDocument/2006/relationships/image" Target="media/image283.png"/><Relationship Id="rId350" Type="http://schemas.openxmlformats.org/officeDocument/2006/relationships/image" Target="media/image284.png"/><Relationship Id="rId351" Type="http://schemas.openxmlformats.org/officeDocument/2006/relationships/image" Target="media/image285.png"/><Relationship Id="rId352" Type="http://schemas.openxmlformats.org/officeDocument/2006/relationships/image" Target="media/image286.png"/><Relationship Id="rId353" Type="http://schemas.openxmlformats.org/officeDocument/2006/relationships/image" Target="media/image287.png"/><Relationship Id="rId354" Type="http://schemas.openxmlformats.org/officeDocument/2006/relationships/image" Target="media/image288.png"/><Relationship Id="rId355" Type="http://schemas.openxmlformats.org/officeDocument/2006/relationships/image" Target="media/image289.png"/><Relationship Id="rId356" Type="http://schemas.openxmlformats.org/officeDocument/2006/relationships/image" Target="media/image290.png"/><Relationship Id="rId357" Type="http://schemas.openxmlformats.org/officeDocument/2006/relationships/image" Target="media/image291.png"/><Relationship Id="rId358" Type="http://schemas.openxmlformats.org/officeDocument/2006/relationships/image" Target="media/image292.png"/><Relationship Id="rId359" Type="http://schemas.openxmlformats.org/officeDocument/2006/relationships/image" Target="media/image293.png"/><Relationship Id="rId360" Type="http://schemas.openxmlformats.org/officeDocument/2006/relationships/image" Target="media/image294.png"/><Relationship Id="rId361" Type="http://schemas.openxmlformats.org/officeDocument/2006/relationships/image" Target="media/image295.png"/><Relationship Id="rId362" Type="http://schemas.openxmlformats.org/officeDocument/2006/relationships/image" Target="media/image296.png"/><Relationship Id="rId363" Type="http://schemas.openxmlformats.org/officeDocument/2006/relationships/image" Target="media/image297.png"/><Relationship Id="rId364" Type="http://schemas.openxmlformats.org/officeDocument/2006/relationships/image" Target="media/image298.png"/><Relationship Id="rId365" Type="http://schemas.openxmlformats.org/officeDocument/2006/relationships/image" Target="media/image299.jpeg"/><Relationship Id="rId366" Type="http://schemas.openxmlformats.org/officeDocument/2006/relationships/image" Target="media/image300.png"/><Relationship Id="rId367" Type="http://schemas.openxmlformats.org/officeDocument/2006/relationships/image" Target="media/image301.jpeg"/><Relationship Id="rId368" Type="http://schemas.openxmlformats.org/officeDocument/2006/relationships/image" Target="media/image302.png"/><Relationship Id="rId369" Type="http://schemas.openxmlformats.org/officeDocument/2006/relationships/image" Target="media/image303.jpeg"/><Relationship Id="rId370" Type="http://schemas.openxmlformats.org/officeDocument/2006/relationships/image" Target="media/image304.png"/><Relationship Id="rId371" Type="http://schemas.openxmlformats.org/officeDocument/2006/relationships/image" Target="media/image305.jpeg"/><Relationship Id="rId372" Type="http://schemas.openxmlformats.org/officeDocument/2006/relationships/image" Target="media/image306.png"/><Relationship Id="rId373" Type="http://schemas.openxmlformats.org/officeDocument/2006/relationships/image" Target="media/image307.png"/><Relationship Id="rId374" Type="http://schemas.openxmlformats.org/officeDocument/2006/relationships/image" Target="media/image308.png"/><Relationship Id="rId265" Type="http://schemas.openxmlformats.org/officeDocument/2006/relationships/hyperlink" Target="http://www.sec.gov/Archives/edgar/data/1800637/000101376221000191/ea148348ex2-1_agrifycorp.htm" TargetMode="External"/><Relationship Id="rId266" Type="http://schemas.openxmlformats.org/officeDocument/2006/relationships/hyperlink" Target="http://www.sec.gov/Archives/edgar/data/1800637/000101376221000191/ea148348ex2-2_agrifycorp.htm" TargetMode="External"/><Relationship Id="rId267" Type="http://schemas.openxmlformats.org/officeDocument/2006/relationships/hyperlink" Target="http://www.sec.gov/Archives/edgar/data/1800637/000121390022000601/ea153490ex2-1_agrifycorp.htm" TargetMode="External"/><Relationship Id="rId268" Type="http://schemas.openxmlformats.org/officeDocument/2006/relationships/hyperlink" Target="http://www.sec.gov/Archives/edgar/data/1800637/000121390022004925/ea154783ex2-1_agrifycorp.htm" TargetMode="External"/><Relationship Id="rId269" Type="http://schemas.openxmlformats.org/officeDocument/2006/relationships/hyperlink" Target="http://www.sec.gov/Archives/edgar/data/1800637/000121390021001799/fs12020a1ex3-1_agrify.htm" TargetMode="External"/><Relationship Id="rId270" Type="http://schemas.openxmlformats.org/officeDocument/2006/relationships/hyperlink" Target="http://www.sec.gov/Archives/edgar/data/1800637/000121390021001799/fs12020a1ex3-2_agrify.htm" TargetMode="External"/><Relationship Id="rId271" Type="http://schemas.openxmlformats.org/officeDocument/2006/relationships/hyperlink" Target="http://www.sec.gov/Archives/edgar/data/1800637/000121390021004220/fs12021a2ex3-3_agrifycorp.htm" TargetMode="External"/><Relationship Id="rId272" Type="http://schemas.openxmlformats.org/officeDocument/2006/relationships/hyperlink" Target="http://www.sec.gov/Archives/edgar/data/1800637/000121390022039420/ea162872ex3-1_agrify.htm" TargetMode="External"/><Relationship Id="rId273" Type="http://schemas.openxmlformats.org/officeDocument/2006/relationships/hyperlink" Target="http://www.sec.gov/Archives/edgar/data/1800637/000121390022064269/ea167213ex3-1agrifycorp.htm" TargetMode="External"/><Relationship Id="rId274" Type="http://schemas.openxmlformats.org/officeDocument/2006/relationships/hyperlink" Target="http://www.sec.gov/Archives/edgar/data/1800637/000121390023017011/ea174612ex3-1_agrifycorp.htm" TargetMode="External"/><Relationship Id="rId275" Type="http://schemas.openxmlformats.org/officeDocument/2006/relationships/hyperlink" Target="http://www.sec.gov/Archives/edgar/data/1800637/000121390023053790/ea181262ex3-1_agrify.htm" TargetMode="External"/><Relationship Id="rId276" Type="http://schemas.openxmlformats.org/officeDocument/2006/relationships/hyperlink" Target="http://www.sec.gov/Archives/edgar/data/1800637/000121390024006275/ea192155ex3-1_agrify.htm" TargetMode="External"/><Relationship Id="rId277" Type="http://schemas.openxmlformats.org/officeDocument/2006/relationships/hyperlink" Target="http://www.sec.gov/Archives/edgar/data/1800637/000121390021004220/fs12021a2ex4-1_agrifycorp.htm" TargetMode="External"/><Relationship Id="rId278" Type="http://schemas.openxmlformats.org/officeDocument/2006/relationships/hyperlink" Target="http://www.sec.gov/Archives/edgar/data/1800637/000121390021008530/fs12021ex4-2_agrifycorp.htm" TargetMode="External"/><Relationship Id="rId279" Type="http://schemas.openxmlformats.org/officeDocument/2006/relationships/hyperlink" Target="http://www.sec.gov/Archives/edgar/data/1800637/000121390021004220/fs12021a2ex4-2_agrifycorp.htm" TargetMode="External"/><Relationship Id="rId280" Type="http://schemas.openxmlformats.org/officeDocument/2006/relationships/hyperlink" Target="http://www.sec.gov/Archives/edgar/data/1800637/000121390020044121/fs12020ex4-3_agrifycorp.htm" TargetMode="External"/><Relationship Id="rId282" Type="http://schemas.openxmlformats.org/officeDocument/2006/relationships/hyperlink" Target="http://www.sec.gov/Archives/edgar/data/1800637/000121390021019992/f10k2020ex4-5_agrifycorp.htm" TargetMode="External"/><Relationship Id="rId283" Type="http://schemas.openxmlformats.org/officeDocument/2006/relationships/hyperlink" Target="http://www.sec.gov/Archives/edgar/data/1800637/000121390022003773/ea154520ex4-2_agrify.htm" TargetMode="External"/><Relationship Id="rId284" Type="http://schemas.openxmlformats.org/officeDocument/2006/relationships/hyperlink" Target="http://www.sec.gov/Archives/edgar/data/1800637/000121390022049494/ea164681ex4-1_agrify.htm" TargetMode="External"/><Relationship Id="rId285" Type="http://schemas.openxmlformats.org/officeDocument/2006/relationships/hyperlink" Target="http://www.sec.gov/Archives/edgar/data/1800637/000121390022049494/ea164681ex4-2_agrify.htm" TargetMode="External"/><Relationship Id="rId286" Type="http://schemas.openxmlformats.org/officeDocument/2006/relationships/hyperlink" Target="http://www.sec.gov/Archives/edgar/data/1800637/000121390022049494/ea164681ex4-3_agrify.htm" TargetMode="External"/><Relationship Id="rId287" Type="http://schemas.openxmlformats.org/officeDocument/2006/relationships/hyperlink" Target="http://www.sec.gov/Archives/edgar/data/1800637/000121390022080562/ea170341ex4-1_agrifycorp.htm" TargetMode="External"/><Relationship Id="rId288" Type="http://schemas.openxmlformats.org/officeDocument/2006/relationships/hyperlink" Target="http://www.sec.gov/Archives/edgar/data/1800637/000121390022080562/ea170341ex4-2_agrifycorp.htm" TargetMode="External"/><Relationship Id="rId289" Type="http://schemas.openxmlformats.org/officeDocument/2006/relationships/hyperlink" Target="http://www.sec.gov/Archives/edgar/data/1800637/000121390023018686/ea174704ex4-1_agrifycorp.htm" TargetMode="External"/><Relationship Id="rId290" Type="http://schemas.openxmlformats.org/officeDocument/2006/relationships/hyperlink" Target="http://www.sec.gov/Archives/edgar/data/1800637/000121390023018686/ea174704ex4-2_agrifycorp.htm" TargetMode="External"/><Relationship Id="rId291" Type="http://schemas.openxmlformats.org/officeDocument/2006/relationships/hyperlink" Target="http://www.sec.gov/Archives/edgar/data/1800637/000121390023083943/ea187778ex4-1_agrifycorp.htm" TargetMode="External"/><Relationship Id="rId292" Type="http://schemas.openxmlformats.org/officeDocument/2006/relationships/hyperlink" Target="http://www.sec.gov/Archives/edgar/data/1800637/000121390023083943/ea187778ex4-3_agrifycorp.htm" TargetMode="External"/><Relationship Id="rId293" Type="http://schemas.openxmlformats.org/officeDocument/2006/relationships/hyperlink" Target="http://www.sec.gov/Archives/edgar/data/1800637/000121390023083943/ea187778ex4-4_agrifycorp.htm" TargetMode="External"/><Relationship Id="rId294" Type="http://schemas.openxmlformats.org/officeDocument/2006/relationships/hyperlink" Target="http://www.sec.gov/Archives/edgar/data/1800637/000121390023083943/ea187778ex4-5_agrifycorp.htm" TargetMode="External"/><Relationship Id="rId295" Type="http://schemas.openxmlformats.org/officeDocument/2006/relationships/hyperlink" Target="http://www.sec.gov/Archives/edgar/data/1800637/000121390023093703/ea189579ex4-1_agrify.htm" TargetMode="External"/><Relationship Id="rId296" Type="http://schemas.openxmlformats.org/officeDocument/2006/relationships/hyperlink" Target="http://www.sec.gov/Archives/edgar/data/1800637/000121390024006275/ea192155ex4-1_agrify.htm" TargetMode="External"/><Relationship Id="rId297" Type="http://schemas.openxmlformats.org/officeDocument/2006/relationships/hyperlink" Target="http://www.sec.gov/Archives/edgar/data/1800637/000121390024006275/ea192155ex4-2_agrify.htm" TargetMode="External"/><Relationship Id="rId298" Type="http://schemas.openxmlformats.org/officeDocument/2006/relationships/hyperlink" Target="http://www.sec.gov/Archives/edgar/data/1800637/000121390020044121/fs12020ex10-1_agrifycorp.htm" TargetMode="External"/><Relationship Id="rId299" Type="http://schemas.openxmlformats.org/officeDocument/2006/relationships/hyperlink" Target="http://www.sec.gov/Archives/edgar/data/1800637/000121390020044121/fs12020ex10-2_agrifycorp.htm" TargetMode="External"/><Relationship Id="rId300" Type="http://schemas.openxmlformats.org/officeDocument/2006/relationships/hyperlink" Target="http://www.sec.gov/Archives/edgar/data/1800637/000121390020044121/fs12020ex10-3_agrifycorp.htm" TargetMode="External"/><Relationship Id="rId301" Type="http://schemas.openxmlformats.org/officeDocument/2006/relationships/hyperlink" Target="http://www.sec.gov/Archives/edgar/data/1800637/000121390020044121/fs12020ex10-4_agrifycorp.htm" TargetMode="External"/><Relationship Id="rId303" Type="http://schemas.openxmlformats.org/officeDocument/2006/relationships/hyperlink" Target="http://www.sec.gov/Archives/edgar/data/1800637/000121390021019992/f10k2020ex10-5_agrifycorp.htm" TargetMode="External"/><Relationship Id="rId304" Type="http://schemas.openxmlformats.org/officeDocument/2006/relationships/hyperlink" Target="http://www.sec.gov/Archives/edgar/data/1800637/000121390020044121/fs12020ex10-13_agrifycorp.htm" TargetMode="External"/><Relationship Id="rId305" Type="http://schemas.openxmlformats.org/officeDocument/2006/relationships/hyperlink" Target="http://www.sec.gov/Archives/edgar/data/1800637/000121390020044121/fs12020ex10-16_agrifycorp.htm" TargetMode="External"/><Relationship Id="rId306" Type="http://schemas.openxmlformats.org/officeDocument/2006/relationships/hyperlink" Target="http://www.sec.gov/Archives/edgar/data/1800637/000121390021001799/fs12020a1ex10-15_agrify.htm" TargetMode="External"/><Relationship Id="rId307" Type="http://schemas.openxmlformats.org/officeDocument/2006/relationships/hyperlink" Target="http://www.sec.gov/Archives/edgar/data/1800637/000121390020044121/fs12020ex10-18_agrifycorp.htm" TargetMode="External"/><Relationship Id="rId308" Type="http://schemas.openxmlformats.org/officeDocument/2006/relationships/hyperlink" Target="http://www.sec.gov/Archives/edgar/data/1800637/000121390021008530/fs12021ex10-18_agrifycorp.htm" TargetMode="External"/><Relationship Id="rId309" Type="http://schemas.openxmlformats.org/officeDocument/2006/relationships/hyperlink" Target="http://www.sec.gov/Archives/edgar/data/1800637/000121390021059567/ea150577ex10-2_agrifycorp.htm" TargetMode="External"/><Relationship Id="rId310" Type="http://schemas.openxmlformats.org/officeDocument/2006/relationships/hyperlink" Target="http://www.sec.gov/Archives/edgar/data/1800637/000121390022003773/ea154520ex10-1_agrify.htm" TargetMode="External"/><Relationship Id="rId311" Type="http://schemas.openxmlformats.org/officeDocument/2006/relationships/hyperlink" Target="http://www.sec.gov/Archives/edgar/data/1800637/000121390022013613/ea157101ex10-1_agrifycorp.htm" TargetMode="External"/><Relationship Id="rId312" Type="http://schemas.openxmlformats.org/officeDocument/2006/relationships/hyperlink" Target="http://www.sec.gov/Archives/edgar/data/1800637/000121390022022512/def14a0422_agrify.htm#T99014" TargetMode="External"/><Relationship Id="rId313" Type="http://schemas.openxmlformats.org/officeDocument/2006/relationships/hyperlink" Target="http://www.sec.gov/Archives/edgar/data/1800637/000121390022022512/def14a0422_agrify.htm#T99015" TargetMode="External"/><Relationship Id="rId314" Type="http://schemas.openxmlformats.org/officeDocument/2006/relationships/hyperlink" Target="http://www.sec.gov/Archives/edgar/data/1800637/000121390022039420/ea162872ex10-2_agrify.htm" TargetMode="External"/><Relationship Id="rId315" Type="http://schemas.openxmlformats.org/officeDocument/2006/relationships/hyperlink" Target="http://www.sec.gov/Archives/edgar/data/1800637/000121390022039420/ea162872ex10-1_agrify.htm" TargetMode="External"/><Relationship Id="rId316" Type="http://schemas.openxmlformats.org/officeDocument/2006/relationships/hyperlink" Target="http://www.sec.gov/Archives/edgar/data/1800637/000121390022049494/ea164681ex10-1_agrify.htm" TargetMode="External"/><Relationship Id="rId317" Type="http://schemas.openxmlformats.org/officeDocument/2006/relationships/hyperlink" Target="http://www.sec.gov/Archives/edgar/data/1800637/000121390022064592/ea167238ex1-1_agrifycorp.htm" TargetMode="External"/><Relationship Id="rId318" Type="http://schemas.openxmlformats.org/officeDocument/2006/relationships/hyperlink" Target="http://www.sec.gov/Archives/edgar/data/1800637/000121390023004857/ea172124ex10-1_agrifycorp.htm" TargetMode="External"/><Relationship Id="rId319" Type="http://schemas.openxmlformats.org/officeDocument/2006/relationships/hyperlink" Target="http://www.sec.gov/Archives/edgar/data/1800637/000121390023018686/ea174704ex10-1_agrifycorp.htm" TargetMode="External"/><Relationship Id="rId320" Type="http://schemas.openxmlformats.org/officeDocument/2006/relationships/hyperlink" Target="http://www.sec.gov/Archives/edgar/data/1800637/000121390023083943/ea187778ex10-1_agrifycorp.htm" TargetMode="External"/><Relationship Id="rId322" Type="http://schemas.openxmlformats.org/officeDocument/2006/relationships/hyperlink" Target="http://www.sec.gov/Archives/edgar/data/1800637/000121390023083943/ea187778ex10-2_agrifycorp.htm" TargetMode="External"/><Relationship Id="rId323" Type="http://schemas.openxmlformats.org/officeDocument/2006/relationships/hyperlink" Target="http://www.sec.gov/Archives/edgar/data/1800637/000121390023083943/ea187778ex10-3_agrifycorp.htm" TargetMode="External"/><Relationship Id="rId324" Type="http://schemas.openxmlformats.org/officeDocument/2006/relationships/hyperlink" Target="http://www.sec.gov/Archives/edgar/data/1800637/000121390024011247/fs12024a1ex10-25_agrifycorp.htm" TargetMode="External"/><Relationship Id="rId325" Type="http://schemas.openxmlformats.org/officeDocument/2006/relationships/hyperlink" Target="http://www.sec.gov/Archives/edgar/data/1800637/000121390023090353/f10k2022ex21-1_agrifycorp.htm" TargetMode="External"/><Relationship Id="rId326" Type="http://schemas.openxmlformats.org/officeDocument/2006/relationships/hyperlink" Target="http://www.sec.gov/Archives/edgar/data/1800637/000121390024007056/fs12024_agrifycorp.htm#T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2024-02-15T20:33:16Z</dcterms:created>
  <dcterms:modified xsi:type="dcterms:W3CDTF">2024-02-15T20:33:16Z</dcterms:modified>
</cp:coreProperties>
</file>