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16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8080" w:type="dxa"/>
            <w:vAlign w:val="bottom"/>
            <w:gridSpan w:val="7"/>
          </w:tcPr>
          <w:p>
            <w:pPr>
              <w:jc w:val="center"/>
              <w:ind w:left="307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February 22, 2023</w:t>
            </w:r>
          </w:p>
        </w:tc>
        <w:tc>
          <w:tcPr>
            <w:tcW w:w="316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6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previously reported, on September 15, 2022, Agrify Corporation (the “Company”) provided a notice of default to Bud &amp; Mary’s Cultivation, Inc. (“Bud &amp; Mary’s”) and certain related parties notifying such parties that Bud &amp; Mary’s was in default of its obligations under a term loan agreement between the Company and Bud &amp; Mary’s (the “Agreement”), and October 5, 2022, Bud &amp; Mary’s filed a complaint (the “Bud &amp; Mary’s Complaint”) in the Superior Court of Massachusetts in Suffolk County naming the Company as defendant, captioned </w:t>
      </w:r>
      <w:r>
        <w:rPr>
          <w:rFonts w:ascii="Times New Roman" w:cs="Times New Roman" w:eastAsia="Times New Roman" w:hAnsi="Times New Roman"/>
          <w:sz w:val="18"/>
          <w:szCs w:val="18"/>
          <w:i w:val="1"/>
          <w:iCs w:val="1"/>
          <w:color w:val="auto"/>
        </w:rPr>
        <w:t>Bud &amp; Mary’s Cultivation, Inc. v. Agrify Corporation</w:t>
      </w:r>
      <w:r>
        <w:rPr>
          <w:rFonts w:ascii="Times New Roman" w:cs="Times New Roman" w:eastAsia="Times New Roman" w:hAnsi="Times New Roman"/>
          <w:sz w:val="18"/>
          <w:szCs w:val="18"/>
          <w:color w:val="auto"/>
        </w:rPr>
        <w:t>, case no. 2284CV02279 (“Civil Action”). The Bud &amp; Mary’s Complaint seeks, among other relief, monetary damages in connection with alleged unfair or deceptive trade practices, breach of contract and conversion arising from a Total Turnkey Solution agreement between Bud &amp; Mary’s and the Company. On November 14, 2022, the Company filed its answer to Bud &amp; Mary’s Complaint denying the claims made therein, as well as a counterclaim against Bud &amp; Mary’s, certain corporate and individual guarantors and the landlord of the property subject to the Civil Action. By its counterclaim, the Company seeks monetary recovery under various theories including breach of contract, breach of the implied covenant of good faith and fair dealing, violation of MGL Ch. 93A and unjust enrichment.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8"/>
          <w:szCs w:val="18"/>
          <w:i w:val="1"/>
          <w:iCs w:val="1"/>
          <w:color w:val="auto"/>
        </w:rPr>
        <w:t>Bowdoin Construction Corp. v. Agrify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Bud &amp; Mary’s Cultivation, Inc. and BMLC2, LLC</w:t>
      </w:r>
      <w:r>
        <w:rPr>
          <w:rFonts w:ascii="Times New Roman" w:cs="Times New Roman" w:eastAsia="Times New Roman" w:hAnsi="Times New Roman"/>
          <w:sz w:val="18"/>
          <w:szCs w:val="18"/>
          <w:color w:val="auto"/>
        </w:rPr>
        <w:t>, case no. 2382CV00173. The Bowdoin Complaint relates to a construction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defending itself vigorously against the allegations in the Bowdoin Complaint, the Company is evaluating its rights and remedies against Bud &amp; Mary’s and related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24, 2023</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2023-02-24T07:03:07Z</dcterms:created>
  <dcterms:modified xsi:type="dcterms:W3CDTF">2023-02-24T07:03:07Z</dcterms:modified>
</cp:coreProperties>
</file>