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987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TIMOTHY</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52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(1)</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06/11/2025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(3)</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06/12/2025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6"/>
                <w:szCs w:val="6"/>
                <w:color w:val="auto"/>
              </w:rPr>
            </w:pPr>
          </w:p>
        </w:tc>
        <w:tc>
          <w:tcPr>
            <w:tcW w:w="100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gridSpan w:val="2"/>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5,000 restricted stock units on November 19, 2024 under the Plan. All of the restricted stock units settled on June 12, 2025.</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_/s/Timothy Mahoney</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Timothy Mahoney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092601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2025-06-13T16:10:10Z</dcterms:created>
  <dcterms:modified xsi:type="dcterms:W3CDTF">2025-06-13T16:10:10Z</dcterms:modified>
</cp:coreProperties>
</file>