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80" w:type="dxa"/>
            <w:vAlign w:val="bottom"/>
          </w:tcPr>
          <w:p>
            <w:pPr>
              <w:spacing w:after="0"/>
              <w:rPr>
                <w:sz w:val="20"/>
                <w:szCs w:val="20"/>
                <w:color w:val="auto"/>
              </w:rPr>
            </w:pPr>
          </w:p>
        </w:tc>
      </w:tr>
      <w:tr>
        <w:trPr>
          <w:trHeight w:val="410"/>
        </w:trPr>
        <w:tc>
          <w:tcPr>
            <w:tcW w:w="3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18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8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48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January 22, 2024</w:t>
            </w:r>
          </w:p>
        </w:tc>
        <w:tc>
          <w:tcPr>
            <w:tcW w:w="3180" w:type="dxa"/>
            <w:vAlign w:val="bottom"/>
          </w:tcPr>
          <w:p>
            <w:pPr>
              <w:spacing w:after="0"/>
              <w:rPr>
                <w:sz w:val="24"/>
                <w:szCs w:val="24"/>
                <w:color w:val="auto"/>
              </w:rPr>
            </w:pPr>
          </w:p>
        </w:tc>
      </w:tr>
      <w:tr>
        <w:trPr>
          <w:trHeight w:val="414"/>
        </w:trPr>
        <w:tc>
          <w:tcPr>
            <w:tcW w:w="3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80" w:type="dxa"/>
            <w:vAlign w:val="bottom"/>
          </w:tcPr>
          <w:p>
            <w:pPr>
              <w:spacing w:after="0"/>
              <w:rPr>
                <w:sz w:val="24"/>
                <w:szCs w:val="24"/>
                <w:color w:val="auto"/>
              </w:rPr>
            </w:pPr>
          </w:p>
        </w:tc>
      </w:tr>
      <w:tr>
        <w:trPr>
          <w:trHeight w:val="234"/>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39"/>
        </w:trPr>
        <w:tc>
          <w:tcPr>
            <w:tcW w:w="31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60" w:type="dxa"/>
            <w:vAlign w:val="bottom"/>
            <w:gridSpan w:val="5"/>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80" w:type="dxa"/>
            <w:vAlign w:val="bottom"/>
            <w:tcBorders>
              <w:top w:val="single" w:sz="8" w:color="auto"/>
            </w:tcBorders>
          </w:tcPr>
          <w:p>
            <w:pPr>
              <w:jc w:val="center"/>
              <w:ind w:left="3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60" w:type="dxa"/>
            <w:vAlign w:val="bottom"/>
            <w:gridSpan w:val="8"/>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80" w:type="dxa"/>
            <w:vAlign w:val="bottom"/>
          </w:tcPr>
          <w:p>
            <w:pPr>
              <w:spacing w:after="0"/>
              <w:rPr>
                <w:sz w:val="24"/>
                <w:szCs w:val="24"/>
                <w:color w:val="auto"/>
              </w:rPr>
            </w:pPr>
          </w:p>
        </w:tc>
      </w:tr>
      <w:tr>
        <w:trPr>
          <w:trHeight w:val="245"/>
        </w:trPr>
        <w:tc>
          <w:tcPr>
            <w:tcW w:w="3180" w:type="dxa"/>
            <w:vAlign w:val="bottom"/>
            <w:tcBorders>
              <w:bottom w:val="single" w:sz="8" w:color="auto"/>
            </w:tcBorders>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20" w:type="dxa"/>
            <w:vAlign w:val="bottom"/>
            <w:gridSpan w:val="3"/>
          </w:tcPr>
          <w:p>
            <w:pPr>
              <w:spacing w:after="0"/>
              <w:rPr>
                <w:sz w:val="20"/>
                <w:szCs w:val="20"/>
                <w:color w:val="auto"/>
              </w:rPr>
            </w:pPr>
          </w:p>
        </w:tc>
        <w:tc>
          <w:tcPr>
            <w:tcW w:w="318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Amendment and Restatement of Convertible Note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October 27, 2023, CP Acquisitions LLC (the “New Lender”), an entity affiliated with and controlled by Raymond Chang, the Chief Executive Officer of Agrify Corporation (the “Company”) and a member of its Board of Directors (the “Board”), and I-Tseng Jenny Chan, a member of the Board, purchased from an institutional investor (the “Prior Lender”) the Senior Secured Note issued by the Company to the Prior Lender on August 19, 2022 (the “Exchange Note”) and the Senior Secured Convertible Note issued by the Company to the Prior Lender on March 10, 2023 (the “Convertible Note”). Concurrently with that transaction, the Company issued a junior secured promissory note (the “Junior Secured Note”) to the New Lender, which was subsequently amended and restated on December 4, 2023 to have a maximum principal amount of $4,000,000.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as previously disclosed, on January 8, 2024, the Company held its 2023 Annual Meeting of Stockholders (the “Annual Meeting”), at which the stockholders of the Company approved a proposal (the “Note Restatement Proposal”) for the consolidation of the Junior Secured Note and the Exchange Note into the Convertible Note and the amendment and restatement of the Convertible Note to, among other things, reduce the conversion price to $1.46 per share, increase the beneficial ownership limitation to 49.99% with respect to each of Mr. Chang and Ms. Chan to the extent the right to receive shares is assigned by the New Lender to them or their affiliates, to increase the interest rate to 10%, and to extend the maturity date to December 31, 2025, as further described in the Company’s definitive proxy statement filed with the Securities and Exchange Commission on December 18, 2023 (the “Proxy Statement”).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25, 2024, the Company and the New Lender consolidated the outstanding principal and interest due under the Junior Secured Note and the Exchange Note into the Convertible Note and amended and restated the Convertible Note consistent with the Note Restatement Proposal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the Company may issue shares as payments-in-kind at a conversion price equal to the higher of (i) $1.46 or (ii) a 20% discount to its trailing seven-day volume weighted average price as of the date of interest payment.</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Restated Note does not purport to be complete, and is qualified in its entirety by reference to a copy of the Restated Note that is filed as Exhibit 4.1 hereto.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Junior Secured Promissory Note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on July 12, 2023, the Company issued an unsecured promissory note with an original principal amount of $500,000 in favor of GIC Acquisition, LLC (“GIC”), an entity that is indirectly owned and managed by Mr. Chang, and on October 27, 2023, GIC and the Company amended and restated the note to extend the maturity date to December 31, 2023 and to grant a security interest in the Company’s assets that ranks junior to the Exchange Note and the Convertible Note (the “Junior Note”). On January 25, 2024, GIC and the Company amended and restated the Junior Note to increase the principal amount thereunder to $1.0 million and to extend the maturity date until June 30, 2024 (as amended and restated, the “Restated Junior Note”).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Restated Junior Note does not purport to be complete, and is qualified in its entirety by reference to a copy of the Restated Junior Note that is filed as Exhibit 4.2 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Restated Note and the Restated Junior Note is incorporated herein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1.01 and 8.01 of this Current Report on Form 8-K regarding the issuance of the Restated Note, the Restated Junior Note, the Warrant Shares (as defined in Item 8.01 below) and the shares of common stock issued upon conversion of the Restated Note is incorporated herein by reference into this Item 3.02.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Restated Note, the Warrant Shares, the Restated Junior Note, and the shares of common stock underlying the Restated Note (collectively, the “Securities”) were, and will be, offered and sold in transactions exempt from registration under the Securities Act in reliance on Section 4(a)(2) thereof and Rule 506(b) of Regulation D thereunder. Each of the Prior Lender and the New Lender is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exhibits attached hereto is an offer to sell or the solicitation of an offer to buy shares of common stock, notes, or any other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22, 2024, the Company reconvened the Annual Meeting, as further described in Item 5.07 below, at which the Company’s stockholders approved an amendment to the Company’s Articles of Incorporation, to increase the number of authorized shares of the Company’s common stock from 10,000,000 to 35,000,000, and to correspondingly increase the total authorized shares of stock from 13,000,000 to 38,000,000 (the “Charter Amendment”). The Charter Amendment became effective upon the Company’s filing of the Charter Amendment with the Secretary of State for the State of Nevada on January 22,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Charter Amendment does not purport to be complete and is qualified in its entirety by reference to the Charter Amendment, which is filed as Exhibit 3.1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adjourned its Annual Meeting on January 8, 2024 only with respect to the proposal to approve the Charter Amendment (“Item 3”), to approve an amendment to the Company’s Articles of Incorporation to increase the number of authorized shares of the Company’s common stock from 10,000,000 to 35,000,000, and to correspondingly increase the total authorized shares of stock from 13,000,000 to 38,000,000, as described in more detail in the Proxy Statement. Initially, at the Annual Meeting, the favorable votes for Item 3 were less than the affirmative vote of a majority of the Company’s outstanding common stock as of the record date, which is the required minimum vote to approve Item 3. Accordingly, the Annual Meeting was adjourned only with respect to the vote on Item 3, and such meeting was reconvened on January 22, 2024 (the “Reconvened Meeting”). There were 1,701,243 outstanding shares entitled to vote and there were 930,985 shares present in person or by proxy at the Reconvened Meeting, representing approximately 54.72% of the shares outstanding and entitled to vote. The voting result with respect to Item 3, as certified by the inspector of elections for the Reconvened Meeting, is presented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Abstained</w:t>
            </w:r>
          </w:p>
        </w:tc>
      </w:tr>
      <w:tr>
        <w:trPr>
          <w:trHeight w:val="216"/>
        </w:trPr>
        <w:tc>
          <w:tcPr>
            <w:tcW w:w="372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878,464</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49,979</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2,542</w:t>
            </w:r>
          </w:p>
        </w:tc>
      </w:tr>
      <w:tr>
        <w:trPr>
          <w:trHeight w:val="655"/>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Exercise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22, 2024, pursuant to notices of exercise received by the Prior Lender, the Company issued an aggregate of 2,473,542 shares of common stock (the “Warrant Shares”) to the Prior Lender upon the cashless exercise of two warrants issued to the Prior Lender on October 27, 2023 (the “Prior Lender Warrants”). The issuance of the Warrant Shares represented the full exercise of the Abeyance Warrant as described in the Company’s Current Report on Form 8-K filed on October 30, 2023 (the “October 30 Form 8-K”) and the partial exercise of the Exchange Warrant as described in the October 30 Form 8-K, which remains exercisable for up to 659,669 shares of common stock, subject to adjustment pursuant to its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25, 2024, the Company issued a press release announcing the Restated Note, the partial conversion of the Restated Note, the approval of the Charter Amendment, and the issuance of the Warrant Shares to the Prior Lender. A copy of the press release is attached as Exhibit 99.1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of Amendment to Articles of Incorporation of Agrify Corporation, filed January 22, 2024</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15"/>
                <w:szCs w:val="15"/>
                <w:color w:val="auto"/>
              </w:rPr>
            </w:pPr>
          </w:p>
        </w:tc>
        <w:tc>
          <w:tcPr>
            <w:tcW w:w="72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Senior Secured Amended, Restated and Consolidated Convertible Note dated January 25, 2024</w:t>
            </w:r>
          </w:p>
        </w:tc>
        <w:tc>
          <w:tcPr>
            <w:tcW w:w="286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Second Amended and Restated Junior Secured Promissory Note dated January 25, 2024</w:t>
            </w:r>
          </w:p>
        </w:tc>
        <w:tc>
          <w:tcPr>
            <w:tcW w:w="376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434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of Agrify Corporation dated January 25, 2024</w:t>
            </w:r>
          </w:p>
        </w:tc>
        <w:tc>
          <w:tcPr>
            <w:tcW w:w="5760" w:type="dxa"/>
            <w:vAlign w:val="bottom"/>
            <w:gridSpan w:val="4"/>
          </w:tcPr>
          <w:p>
            <w:pPr>
              <w:spacing w:after="0"/>
              <w:rPr>
                <w:sz w:val="15"/>
                <w:szCs w:val="15"/>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January 25,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30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9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9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Amended, Restated and Consolidated Convertible Note due 2025</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ONE (1) YEAR AFTER MARCH 23, 2022,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Senior Secured Amended, Restated and Consolidated Convertible Note due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C-1</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value received, promises to pay to CP Acquisitions, LLC, as assignee and successor in interest to High Trail Special Situations LLC (the “</w:t>
      </w:r>
      <w:r>
        <w:rPr>
          <w:rFonts w:ascii="Times New Roman" w:cs="Times New Roman" w:eastAsia="Times New Roman" w:hAnsi="Times New Roman"/>
          <w:sz w:val="18"/>
          <w:szCs w:val="18"/>
          <w:b w:val="1"/>
          <w:bCs w:val="1"/>
          <w:color w:val="auto"/>
        </w:rPr>
        <w:t>Initial Holder</w:t>
      </w:r>
      <w:r>
        <w:rPr>
          <w:rFonts w:ascii="Times New Roman" w:cs="Times New Roman" w:eastAsia="Times New Roman" w:hAnsi="Times New Roman"/>
          <w:sz w:val="18"/>
          <w:szCs w:val="18"/>
          <w:color w:val="auto"/>
        </w:rPr>
        <w:t>”), or its registered assigns, the principal sum of Eighteen Million Nine Hundred Thousand Five Hundred Eighty-Three Dollars and Seventy-One Cents ($18,900,583.71) (such principal sum,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on December 31, 2025, and to pay any outstanding interest thereon, as provided in this Note, in each case as provided in and subject to the other provisions of this Note, including the earlier redemption, repurchase or conversion of this Note.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Agrify Corporation has caused this instrument to be duly executed as of the date set forth below.</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grify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p>
      <w:pPr>
        <w:spacing w:after="0" w:line="225"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January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 Savitz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Josh Savitz</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Senior Secured Amended,</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Restated and Consolidated Convertible Note due 2025, Certificate No.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Amended, Restated and Consolidated Convertible Note due 2025</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This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collectively with any Note issued in exchange therefor or in substitution thereof,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 issued by 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designated as its “Senior Secured Amended, Restated and Consolidated Convertible Notes due 2025.”</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Note is given by the Company to the Holder in substitution and replacement for (i) that certain Senior Secured Convertible Note due 2025 in the original principal amount of $10,000,000 issued by the Company on March 10, 2023, (ii) that certain Senior Secured Note due 2025 in the original principal amount of $35,000,000 issued by the Company on August 19, 2022, as amended by Amendment No. 1 to Senior Secured Note, dated March 9, 2023, and (iii) that certain Junior Secured Promissory Note in the original principal amount of $3,000,000 issued by the Company on October 27, 2023 (individually, each a “</w:t>
      </w:r>
      <w:r>
        <w:rPr>
          <w:rFonts w:ascii="Times New Roman" w:cs="Times New Roman" w:eastAsia="Times New Roman" w:hAnsi="Times New Roman"/>
          <w:sz w:val="18"/>
          <w:szCs w:val="18"/>
          <w:b w:val="1"/>
          <w:bCs w:val="1"/>
          <w:color w:val="auto"/>
        </w:rPr>
        <w:t>Prior 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Prior Notes</w:t>
      </w:r>
      <w:r>
        <w:rPr>
          <w:rFonts w:ascii="Times New Roman" w:cs="Times New Roman" w:eastAsia="Times New Roman" w:hAnsi="Times New Roman"/>
          <w:sz w:val="18"/>
          <w:szCs w:val="18"/>
          <w:color w:val="auto"/>
        </w:rPr>
        <w:t>”), to amend, restate and consolidate the terms of the Prior Notes. The Company does not intend for the substitution and replacement of this Note for the Prior Notes to constitute, nor shall such be deemed to constitute, a novation or extinguishment of any Prior Note and any obligations of any kind or nature accruing or due thereunder, and the substitution and replacement of this Note for the Prior Notes shall in no event impair, limit, reduce or otherwise discharge the liability of the Company or any obligor of the Prior Notes which liability is hereby reaffirmed by the Company and evidenced by this Note. Therefore, the Prior Notes are hereby amended, restated, consolidated and replaced in its entirety by this Note.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under the Securities Act.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(within the meaning of Section 13(d)(3) of the Exchange Act) together with the Holder or any of the foregoing and (iv) any other Persons whose beneficial ownership of the Common Stock would or could be aggregated with the Holder’s and the other Attribution Parties for purposes of Section 13(d) of the Exchange Act.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the Notes, a Principal Amount thereof equal to $1,000 or any integral multiple of $1,000 in excess thereof, or, if such Principal Amount then-outstanding is less than $1,000, then such outstanding Principal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a Saturday, a Sunday or any day on which commercial banks in The City of New York are authorized or required by law or executive order to close or be 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all cash and liquid funds.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 (B) marketable direct obligations issued by any state of the United States of America or any political subdivision of any such state or any public instrumentality thereof, in each case maturing within one (1) year after such date and having, at the time of the acquisition thereof, a rating of at least A-1 from Standard &amp; Poor’s Corporation or at least P-1 from Moody’s Investors Service; (C) commercial paper maturing no more than one (1) year from the date of creation thereof and having, at the time of the acquisition thereof, a rating of at least A-1 from Standard &amp; Poor’s Corporation or at least P-1 from Moody’s Investors Service; (D) certificates of deposit or bankers’ acceptances maturing within one (1) year after such date and issued or accepted by any commercial bank organized under the laws of the United States of America or any State,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w:t>
      </w:r>
    </w:p>
    <w:p>
      <w:pPr>
        <w:spacing w:after="0" w:line="8" w:lineRule="exact"/>
        <w:rPr>
          <w:sz w:val="20"/>
          <w:szCs w:val="20"/>
          <w:color w:val="auto"/>
        </w:rPr>
      </w:pPr>
    </w:p>
    <w:p>
      <w:pPr>
        <w:ind w:firstLine="8"/>
        <w:spacing w:after="0" w:line="260" w:lineRule="auto"/>
        <w:tabs>
          <w:tab w:leader="none" w:pos="2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(ii) has net assets of not less than $5,000,000,000, and (iii) has the highest rating obtainable from either Standard &amp; Poor’s Corporation or Moody’s Investors Service.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has the meaning set forth in the Security Agreements.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means CP Acquisitions, LLC in its capacity as collateral agent for the Holder and each Other Holder, together with any successor thereto in such capacity.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Redemption Price</w:t>
      </w:r>
      <w:r>
        <w:rPr>
          <w:rFonts w:ascii="Times New Roman" w:cs="Times New Roman" w:eastAsia="Times New Roman" w:hAnsi="Times New Roman"/>
          <w:sz w:val="18"/>
          <w:szCs w:val="18"/>
          <w:color w:val="auto"/>
        </w:rPr>
        <w:t>” means a cash amount equal to one hundred and two point five percent (102.5%) of the Principal Amount then outstanding, plus accrued and unpaid interest.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Certification</w:t>
      </w:r>
      <w:r>
        <w:rPr>
          <w:rFonts w:ascii="Times New Roman" w:cs="Times New Roman" w:eastAsia="Times New Roman" w:hAnsi="Times New Roman"/>
          <w:sz w:val="18"/>
          <w:szCs w:val="18"/>
          <w:color w:val="auto"/>
        </w:rPr>
        <w:t xml:space="preserve">” means each certification delivered pursuant to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9(K)(ii)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applied to any Person, any direct or indirect liability, contingent or otherwise, of that Person with respect to</w:t>
      </w:r>
    </w:p>
    <w:p>
      <w:pPr>
        <w:spacing w:after="0" w:line="31" w:lineRule="exact"/>
        <w:rPr>
          <w:sz w:val="20"/>
          <w:szCs w:val="20"/>
          <w:color w:val="auto"/>
        </w:rPr>
      </w:pPr>
    </w:p>
    <w:p>
      <w:pPr>
        <w:jc w:val="both"/>
        <w:ind w:firstLine="8"/>
        <w:spacing w:after="0" w:line="251" w:lineRule="auto"/>
        <w:tabs>
          <w:tab w:leader="none" w:pos="3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the first Business Day on which the requirements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 xml:space="preserve"> to convert this Note are satisfied.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an amount equal to $1.46 per share of Common Stock; provided, however, that if after the date of the amendment and restatement of this Note the Company effects any stock split, reverse stock split, share combination or similar transaction, the Conversion Price shall be equitably adjusted to reflect the ratio of such split or similar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 License</w:t>
      </w:r>
      <w:r>
        <w:rPr>
          <w:rFonts w:ascii="Times New Roman" w:cs="Times New Roman" w:eastAsia="Times New Roman" w:hAnsi="Times New Roman"/>
          <w:sz w:val="18"/>
          <w:szCs w:val="18"/>
          <w:color w:val="auto"/>
        </w:rPr>
        <w:t>” means any written agreement granting any right to use any Copyright or Copyright registration, now owned or hereafter acquired by the Company or in which the Company now holds or hereafter acquires any interest.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all copyrights, whether registered or unregistered, held pursuant to the laws of the United States, any State thereof, or of any other country.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Covering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7(D)(iv)(1)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with respect to any Person, any Capital Stock that by its terms (or by the terms of any security into which it is convertible or for which it is exchangeable at the option of the holder) or upon the happening of any event:</w:t>
      </w:r>
    </w:p>
    <w:p>
      <w:pPr>
        <w:spacing w:after="0" w:line="159" w:lineRule="exact"/>
        <w:rPr>
          <w:sz w:val="20"/>
          <w:szCs w:val="20"/>
          <w:color w:val="auto"/>
        </w:rPr>
      </w:pPr>
    </w:p>
    <w:p>
      <w:pPr>
        <w:ind w:left="1600" w:hanging="296"/>
        <w:spacing w:after="0"/>
        <w:tabs>
          <w:tab w:leader="none" w:pos="1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1580" w:hanging="276"/>
        <w:spacing w:after="0"/>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in whole or in part,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of clauses (A), (B) and (C), at any point prior to the one hundred eighty-first (181st) day after the Maturity Date.</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Exchange</w:t>
      </w:r>
      <w:r>
        <w:rPr>
          <w:rFonts w:ascii="Times New Roman" w:cs="Times New Roman" w:eastAsia="Times New Roman" w:hAnsi="Times New Roman"/>
          <w:sz w:val="18"/>
          <w:szCs w:val="18"/>
          <w:color w:val="auto"/>
        </w:rPr>
        <w:t>” means any of The New York Stock Exchange, The NYSE American LLC, The Nasdaq Capital Market, The Nasdaq Global Market or The Nasdaq Global Select Market (or any of their respective successors).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means all “</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as defined in the UCC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with respect to any Person, any and all shares, interests, participations or other equivalents, including preferred stock or membership interests (however designated, whether voting or non-voting), of equity of such Person, including, if such Person is a partnership, partnership interests (whether general or limited) and including, without limitation, any “equity security” (as that term is defined under Rule 405 promulgated under the Securities Act), and any other interest or participation that confers on a Person the right to receive a share of the profits and losses of, or distributions of assets of, such partnership.</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Rights</w:t>
      </w:r>
      <w:r>
        <w:rPr>
          <w:rFonts w:ascii="Times New Roman" w:cs="Times New Roman" w:eastAsia="Times New Roman" w:hAnsi="Times New Roman"/>
          <w:sz w:val="18"/>
          <w:szCs w:val="18"/>
          <w:color w:val="auto"/>
        </w:rPr>
        <w:t>” shall mean, with respect to any Person, any then-outstanding subscriptions, options, warrants, commitments, preemptive rights, convertible debt, or other equity-linked securities or agreements of any kind for the issuance or sale, of any additional Equity Interests of any class, or partnership or other ownership interests of any type in,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Acceleration Amount</w:t>
      </w:r>
      <w:r>
        <w:rPr>
          <w:rFonts w:ascii="Times New Roman" w:cs="Times New Roman" w:eastAsia="Times New Roman" w:hAnsi="Times New Roman"/>
          <w:sz w:val="18"/>
          <w:szCs w:val="18"/>
          <w:color w:val="auto"/>
        </w:rPr>
        <w:t xml:space="preserve">” means, with respect to the delivery of a notice pursuant to </w:t>
      </w:r>
      <w:r>
        <w:rPr>
          <w:rFonts w:ascii="Times New Roman" w:cs="Times New Roman" w:eastAsia="Times New Roman" w:hAnsi="Times New Roman"/>
          <w:sz w:val="18"/>
          <w:szCs w:val="18"/>
          <w:b w:val="1"/>
          <w:bCs w:val="1"/>
          <w:color w:val="auto"/>
        </w:rPr>
        <w:t>Section 11(B)(ii)</w:t>
      </w:r>
      <w:r>
        <w:rPr>
          <w:rFonts w:ascii="Times New Roman" w:cs="Times New Roman" w:eastAsia="Times New Roman" w:hAnsi="Times New Roman"/>
          <w:sz w:val="18"/>
          <w:szCs w:val="18"/>
          <w:color w:val="auto"/>
        </w:rPr>
        <w:t xml:space="preserve"> declaring this Note to be due and payable immediately on account of an Event of Default, a cash amount equal to one hundred fifteen percent (115%) of the then outstanding Principal Amount of this Note (or such lesser principal amount accelerated pursuant to such notice) plus accrued and unpaid interest on this Note.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each three month period ending March 31, June 30, September 30, and December 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 any of the following events:</w:t>
      </w:r>
    </w:p>
    <w:p>
      <w:pPr>
        <w:spacing w:after="0" w:line="229" w:lineRule="exact"/>
        <w:rPr>
          <w:sz w:val="20"/>
          <w:szCs w:val="20"/>
          <w:color w:val="auto"/>
        </w:rPr>
      </w:pPr>
    </w:p>
    <w:p>
      <w:pPr>
        <w:jc w:val="both"/>
        <w:ind w:firstLine="1304"/>
        <w:spacing w:after="0" w:line="261" w:lineRule="auto"/>
        <w:tabs>
          <w:tab w:leader="none" w:pos="15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13(d)(3) of the Exchange Act), other than the Company or its Wholly Owned Subsidiaries, or the employee benefit plans of the Company or its Wholly Owned Subsidiaries, files any report with the Commission indicating that such person or group has become the direct or indirect “beneficial owner” (as defined below) of shares of the Company’s common equity representing more than fifty percent (50%) of the voting power of all of the Company’s then-outstanding common equity; or</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(other than a subdivision or combination, or solely a change in par value, of the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the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(without regard to the proviso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will be deemed to occur solely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(subject to such proviso); and (y) whether a Person is a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whether shares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will be determined in accordance with Rule 13d-3 under the Exchange Act.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Base Repurchase Price</w:t>
      </w:r>
      <w:r>
        <w:rPr>
          <w:rFonts w:ascii="Times New Roman" w:cs="Times New Roman" w:eastAsia="Times New Roman" w:hAnsi="Times New Roman"/>
          <w:sz w:val="18"/>
          <w:szCs w:val="18"/>
          <w:color w:val="auto"/>
        </w:rPr>
        <w:t>” means, with respect to this Note (or any portion of this Note to be repurchased) upon a Repurchase Upon Fundamental Change, a cash amount equal to one hundred two point five percent (102.5%) of the then-outstanding Principal Amount of this Note (or portion thereof) to be so repurchased.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6(C)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means the date as of which this Note must be repurchased for cash in connection with a Fundamental Change, as provided in </w:t>
      </w:r>
      <w:r>
        <w:rPr>
          <w:rFonts w:ascii="Times New Roman" w:cs="Times New Roman" w:eastAsia="Times New Roman" w:hAnsi="Times New Roman"/>
          <w:sz w:val="18"/>
          <w:szCs w:val="18"/>
          <w:b w:val="1"/>
          <w:bCs w:val="1"/>
          <w:color w:val="auto"/>
        </w:rPr>
        <w:t>Section 6(B)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means the cash price payable by the Company to repurchase this Note (or any portion of this Note) upon its Repurchase Upon Fundamental Change, calculated pursuant to </w:t>
      </w:r>
      <w:r>
        <w:rPr>
          <w:rFonts w:ascii="Times New Roman" w:cs="Times New Roman" w:eastAsia="Times New Roman" w:hAnsi="Times New Roman"/>
          <w:sz w:val="18"/>
          <w:szCs w:val="18"/>
          <w:b w:val="1"/>
          <w:bCs w:val="1"/>
          <w:color w:val="auto"/>
        </w:rPr>
        <w:t>Section 6(D)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provided the definitions set forth in this Note and any financial calculations required by thereby shall be computed to exclude any change to lease accounting rules from those in effect pursuant to Financial Accounting Standards Board Accounting Standards Codification 840 (Leases) and other related lease accounting guidance as in effect on the date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this Note is registered on the books of the Company, which initially is the Initial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without limitation,” unless the context provides otherwise.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Exchange Note</w:t>
      </w:r>
      <w:r>
        <w:rPr>
          <w:rFonts w:ascii="Times New Roman" w:cs="Times New Roman" w:eastAsia="Times New Roman" w:hAnsi="Times New Roman"/>
          <w:sz w:val="18"/>
          <w:szCs w:val="18"/>
          <w:color w:val="auto"/>
        </w:rPr>
        <w:t>” has the meaning set forth in the Securities Exchange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Holder</w:t>
      </w:r>
      <w:r>
        <w:rPr>
          <w:rFonts w:ascii="Times New Roman" w:cs="Times New Roman" w:eastAsia="Times New Roman" w:hAnsi="Times New Roman"/>
          <w:sz w:val="18"/>
          <w:szCs w:val="18"/>
          <w:color w:val="auto"/>
        </w:rPr>
        <w:t>” has the meaning set forth in the cover page of this Note.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the Company’s Copyrights; Trademarks; Patents; Licenses; trade secrets and inventions; mask works; the Company’s applications therefor and reissues, extensions, or renewals thereof; and the Company’s goodwill associated with any of the foregoing, together with the Company’s rights to sue for past, present and future infringement of Intellectual Property and the goodwill associated therewith.</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the first calendar day of each September and March during the term of this Note, beginning on September 1, 2024; and (B) if not otherwise included in clause (A), the Maturity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 to solely the extent of the amount in excess of the fair market value.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March 10, 2023.</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shares of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shares of Common Stock are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means any Copyright License, Patent License, Trademark License or other license of rights or interests.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December 31,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is not exclusive, unless the context expressly provides otherwise.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Holder</w:t>
      </w:r>
      <w:r>
        <w:rPr>
          <w:rFonts w:ascii="Times New Roman" w:cs="Times New Roman" w:eastAsia="Times New Roman" w:hAnsi="Times New Roman"/>
          <w:sz w:val="18"/>
          <w:szCs w:val="18"/>
          <w:color w:val="auto"/>
        </w:rPr>
        <w:t>” means any person in whose name any Other Note is registered on the books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means any Notes that are of the same class of this Note and that are represented by one or more certificates other than the certificate representing this Note.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License</w:t>
      </w:r>
      <w:r>
        <w:rPr>
          <w:rFonts w:ascii="Times New Roman" w:cs="Times New Roman" w:eastAsia="Times New Roman" w:hAnsi="Times New Roman"/>
          <w:sz w:val="18"/>
          <w:szCs w:val="18"/>
          <w:color w:val="auto"/>
        </w:rPr>
        <w:t>” means any written agreement granting any right with respect to any invention covered by a Patent that is in existence or a Patent application that is pending, in which agreement the Company now holds or hereafter acquires any interest.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letters patent of, or rights corresponding thereto, in the United States or in any other country, all registrations and recordings thereof, and all applications for letters patent of, or rights corresponding thereto, in the United States or any other country.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any transaction or series of related transactions consummated by the Company or one of its Subsidiaries for the purpose of or resulting, directly or indirectly, in (a) the acquisition of all or substantially all of the assets of a Person, or of any business or division of a Person, (b) the acquisition of in excess of fifty percent (50%) of the capital stock or equity interests of any Person or otherwise causing any Person to become a Subsidiary of the Company, or (c) a merger or consolidation or any other combination with another Person, in each case for which (i) the Holder provided prior written consent for such transaction or series of related transactions, provided that the purchase price or consideration in respect of such transaction or series of related transactions at any time shall not exceed an amount equal to the aggregate purchase price of the Purchased Securities (as defined in the Securities Purchase Agreement) outstanding at such time; or (ii) the consideration remitted by the Company or its applicable Subsidiary in connection with such transaction or series of related transactions is solely in the form of Equity Interests of the Company, provided that, in each case, no Default or Event of Default shall then exist or would exist after giving effect to any of the foregoing.</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(A) Indebtedness evidenced by the Initial Exchange Notes and Indebtedness evidenced by the Notes (as defined in the Securities Purchase Agreement); (B) Indebtedness actually disclosed pursuant to the Securities Exchange Agreement as of the date of the Securities Exchange Agreement; (C) nonrecourse Indebtedness outstanding at any time secured by a Lien described in clause (G) of the defined term “Permitted Liens,” provided such Indebtedness does not exceed the cost of the Equipment or real property interests and related expenses financed with such Indebtedness or in the form of purchase money Indebtedness (whether in the form of a loan or a lease) used solely to acquire Equipment or real property interests used in the ordinary course of business and secured only by such Equipment and real property interests and sale and insurance proceeds in respect thereof, and provided further that the total amount of Permitted Indebtedness permitted pursuant to this clause (C) may not exceed five million dollars ($5,000,000) in the aggregate; (D) nonrecourse Indebtedness outstanding at any time secured by a Lien described in clause (H) of the defined term “Permitted Liens,” provided such Indebtedness does not exceed the cost of the software or other intellectual property and related expenses financed with such Indebtedness or in the form of purchase money Indebtedness (whether in the form of a loan or a lease) used solely to acquire software or other intellectual property used in the ordinary course of business and secured only by such software or other intellectual property and sale and insurance proceeds in respect thereof, provided further that the total amount of Permitted Indebtedness permitted pursuant to this clause (D) may not exceed five hundred thousand dollars ($500,000) in the aggregate; (E) Indebtedness to trade creditors incurred in the ordinary course of business; (F) Subordinated Indebtedness of the Company that has received the prior written approval of the Holder; (G) reimbursement obligations in connection with letters of credit or similar instruments that are secured by Cash or Cash Equivalents and issued on behalf of the Company or a Subsidiary thereof in an aggregate amount not to exceed five hundred thousand dollars ($500,000) at any time outstanding; (H) unsecured Indebtedness of the Company that has received the prior written approval of the Holder, (I) Contingent Obligations that are guarantees of Indebtedness described in clauses (A) through (H) and (J); and (J) earn-outs incurred in connection with any Permitted Acquisition that are subordinated in full to the Notes to the satisfaction of the Holder and do not exceed (a) ten million dollars ($10,000,000) in the aggregate due in any twelve-month period and (b) twenty million dollars ($20,000,000); provided that in no event shall Permitted Indebtedness under (x) clauses (B)-(J) of this definition exceed in the aggregate an amount equal to ten million dollars ($10,000,000) or (y) clauses (F) or (H) (1) have a final maturity date, amortization payment, sinking fund, put right, mandatory redemption or other repurchase obligation at the option of the lender or holder of such indebtedness, or be prepayable at the option of the Company, in any case earlier than one hundred eighty-one (181) days following the Maturity Date or (2) have any covenants that are more restrictive on the Company in any material respect than the covenants set forth in this Note.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Intellectual Property Licenses</w:t>
      </w:r>
      <w:r>
        <w:rPr>
          <w:rFonts w:ascii="Times New Roman" w:cs="Times New Roman" w:eastAsia="Times New Roman" w:hAnsi="Times New Roman"/>
          <w:sz w:val="18"/>
          <w:szCs w:val="18"/>
          <w:color w:val="auto"/>
        </w:rPr>
        <w:t>” means Intellectual Property (A) licenses in existence at March 23, 2022, including those listed on the Schedules to the Security Agreements, and (B) non-perpetual licenses granted in the ordinary course of business on arm’s length terms consisting of the licensing of technology, the development of technology or the providing of technical support which may include licenses with unlimited renewal options solely to the extent such options require mutual consent for renewal or are subject to financial or other conditions as to the ability of licensee to perform under the license; provided such license was not entered into during an Event of Default or continuance of a Default.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w:t>
      </w:r>
      <w:r>
        <w:rPr>
          <w:rFonts w:ascii="Times New Roman" w:cs="Times New Roman" w:eastAsia="Times New Roman" w:hAnsi="Times New Roman"/>
          <w:sz w:val="18"/>
          <w:szCs w:val="18"/>
          <w:color w:val="auto"/>
        </w:rPr>
        <w:t>” means: (A) Investments actually disclosed pursuant to the Securities Exchange Agreement, as in effect as of the Issue Date; (B) (i)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a rating of at least A-2 or P-2 from either Standard &amp; Poor’s Corporation or Moody’s Investors Service, (iii) certificates of deposit issued by any bank headquartered in the United States with assets of at least $5,000,000,000 maturing no more than one year from the date of investment therein, and (iv) money market accounts; (C) Investments accepted in connection with Permitted Transfers; (D) Investments (including debt obligations) received in connection with the bankruptcy or reorganization of customers or suppliers and in settlement of delinquent obligations of, and other disputes with, customers or suppliers arising in the ordinary course of the Company’s business; (E) Investments consisting of notes receivable of, or prepaid royalties and other credit extensions, to customers and suppliers in the ordinary course of business and consistent with past practice, provided that this clause (E) shall not apply to Investments of the Company in any Subsidiary thereof; (F) Investments consisting of (i) loans not involving the net transfer on a substantially contemporaneous basis of cash proceeds to employees, officers or directors relating to the purchase of capital stock of the Company pursuant to employee stock purchase plans or other similar agreements approved by the Company’s Board of Directors and (ii) travel advances and employee relocation loans and other employee loans and advances in the ordinary course of business, provided that the aggregate of all such loans outstanding may not exceed one hundred thousand ($100,000) at any time; (G) Investments in Wholly Owned Subsidiaries; (H) Permitted Intellectual Property Licenses; (I) Permitted Acquisitions; (J) loans, advances or other capital contributions to Company customers pursuant to a TTK Contract with such customer; (K) Investments in a TTK SPV; and (L) Investments in real property; provided that, for any Investment set forth in clause (G), (J) and (K) other than a Permitted Turnkey Investment, such Investment shall not qualify as a Permitted Investment unless the Company receives the prior written consent to such Investment from the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any and all of the following: (A) Liens in favor of Holder or the Collateral Agent; (B) Liens deemed to be disclosed pursuant to the Securities Exchange Agreement, as in effect as of the Issue Date; (C) Liens for taxes, fees, assessments or other governmental charges or levies, either not delinquent or being contested in good faith by appropriate proceedings; provided, that the Company maintains adequate reserves therefor in accordance with GAAP; (D) Liens securing claims or demands of materialmen, artisans, mechanics, carriers, warehousemen, landlords and other like Persons arising in the ordinary course of business; provided, that the payment thereof is not yet required; (E) Liens arising from judgments, decrees or attachments in circumstances which do not constitute a Default or an Event of Default hereunder; (F)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(G) Liens on Equipment (but, for the avoidance of doubt, not software or other intellectual property) or real property interests constituting purchase money Liens or Liens securing construction financing for real property interests and Liens in connection with Capital Leases securing Indebtedness permitted in clause (C) of “Permitted Indebtedness”; (H) Liens on software or other intellectual property (but, for the avoidance of doubt, not Equipment or real property interests related thereto) constituting purchase money Liens and Liens in connection with Capital Leases securing Indebtedness permitted in clause (D) of “Permitted Indebtedness”;</w:t>
      </w:r>
    </w:p>
    <w:p>
      <w:pPr>
        <w:spacing w:after="0" w:line="4" w:lineRule="exact"/>
        <w:rPr>
          <w:sz w:val="20"/>
          <w:szCs w:val="20"/>
          <w:color w:val="auto"/>
        </w:rPr>
      </w:pPr>
    </w:p>
    <w:p>
      <w:pPr>
        <w:jc w:val="both"/>
        <w:ind w:firstLine="8"/>
        <w:spacing w:after="0" w:line="251" w:lineRule="auto"/>
        <w:tabs>
          <w:tab w:leader="none" w:pos="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interests in leases or subleases and licenses granted in the ordinary course of the Company’s business and not interfering in any material respect with the business of the licensor; (J) Liens in favor of customs and revenue authorities arising as a matter of law to secure payment of custom duties that are promptly paid on or before the date they become due; (K) Liens on insurance proceeds securing the payment of financed insurance premiums that are promptly paid on or before the date they become due (provided that such Liens extend only to such insurance proceeds and not to any other property or assets); (L) statutory and common law rights of set-off and other similar rights as to deposits of cash and securities in favor of banks, other depository institutions and brokerage firms; (M) easements, zoning restrictions, rights-of-way and similar encumbrances on real property imposed by law or arising in the ordinary course of business so long as they do not materially impair the value or marketability of the related property; (N) Liens on Cash or Cash Equivalents securing obligations permitted under clause (E) and (G) of the definition of Permitted Indebtedness; (O) Liens securing Subordinated Indebtedness, and (P) Liens incurred in connection with the extension, renewal or refinancing of the Indebtedness secured by Liens of the type described in clauses (C) through (O) above (other than any Indebtedness repaid with the proceeds of this Note);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means (A) dispositions of inventory sold, and Permitted Intellectual Property Licenses entered into, in each case, in the ordinary course of business, (B) dispositions of worn-out, obsolete or surplus property at fair market value in the ordinary course of business; (C) dispositions of accounts or payment intangibles (each as defined in the UCC) resulting from the compromise or settlement thereof in the ordinary course of business for less than the full amount thereof; (D) transfers consisting of Permitted Investments in Wholly Owned Subsidiaries under clause (G) of Permitted Investments; (E) transfers between Grantors (as defined in the Security Agreement); and (F) other transfers of assets to any Person other than to a joint venture and which have a fair market value of not more than fifty thousand dollars ($50,000) in the aggregate in any twelve (12) month period.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Turnkey Investment</w:t>
      </w:r>
      <w:r>
        <w:rPr>
          <w:rFonts w:ascii="Times New Roman" w:cs="Times New Roman" w:eastAsia="Times New Roman" w:hAnsi="Times New Roman"/>
          <w:sz w:val="18"/>
          <w:szCs w:val="18"/>
          <w:color w:val="auto"/>
        </w:rPr>
        <w:t>” shall mean any Investments in any customers using the Company’s Total Turnkey Solution not to exceed in the aggregate twelve million dollars ($12,000,000).</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xml:space="preserve">” has the meaning set forth in the cover page of this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Principal Amount of this Note will be subject to reduction pursuant to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Securities Exchange Agreement</w:t>
      </w:r>
      <w:r>
        <w:rPr>
          <w:rFonts w:ascii="Times New Roman" w:cs="Times New Roman" w:eastAsia="Times New Roman" w:hAnsi="Times New Roman"/>
          <w:sz w:val="18"/>
          <w:szCs w:val="18"/>
          <w:color w:val="auto"/>
        </w:rPr>
        <w:t>” means that certain Securities Exchange Agreement, dated as of August 18, 2022, by and between the Company and each of the investors listed on the Schedule of Holders attached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Upon Fundamental Change</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has the meaning set forth in the Securities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xml:space="preserve">” has the meaning in </w:t>
      </w:r>
      <w:r>
        <w:rPr>
          <w:rFonts w:ascii="Times New Roman" w:cs="Times New Roman" w:eastAsia="Times New Roman" w:hAnsi="Times New Roman"/>
          <w:sz w:val="18"/>
          <w:szCs w:val="18"/>
          <w:b w:val="1"/>
          <w:bCs w:val="1"/>
          <w:color w:val="auto"/>
        </w:rPr>
        <w:t>Section 9(W)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in terms of volume, Eligible Exchange on which the Common Stock is listed for trading. If the Common Stock is not so listed or traded, then “Scheduled Trading day” means a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Exchange Agreement</w:t>
      </w:r>
      <w:r>
        <w:rPr>
          <w:rFonts w:ascii="Times New Roman" w:cs="Times New Roman" w:eastAsia="Times New Roman" w:hAnsi="Times New Roman"/>
          <w:sz w:val="18"/>
          <w:szCs w:val="18"/>
          <w:color w:val="auto"/>
        </w:rPr>
        <w:t>” means that certain Securities Exchange Agreement, dated as of March 8, 2023, by and among the Company and each of the investors listed on the Schedule of Holders attached thereto.</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March 14, 2022, by and among the Company and each of the investors listed on the Schedule of Buyers attached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Agreements</w:t>
      </w:r>
      <w:r>
        <w:rPr>
          <w:rFonts w:ascii="Times New Roman" w:cs="Times New Roman" w:eastAsia="Times New Roman" w:hAnsi="Times New Roman"/>
          <w:sz w:val="18"/>
          <w:szCs w:val="18"/>
          <w:color w:val="auto"/>
        </w:rPr>
        <w:t>” means those certain Security Agreements, dated March 23, 2022, between the Company and the Collateral Agent, as amended,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w:t>
      </w:r>
      <w:r>
        <w:rPr>
          <w:rFonts w:ascii="Times New Roman" w:cs="Times New Roman" w:eastAsia="Times New Roman" w:hAnsi="Times New Roman"/>
          <w:sz w:val="18"/>
          <w:szCs w:val="18"/>
          <w:color w:val="auto"/>
        </w:rPr>
        <w:t>” has the meaning set forth in the Security Agreements.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with respect to any Person, any Subsidiary of such Person that constitutes a “significant subsidiary” (as defined in Rule 1-02(w) of Regulation S-X under the Exchange Act)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 Rate</w:t>
      </w:r>
      <w:r>
        <w:rPr>
          <w:rFonts w:ascii="Times New Roman" w:cs="Times New Roman" w:eastAsia="Times New Roman" w:hAnsi="Times New Roman"/>
          <w:sz w:val="18"/>
          <w:szCs w:val="18"/>
          <w:color w:val="auto"/>
        </w:rPr>
        <w:t>” means, as of any date, a rate per annum equal to ten percent (10.0%).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Indebtedness</w:t>
      </w:r>
      <w:r>
        <w:rPr>
          <w:rFonts w:ascii="Times New Roman" w:cs="Times New Roman" w:eastAsia="Times New Roman" w:hAnsi="Times New Roman"/>
          <w:sz w:val="18"/>
          <w:szCs w:val="18"/>
          <w:color w:val="auto"/>
        </w:rPr>
        <w:t>” means Indebtedness subordinated to the Notes that is (a) in amounts and on terms and conditions satisfactory to the Holder in its sole discretion or (b) nonrecourse Indebtedness incurred in connection with the consummation of a TTK Contract that is secured only by assets of the respective TTK SPV, provided that, for the avoidance of doubt, no Indebtedness permitted under this clause (b) shall be guaranteed by the Company or qualify as a liability of the Company.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 License</w:t>
      </w:r>
      <w:r>
        <w:rPr>
          <w:rFonts w:ascii="Times New Roman" w:cs="Times New Roman" w:eastAsia="Times New Roman" w:hAnsi="Times New Roman"/>
          <w:sz w:val="18"/>
          <w:szCs w:val="18"/>
          <w:color w:val="auto"/>
        </w:rPr>
        <w:t>” means any written agreement granting any right to use any Trademark or Trademark registration, now owned or hereafter acquired by the Company or in which the Company now holds or hereafter acquires any interest.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all trademarks (registered, common law or otherwise) and any applications in connection therewith, including registrations, recordings and applications in the United States Patent and Trademark Office or in any similar office or agency of the United States, any State thereof or any other country or any political subdivision thereof.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shall mean the documents included in the definitions of “Transaction Documents” under the Securities Exchange Agreement and the Prior Securities Exchange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TTK Contracts</w:t>
      </w:r>
      <w:r>
        <w:rPr>
          <w:rFonts w:ascii="Times New Roman" w:cs="Times New Roman" w:eastAsia="Times New Roman" w:hAnsi="Times New Roman"/>
          <w:sz w:val="18"/>
          <w:szCs w:val="18"/>
          <w:color w:val="auto"/>
        </w:rPr>
        <w:t>” means Total Turn-Key Solution contracts entered into between the Company and customers thereof to implement a TTK Transaction, which include, without limitation, financing, construction, vertical farming unit leasing, extraction or processing equipment leasing, software, brand and/or marketing consulting and production-based fee contracts.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TTK SPV</w:t>
      </w:r>
      <w:r>
        <w:rPr>
          <w:rFonts w:ascii="Times New Roman" w:cs="Times New Roman" w:eastAsia="Times New Roman" w:hAnsi="Times New Roman"/>
          <w:sz w:val="18"/>
          <w:szCs w:val="18"/>
          <w:color w:val="auto"/>
        </w:rPr>
        <w:t>” means a special purpose vehicle established to implement a TTK Transaction with a customer of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TTK Transaction</w:t>
      </w:r>
      <w:r>
        <w:rPr>
          <w:rFonts w:ascii="Times New Roman" w:cs="Times New Roman" w:eastAsia="Times New Roman" w:hAnsi="Times New Roman"/>
          <w:sz w:val="18"/>
          <w:szCs w:val="18"/>
          <w:color w:val="auto"/>
        </w:rPr>
        <w:t>” means a long-term partnership between the Company and a customer of the Company designed to provide such customer with access to vertical farming units, extraction or processing equipment, construction and/or equipment funding, facility design and construction services, cultivation equipment and software, standard operating procedures, training, data and insights, and ongoing maintenance, support, and equipment upgrades.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the same is, from time to time, in effect in the State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Undelivered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provided that the Holder, by written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eemed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of this Note will be treated as the owner of this Note for all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and any Note issued in exchange therefor or in substitution thereof, will be in registered form, without coupons.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Section 4.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aturity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repayment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960" w:hanging="30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0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will accrue interest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at a rate per annum equal to the Stated Interest Rate. Stated Interest on this Note will (i) accrue on the Principal Amount of this Note; (ii) accrue from, and including, the most recent date to which Stated Interest has been paid or duly provided for (or, if no Stated Interest has theretofore been paid or duly provided for, the Issue Date) to, but excluding, the date of payment of such Stated Interest; (iii) be paid to Holder on each Interest Payment Date in accordance with </w:t>
      </w:r>
      <w:r>
        <w:rPr>
          <w:rFonts w:ascii="Times New Roman" w:cs="Times New Roman" w:eastAsia="Times New Roman" w:hAnsi="Times New Roman"/>
          <w:sz w:val="18"/>
          <w:szCs w:val="18"/>
          <w:b w:val="1"/>
          <w:bCs w:val="1"/>
          <w:color w:val="auto"/>
        </w:rPr>
        <w:t>Section 5(A)</w:t>
      </w:r>
      <w:r>
        <w:rPr>
          <w:rFonts w:ascii="Times New Roman" w:cs="Times New Roman" w:eastAsia="Times New Roman" w:hAnsi="Times New Roman"/>
          <w:sz w:val="18"/>
          <w:szCs w:val="18"/>
          <w:color w:val="auto"/>
        </w:rPr>
        <w:t>; and (iv) be computed on the basis of a 360-day year comprised of twelve 30-day months.</w:t>
      </w:r>
    </w:p>
    <w:p>
      <w:pPr>
        <w:spacing w:after="0" w:line="179"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or an Event of Default occurs, then in each case,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will accrue (rather than at the Stated Interest Rate, if applicable) on the Principal Amount outstanding as of the date of such Default or Event of Default at a rate per annum equal to eighteen percent (18.0%), from, and including, the date of such Default or Event of Default, as applicable, to, but excluding, the date such Default is cured and all outstanding Default Interest under this Note has been paid. Default Interest hereunder will be payable in arrears on the earlier of (i) the first day of each calendar month and (ii) the date such Default is cured, and will be computed on the basis of a 360-day year comprised of twelve 30-day months.</w:t>
      </w:r>
    </w:p>
    <w:p>
      <w:pPr>
        <w:spacing w:after="0" w:line="181" w:lineRule="exact"/>
        <w:rPr>
          <w:rFonts w:ascii="Times New Roman" w:cs="Times New Roman" w:eastAsia="Times New Roman" w:hAnsi="Times New Roman"/>
          <w:sz w:val="18"/>
          <w:szCs w:val="18"/>
          <w:color w:val="auto"/>
        </w:rPr>
      </w:pPr>
    </w:p>
    <w:p>
      <w:pPr>
        <w:ind w:firstLine="656"/>
        <w:spacing w:after="0" w:line="284" w:lineRule="auto"/>
        <w:tabs>
          <w:tab w:leader="none" w:pos="9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 Date Payment</w:t>
      </w:r>
      <w:r>
        <w:rPr>
          <w:rFonts w:ascii="Times New Roman" w:cs="Times New Roman" w:eastAsia="Times New Roman" w:hAnsi="Times New Roman"/>
          <w:sz w:val="18"/>
          <w:szCs w:val="18"/>
          <w:color w:val="auto"/>
        </w:rPr>
        <w:t>. On the Maturity Date, the Company will pay the Holder an amount in cash equal to the then-outstanding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this Note plus any accrued and unpaid interest on this Note.</w:t>
      </w:r>
    </w:p>
    <w:p>
      <w:pPr>
        <w:spacing w:after="0" w:line="15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w:t>
      </w:r>
      <w:r>
        <w:rPr>
          <w:rFonts w:ascii="Times New Roman" w:cs="Times New Roman" w:eastAsia="Times New Roman" w:hAnsi="Times New Roman"/>
          <w:sz w:val="18"/>
          <w:szCs w:val="18"/>
          <w:color w:val="auto"/>
        </w:rPr>
        <w:t>. The Company may not prepay the Note without the written consent of the Holder other than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M</w:t>
      </w:r>
      <w:r>
        <w:rPr>
          <w:rFonts w:ascii="Times New Roman" w:cs="Times New Roman" w:eastAsia="Times New Roman" w:hAnsi="Times New Roman"/>
          <w:sz w:val="12"/>
          <w:szCs w:val="12"/>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4" w:lineRule="auto"/>
        <w:tabs>
          <w:tab w:leader="none" w:pos="9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all cash amounts due under this Note by wire transfer of immediately available funds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Holder that is provided to the Company on the date hereof, which account may be changed for any cash amount due under this Note by written notice provided by the Holder to the Company at least three (3) Business Days before the date such amount is due. Notwithstanding anything to the contrary herein, any payments of Stated Interest required hereunder may be paid, at the option of the Company, in cash, in shares of Common Stock (“</w:t>
      </w:r>
      <w:r>
        <w:rPr>
          <w:rFonts w:ascii="Times New Roman" w:cs="Times New Roman" w:eastAsia="Times New Roman" w:hAnsi="Times New Roman"/>
          <w:sz w:val="18"/>
          <w:szCs w:val="18"/>
          <w:b w:val="1"/>
          <w:bCs w:val="1"/>
          <w:color w:val="auto"/>
        </w:rPr>
        <w:t>Interest Shares</w:t>
      </w:r>
      <w:r>
        <w:rPr>
          <w:rFonts w:ascii="Times New Roman" w:cs="Times New Roman" w:eastAsia="Times New Roman" w:hAnsi="Times New Roman"/>
          <w:sz w:val="18"/>
          <w:szCs w:val="18"/>
          <w:color w:val="auto"/>
        </w:rPr>
        <w:t xml:space="preserve">”) or a combination of cash and Interest Shares. Interest to be paid hereunder in Interest Shares shall be paid in a number of shares (rounded to the nearest closest whole number in accordance with </w:t>
      </w:r>
      <w:r>
        <w:rPr>
          <w:rFonts w:ascii="Times New Roman" w:cs="Times New Roman" w:eastAsia="Times New Roman" w:hAnsi="Times New Roman"/>
          <w:sz w:val="18"/>
          <w:szCs w:val="18"/>
          <w:b w:val="1"/>
          <w:bCs w:val="1"/>
          <w:color w:val="auto"/>
        </w:rPr>
        <w:t>Section 7(D)</w:t>
      </w:r>
      <w:r>
        <w:rPr>
          <w:rFonts w:ascii="Times New Roman" w:cs="Times New Roman" w:eastAsia="Times New Roman" w:hAnsi="Times New Roman"/>
          <w:sz w:val="18"/>
          <w:szCs w:val="18"/>
          <w:color w:val="auto"/>
        </w:rPr>
        <w:t>) of Common Stock equal to the greater of (A) the quotient obtained by dividing (i) the amount of Stated Interest payable on such date less any Stated Interest paid in cash on such date by (ii) the Conversion Price, and (B) the quotient obtained by dividing (i) the amount of Stated Interest payable on such date less any Stated Interest paid in cash on such date by (ii) the average trailing seven (7) day Daily VWAP less twenty percent (20%) of such average price.</w:t>
      </w:r>
    </w:p>
    <w:p>
      <w:pPr>
        <w:spacing w:after="0" w:line="188" w:lineRule="exact"/>
        <w:rPr>
          <w:rFonts w:ascii="Times New Roman" w:cs="Times New Roman" w:eastAsia="Times New Roman" w:hAnsi="Times New Roman"/>
          <w:sz w:val="18"/>
          <w:szCs w:val="18"/>
          <w:color w:val="auto"/>
        </w:rPr>
      </w:pPr>
    </w:p>
    <w:p>
      <w:pPr>
        <w:jc w:val="both"/>
        <w:ind w:firstLine="656"/>
        <w:spacing w:after="0" w:line="267" w:lineRule="auto"/>
        <w:tabs>
          <w:tab w:leader="none" w:pos="9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this Note as provided in this Note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then, notwithstanding anything to the contrary in this Note, such payment may be made on the immediately following Business Day and no interest will accrue on such payment as a result of the related delay.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Section 6. R</w:t>
      </w:r>
      <w:r>
        <w:rPr>
          <w:rFonts w:ascii="Times New Roman" w:cs="Times New Roman" w:eastAsia="Times New Roman" w:hAnsi="Times New Roman"/>
          <w:sz w:val="12"/>
          <w:szCs w:val="12"/>
          <w:b w:val="1"/>
          <w:bCs w:val="1"/>
          <w:color w:val="auto"/>
        </w:rPr>
        <w:t>equired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 upon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68" w:lineRule="auto"/>
        <w:tabs>
          <w:tab w:leader="none" w:pos="9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Upon Fundamental Change</w:t>
      </w:r>
      <w:r>
        <w:rPr>
          <w:rFonts w:ascii="Times New Roman" w:cs="Times New Roman" w:eastAsia="Times New Roman" w:hAnsi="Times New Roman"/>
          <w:sz w:val="18"/>
          <w:szCs w:val="18"/>
          <w:color w:val="auto"/>
        </w:rPr>
        <w:t>. 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if a Fundamental Change occurs, then the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require the Company to repurchase this Note (or any portion of this Note in an Authorized Denomination) on the Fundamental Change Repurchase Date for such Fundamental Change for a cash purchase price equal to the Fundamental Change Repurchase Price.</w:t>
      </w:r>
    </w:p>
    <w:p>
      <w:pPr>
        <w:spacing w:after="0" w:line="172" w:lineRule="exact"/>
        <w:rPr>
          <w:rFonts w:ascii="Times New Roman" w:cs="Times New Roman" w:eastAsia="Times New Roman" w:hAnsi="Times New Roman"/>
          <w:sz w:val="18"/>
          <w:szCs w:val="18"/>
          <w:color w:val="auto"/>
        </w:rPr>
      </w:pPr>
    </w:p>
    <w:p>
      <w:pPr>
        <w:jc w:val="both"/>
        <w:ind w:firstLine="656"/>
        <w:spacing w:after="0" w:line="267" w:lineRule="auto"/>
        <w:tabs>
          <w:tab w:leader="none" w:pos="9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Date</w:t>
      </w:r>
      <w:r>
        <w:rPr>
          <w:rFonts w:ascii="Times New Roman" w:cs="Times New Roman" w:eastAsia="Times New Roman" w:hAnsi="Times New Roman"/>
          <w:sz w:val="18"/>
          <w:szCs w:val="18"/>
          <w:color w:val="auto"/>
        </w:rPr>
        <w:t>. The Fundamental Change Repurchase Date for any Fundamental Change will be a Business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Holder’s choosing that is no more than twenty (20) Business Days after the later of (x) the date the Company delivers to the Holder the related Fundamental Change Notice pursuant to </w:t>
      </w:r>
      <w:r>
        <w:rPr>
          <w:rFonts w:ascii="Times New Roman" w:cs="Times New Roman" w:eastAsia="Times New Roman" w:hAnsi="Times New Roman"/>
          <w:sz w:val="18"/>
          <w:szCs w:val="18"/>
          <w:b w:val="1"/>
          <w:bCs w:val="1"/>
          <w:color w:val="auto"/>
        </w:rPr>
        <w:t>Section 6(C)</w:t>
      </w:r>
      <w:r>
        <w:rPr>
          <w:rFonts w:ascii="Times New Roman" w:cs="Times New Roman" w:eastAsia="Times New Roman" w:hAnsi="Times New Roman"/>
          <w:sz w:val="18"/>
          <w:szCs w:val="18"/>
          <w:color w:val="auto"/>
        </w:rPr>
        <w:t>; and (y) the effective date of such Fundamental Change.</w:t>
      </w:r>
    </w:p>
    <w:p>
      <w:pPr>
        <w:spacing w:after="0" w:line="173" w:lineRule="exact"/>
        <w:rPr>
          <w:rFonts w:ascii="Times New Roman" w:cs="Times New Roman" w:eastAsia="Times New Roman" w:hAnsi="Times New Roman"/>
          <w:sz w:val="18"/>
          <w:szCs w:val="18"/>
          <w:color w:val="auto"/>
        </w:rPr>
      </w:pPr>
    </w:p>
    <w:p>
      <w:pPr>
        <w:jc w:val="both"/>
        <w:ind w:firstLine="656"/>
        <w:spacing w:after="0" w:line="262" w:lineRule="auto"/>
        <w:tabs>
          <w:tab w:leader="none" w:pos="9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Notice</w:t>
      </w:r>
      <w:r>
        <w:rPr>
          <w:rFonts w:ascii="Times New Roman" w:cs="Times New Roman" w:eastAsia="Times New Roman" w:hAnsi="Times New Roman"/>
          <w:sz w:val="18"/>
          <w:szCs w:val="18"/>
          <w:color w:val="auto"/>
        </w:rPr>
        <w:t>. No later than the eighth (8th) Business Day before the occurrence of any Fundamental Change,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send to the Holder a written notice (the “</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thereof (provided, however, in no event shall such notice be required prior to</w:t>
      </w:r>
    </w:p>
    <w:p>
      <w:pPr>
        <w:jc w:val="both"/>
        <w:spacing w:after="0" w:line="221" w:lineRule="auto"/>
        <w:rPr>
          <w:sz w:val="20"/>
          <w:szCs w:val="20"/>
          <w:color w:val="auto"/>
        </w:rPr>
      </w:pPr>
      <w:r>
        <w:rPr>
          <w:rFonts w:ascii="Times New Roman" w:cs="Times New Roman" w:eastAsia="Times New Roman" w:hAnsi="Times New Roman"/>
          <w:sz w:val="18"/>
          <w:szCs w:val="18"/>
          <w:color w:val="auto"/>
        </w:rPr>
        <w:t>the actual public notice of such Fundamental Change), stating the expected date such Fundamental Change will occur. No later than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delivery of the Fundamental Change Notice, the Holder shall notify the Company in writing whether it will require the Company to repurchase this Note and specify the Fundamental Change Repurchase Date.</w:t>
      </w:r>
    </w:p>
    <w:p>
      <w:pPr>
        <w:spacing w:after="0" w:line="196" w:lineRule="exact"/>
        <w:rPr>
          <w:sz w:val="20"/>
          <w:szCs w:val="20"/>
          <w:color w:val="auto"/>
        </w:rPr>
      </w:pPr>
    </w:p>
    <w:p>
      <w:pPr>
        <w:jc w:val="both"/>
        <w:ind w:firstLine="656"/>
        <w:spacing w:after="0" w:line="257" w:lineRule="auto"/>
        <w:tabs>
          <w:tab w:leader="none" w:pos="9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Price</w:t>
      </w:r>
      <w:r>
        <w:rPr>
          <w:rFonts w:ascii="Times New Roman" w:cs="Times New Roman" w:eastAsia="Times New Roman" w:hAnsi="Times New Roman"/>
          <w:sz w:val="18"/>
          <w:szCs w:val="18"/>
          <w:color w:val="auto"/>
        </w:rPr>
        <w:t>. The Fundamental Change Repurchase Price for this Note (or any portion of this Note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repurchased) upon a Repurchase Upon Fundamental Change following a Fundamental Change is an amount in cash equal to the Fundamental Change Base Repurchase Price for such Fundamental Change plus any accrued and unpaid interest on this Note (or such portion of this Note) to, but excluding, the Fundamental Change Repurchase Date for such Fundamental Change. For the avoidance of doubt, no other prepayment premium, fee or penalty (including the prepayment fee set forth in the definition of “</w:t>
      </w:r>
      <w:r>
        <w:rPr>
          <w:rFonts w:ascii="Times New Roman" w:cs="Times New Roman" w:eastAsia="Times New Roman" w:hAnsi="Times New Roman"/>
          <w:sz w:val="18"/>
          <w:szCs w:val="18"/>
          <w:b w:val="1"/>
          <w:bCs w:val="1"/>
          <w:color w:val="auto"/>
        </w:rPr>
        <w:t>Company Redemption Price</w:t>
      </w:r>
      <w:r>
        <w:rPr>
          <w:rFonts w:ascii="Times New Roman" w:cs="Times New Roman" w:eastAsia="Times New Roman" w:hAnsi="Times New Roman"/>
          <w:sz w:val="18"/>
          <w:szCs w:val="18"/>
          <w:color w:val="auto"/>
        </w:rPr>
        <w:t>”) shall be due or payable in connection with a Repurchase Upon Fundamental Change.</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9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Repurchase</w:t>
      </w:r>
      <w:r>
        <w:rPr>
          <w:rFonts w:ascii="Times New Roman" w:cs="Times New Roman" w:eastAsia="Times New Roman" w:hAnsi="Times New Roman"/>
          <w:sz w:val="18"/>
          <w:szCs w:val="18"/>
          <w:color w:val="auto"/>
        </w:rPr>
        <w:t>. If this Note (or any portion of this Note) is to be repurchased upon a Repurchase Upon Fundamental Change, then,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after the date the related Fundamental Change Repurchase Price is paid in full, this Note (or such portion) will cease to be outstanding.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Section 7.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Convert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00" w:hanging="215"/>
        <w:spacing w:after="0"/>
        <w:tabs>
          <w:tab w:leader="none" w:pos="16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1385"/>
        <w:spacing w:after="0" w:line="268" w:lineRule="auto"/>
        <w:tabs>
          <w:tab w:leader="none" w:pos="1669"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this Note may be converted in part, but only in an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Denomination. Provisions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applying to the conversion of this Note in whole will equally apply to conversions of any permitted portion of this Note.</w:t>
      </w:r>
    </w:p>
    <w:p>
      <w:pPr>
        <w:spacing w:after="0" w:line="17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this Note May Be Converted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85"/>
        <w:spacing w:after="0" w:line="284" w:lineRule="auto"/>
        <w:tabs>
          <w:tab w:leader="none" w:pos="160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Holder may convert this Note at any time until the Close of Business on the second (2nd) Scheduled Trading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the Maturity Date.</w:t>
      </w:r>
    </w:p>
    <w:p>
      <w:pPr>
        <w:spacing w:after="0" w:line="156" w:lineRule="exact"/>
        <w:rPr>
          <w:rFonts w:ascii="Times New Roman" w:cs="Times New Roman" w:eastAsia="Times New Roman" w:hAnsi="Times New Roman"/>
          <w:sz w:val="18"/>
          <w:szCs w:val="18"/>
          <w:color w:val="auto"/>
        </w:rPr>
      </w:pPr>
    </w:p>
    <w:p>
      <w:pPr>
        <w:jc w:val="both"/>
        <w:ind w:firstLine="1385"/>
        <w:spacing w:after="0" w:line="259" w:lineRule="auto"/>
        <w:tabs>
          <w:tab w:leader="none" w:pos="164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and Closed Periods</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if this Note (or any portion of this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to be repurchased upon a Repurchase Upon Fundamental Change, then in no event may this Note (or such portion) be converted after the Close of Business on the Scheduled Trading Day immediately before the related Fundamental Change Repurchase Date; provided, that the limitations contained in this </w:t>
      </w:r>
      <w:r>
        <w:rPr>
          <w:rFonts w:ascii="Times New Roman" w:cs="Times New Roman" w:eastAsia="Times New Roman" w:hAnsi="Times New Roman"/>
          <w:sz w:val="18"/>
          <w:szCs w:val="18"/>
          <w:b w:val="1"/>
          <w:bCs w:val="1"/>
          <w:color w:val="auto"/>
        </w:rPr>
        <w:t>Section 7(B)(ii)</w:t>
      </w:r>
      <w:r>
        <w:rPr>
          <w:rFonts w:ascii="Times New Roman" w:cs="Times New Roman" w:eastAsia="Times New Roman" w:hAnsi="Times New Roman"/>
          <w:sz w:val="18"/>
          <w:szCs w:val="18"/>
          <w:color w:val="auto"/>
        </w:rPr>
        <w:t xml:space="preserve"> shall no longer apply to this Note (or such applicable portion) if the applicable Fundamental Change Repurchase Price is not delivered on the Fundamental Change Repurchase Date in accordance with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5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convert this Note, the Holder must complete, sign and deliver to the Company the conversion notice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or portable document format (.pdf) version of such conversion notice (at which time such conversion will become irrevocable) (a “</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For the avoidance of doubt, the Holder Conversion Notice may be delivered by e-mail in accordance with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If the Company fails to deliver, by the related Conversion Settlement Date, any shares of Common Stock forming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Consideration of the conversion of this Note, the Holder, by notice to the Company, may rescind all or any portion of the corresponding Holder Conversion Notice at any time until such Undelivered Shares are delivered.</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5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shares of Common Stock is issuable upon conversion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will be deemed to become the holder of record of such shares as of the Close of Business on the Conversion Date for such conversion, conferring, as of such time, upon such person, without limitation, all voting and other rights appurtenant to such shares.</w:t>
      </w:r>
    </w:p>
    <w:p>
      <w:pPr>
        <w:spacing w:after="0" w:line="173" w:lineRule="exact"/>
        <w:rPr>
          <w:rFonts w:ascii="Times New Roman" w:cs="Times New Roman" w:eastAsia="Times New Roman" w:hAnsi="Times New Roman"/>
          <w:sz w:val="18"/>
          <w:szCs w:val="18"/>
          <w:color w:val="auto"/>
        </w:rPr>
      </w:pPr>
    </w:p>
    <w:p>
      <w:pPr>
        <w:ind w:left="660" w:firstLine="644"/>
        <w:spacing w:after="0" w:line="284" w:lineRule="auto"/>
        <w:tabs>
          <w:tab w:leader="none" w:pos="16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and Duties. </w:t>
      </w:r>
      <w:r>
        <w:rPr>
          <w:rFonts w:ascii="Times New Roman" w:cs="Times New Roman" w:eastAsia="Times New Roman" w:hAnsi="Times New Roman"/>
          <w:sz w:val="18"/>
          <w:szCs w:val="18"/>
          <w:color w:val="auto"/>
        </w:rPr>
        <w:t>If the Holder converts a Note, the Company will pay any documentary, stamp or similar issue or transfer tax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due on the issue of any shares of Common Stock upon such conversion.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304" w:hanging="304"/>
        <w:spacing w:after="0"/>
        <w:tabs>
          <w:tab w:leader="none" w:pos="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upon Conversion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firstLine="644"/>
        <w:spacing w:after="0" w:line="286" w:lineRule="auto"/>
        <w:tabs>
          <w:tab w:leader="none" w:pos="8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the consideration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due in respect of any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Amount of this Note, to be converted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will consist of the following:</w:t>
      </w:r>
    </w:p>
    <w:p>
      <w:pPr>
        <w:spacing w:after="0" w:line="154" w:lineRule="exact"/>
        <w:rPr>
          <w:rFonts w:ascii="Times New Roman" w:cs="Times New Roman" w:eastAsia="Times New Roman" w:hAnsi="Times New Roman"/>
          <w:sz w:val="18"/>
          <w:szCs w:val="18"/>
          <w:color w:val="auto"/>
        </w:rPr>
      </w:pPr>
    </w:p>
    <w:p>
      <w:pPr>
        <w:ind w:left="4" w:right="20" w:firstLine="1292"/>
        <w:spacing w:after="0" w:line="286" w:lineRule="auto"/>
        <w:tabs>
          <w:tab w:leader="none" w:pos="15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a number of shares of Common Stock determined by dividing the Conversion Amount by the Conversion Price; and</w:t>
      </w:r>
    </w:p>
    <w:p>
      <w:pPr>
        <w:spacing w:after="0" w:line="158"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159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aggregate accrued and unpaid interest on this Note to, but excluding, the Conversion Settlement Date for such conversion or, at the election of the Company, a number of validly issued, fully paid and Common Stock (the “</w:t>
      </w:r>
      <w:r>
        <w:rPr>
          <w:rFonts w:ascii="Times New Roman" w:cs="Times New Roman" w:eastAsia="Times New Roman" w:hAnsi="Times New Roman"/>
          <w:sz w:val="18"/>
          <w:szCs w:val="18"/>
          <w:b w:val="1"/>
          <w:bCs w:val="1"/>
          <w:color w:val="auto"/>
        </w:rPr>
        <w:t>Conversion Consideration Interest Shares</w:t>
      </w:r>
      <w:r>
        <w:rPr>
          <w:rFonts w:ascii="Times New Roman" w:cs="Times New Roman" w:eastAsia="Times New Roman" w:hAnsi="Times New Roman"/>
          <w:sz w:val="18"/>
          <w:szCs w:val="18"/>
          <w:color w:val="auto"/>
        </w:rPr>
        <w:t>”) equal to the quotient (rounded up to the closest whole number) obtained by dividing the aggregate accrued and unpaid interest on this Note to, but excluding, the Conversion Settlement Date by the Conversion Price.</w:t>
      </w:r>
    </w:p>
    <w:p>
      <w:pPr>
        <w:spacing w:after="0" w:line="17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The total number of shares of Common Stock due in respect of any conversion of this Note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will be determined on the basis of the total Principal Amount of this Note to be converted with the same Conversion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number of shares of Common Stock is not a whole number, then such number will be rounded up to the nearest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The Company will pay or deliver, as applicable, the Conversion Consideration due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of this Note, to the Holder on or before the second (2nd) Business Day (or, if earlier, the standard settlement period for the primary Eligible Exchange (measured in terms of trading volume for its Common Stock) on which the Common Stock are traded) immediately after the Conversion Date for such conversion (the “</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Failure to Timely Deliver Stock Payments</w:t>
      </w:r>
      <w:r>
        <w:rPr>
          <w:rFonts w:ascii="Times New Roman" w:cs="Times New Roman" w:eastAsia="Times New Roman" w:hAnsi="Times New Roman"/>
          <w:sz w:val="18"/>
          <w:szCs w:val="18"/>
          <w:color w:val="auto"/>
        </w:rPr>
        <w:t>. If (x) the Company shall fail for any reason or for no reason on 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Conversion Settlement Date to deliver shares of Common Stock in accordance with </w:t>
      </w:r>
      <w:r>
        <w:rPr>
          <w:rFonts w:ascii="Times New Roman" w:cs="Times New Roman" w:eastAsia="Times New Roman" w:hAnsi="Times New Roman"/>
          <w:sz w:val="18"/>
          <w:szCs w:val="18"/>
          <w:b w:val="1"/>
          <w:bCs w:val="1"/>
          <w:color w:val="auto"/>
        </w:rPr>
        <w:t>Section 7(C)</w:t>
      </w:r>
      <w:r>
        <w:rPr>
          <w:rFonts w:ascii="Times New Roman" w:cs="Times New Roman" w:eastAsia="Times New Roman" w:hAnsi="Times New Roman"/>
          <w:sz w:val="18"/>
          <w:szCs w:val="18"/>
          <w:color w:val="auto"/>
        </w:rPr>
        <w:t xml:space="preserve"> (such shares to which Holder is entitled referred to as the “</w:t>
      </w:r>
      <w:r>
        <w:rPr>
          <w:rFonts w:ascii="Times New Roman" w:cs="Times New Roman" w:eastAsia="Times New Roman" w:hAnsi="Times New Roman"/>
          <w:sz w:val="18"/>
          <w:szCs w:val="18"/>
          <w:b w:val="1"/>
          <w:bCs w:val="1"/>
          <w:color w:val="auto"/>
        </w:rPr>
        <w:t>Undelivered Shares</w:t>
      </w:r>
      <w:r>
        <w:rPr>
          <w:rFonts w:ascii="Times New Roman" w:cs="Times New Roman" w:eastAsia="Times New Roman" w:hAnsi="Times New Roman"/>
          <w:sz w:val="18"/>
          <w:szCs w:val="18"/>
          <w:color w:val="auto"/>
        </w:rPr>
        <w:t>”); and (y) the Holder (whether directly or indirectly, including by any broker acting on the Holder’s behalf or acting with respect to such Undelivered Shares) purchases any shares of Common Stock (whether in the open market or otherwise) to cover any such Undelivered Shares (whether to satisfy any settlement obligations with respect thereto of the Holder or otherwise), then, without limiting the Holder’s right to pursue any other remedy available to it (whether hereunder, under applicable law or otherwise), the Holder will have the right, exercisable by notice to the Company, to cause the Company to either:</w:t>
      </w:r>
    </w:p>
    <w:p>
      <w:pPr>
        <w:spacing w:after="0" w:line="184"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1573"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on or before the second (2nd) Business Day after the date such notice is delivered, cash to the Holder in an amount equal to the aggregate purchase price (including any brokerage commissions and other out-of-pocket costs) incurred to purchase such shares (such aggregate purchase price, the “</w:t>
      </w:r>
      <w:r>
        <w:rPr>
          <w:rFonts w:ascii="Times New Roman" w:cs="Times New Roman" w:eastAsia="Times New Roman" w:hAnsi="Times New Roman"/>
          <w:sz w:val="18"/>
          <w:szCs w:val="18"/>
          <w:b w:val="1"/>
          <w:bCs w:val="1"/>
          <w:color w:val="auto"/>
        </w:rPr>
        <w:t>Covering Price</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1577"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 to the Holder, such Undelivered Shares in accordance with this Note, together with cash in an amount equal to the excess, if any, of the Covering Price over the product of (x) the number of such Undelivered Shares; and (y) the Daily VWAP per share of Common Stock on the applicable Conversion Date.</w:t>
      </w: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31" w:name="page32"/>
    <w:bookmarkEnd w:id="31"/>
    <w:p>
      <w:pPr>
        <w:ind w:left="84"/>
        <w:spacing w:after="0"/>
        <w:rPr>
          <w:sz w:val="20"/>
          <w:szCs w:val="20"/>
          <w:color w:val="auto"/>
        </w:rPr>
      </w:pPr>
      <w:r>
        <w:rPr>
          <w:rFonts w:ascii="Times New Roman" w:cs="Times New Roman" w:eastAsia="Times New Roman" w:hAnsi="Times New Roman"/>
          <w:sz w:val="18"/>
          <w:szCs w:val="18"/>
          <w:color w:val="auto"/>
        </w:rPr>
        <w:t>To exercise such right, the Holder must deliver notice of such exercise to the Company, specifying whether the Holder has elected clause (1) or</w:t>
      </w:r>
    </w:p>
    <w:p>
      <w:pPr>
        <w:spacing w:after="0" w:line="27" w:lineRule="exact"/>
        <w:rPr>
          <w:sz w:val="20"/>
          <w:szCs w:val="20"/>
          <w:color w:val="auto"/>
        </w:rPr>
      </w:pPr>
    </w:p>
    <w:p>
      <w:pPr>
        <w:jc w:val="both"/>
        <w:ind w:left="84" w:hanging="3"/>
        <w:spacing w:after="0" w:line="251" w:lineRule="auto"/>
        <w:tabs>
          <w:tab w:leader="none" w:pos="34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to apply. If the Holder has elected clause (1) to apply, then the Company’s obligation to deliver the Undelivered Shares in accordance with this Note will be deemed to have been satisfied and discharged to the extent the Company has paid the Covering Price in accordance with clause (1).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as required pursuant to the terms hereof. In addition to the foregoing, if the Company fails for any reason to deliver Common Stock to the Holder by the applicable Conversion Settlement Date, the Company shall pay to the Holder, in cash, as liquidated damages and not as a penalty, for each $1,000 of Undelivered Shares (based on the Daily VWAP on the applicable Conversion Settlement Date), $10 per Trading Day (increasing to $20 per Trading Day on the fifth Trading Day after such liquidated damages begin to accrue) for each Trading Day after the Conversion Settlement Date until the cash amount set forth in </w:t>
      </w:r>
      <w:r>
        <w:rPr>
          <w:rFonts w:ascii="Times New Roman" w:cs="Times New Roman" w:eastAsia="Times New Roman" w:hAnsi="Times New Roman"/>
          <w:sz w:val="18"/>
          <w:szCs w:val="18"/>
          <w:b w:val="1"/>
          <w:bCs w:val="1"/>
          <w:color w:val="auto"/>
        </w:rPr>
        <w:t>Section 7(D)(iv)(1)</w:t>
      </w:r>
      <w:r>
        <w:rPr>
          <w:rFonts w:ascii="Times New Roman" w:cs="Times New Roman" w:eastAsia="Times New Roman" w:hAnsi="Times New Roman"/>
          <w:sz w:val="18"/>
          <w:szCs w:val="18"/>
          <w:color w:val="auto"/>
        </w:rPr>
        <w:t xml:space="preserve"> is paid to the Holder or the shares of Common Stock are delivered to the Holder pursuant to </w:t>
      </w:r>
      <w:r>
        <w:rPr>
          <w:rFonts w:ascii="Times New Roman" w:cs="Times New Roman" w:eastAsia="Times New Roman" w:hAnsi="Times New Roman"/>
          <w:sz w:val="18"/>
          <w:szCs w:val="18"/>
          <w:b w:val="1"/>
          <w:bCs w:val="1"/>
          <w:color w:val="auto"/>
        </w:rPr>
        <w:t>Section 7(D)(iv)(2)</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4" w:firstLine="644"/>
        <w:spacing w:after="0" w:line="284" w:lineRule="auto"/>
        <w:tabs>
          <w:tab w:leader="none" w:pos="90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Conversion</w:t>
      </w:r>
      <w:r>
        <w:rPr>
          <w:rFonts w:ascii="Times New Roman" w:cs="Times New Roman" w:eastAsia="Times New Roman" w:hAnsi="Times New Roman"/>
          <w:sz w:val="18"/>
          <w:szCs w:val="18"/>
          <w:color w:val="auto"/>
        </w:rPr>
        <w:t>. If this Note is converted in full, then, from and after the date the Conversion Consideration therefor is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in settlement of such conversion, this Note will cease to be outstanding and all interest will cease to accrue on this Note.</w:t>
      </w:r>
    </w:p>
    <w:p>
      <w:pPr>
        <w:spacing w:after="0" w:line="15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 Issued upon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6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Each share of Common Stock delivered pursuant to this Note will be a newly issued or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pursuant to this Note, when delivered, to be admitted for listing on such exchange or quotation on such system.</w:t>
      </w:r>
    </w:p>
    <w:p>
      <w:pPr>
        <w:spacing w:after="0" w:line="183"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Certain Recapitalizations, Reclassifications, Consolidations, Mergers and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w:t>
      </w:r>
    </w:p>
    <w:p>
      <w:pPr>
        <w:spacing w:after="0" w:line="227"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1561"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ind w:left="1544" w:hanging="248"/>
        <w:spacing w:after="0"/>
        <w:tabs>
          <w:tab w:leader="none" w:pos="1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5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 Person; or</w:t>
      </w:r>
    </w:p>
    <w:p>
      <w:pPr>
        <w:spacing w:after="0" w:line="161"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25"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and, in each case, as a result of such occurrence, the Common Stock is converted into, or is exchanged for, or represents solely the right to receive, other securities or other property (including cash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or other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fractional shares of securities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then, notwithstanding anything to the contrary in this Note, at the effective time of such Common Stock Change Event, (x) the Conversion Consideration due upon conversion of any Note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(or in any related definitions) were instead a reference to the same number of Reference Property Units; (y) for purposes of </w:t>
      </w:r>
      <w:r>
        <w:rPr>
          <w:rFonts w:ascii="Times New Roman" w:cs="Times New Roman" w:eastAsia="Times New Roman" w:hAnsi="Times New Roman"/>
          <w:sz w:val="18"/>
          <w:szCs w:val="18"/>
          <w:b w:val="1"/>
          <w:bCs w:val="1"/>
          <w:color w:val="auto"/>
        </w:rPr>
        <w:t>Section 7(A)</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and</w:t>
      </w:r>
    </w:p>
    <w:p>
      <w:pPr>
        <w:spacing w:after="0" w:line="6" w:lineRule="exact"/>
        <w:rPr>
          <w:sz w:val="20"/>
          <w:szCs w:val="20"/>
          <w:color w:val="auto"/>
        </w:rPr>
      </w:pPr>
    </w:p>
    <w:p>
      <w:pPr>
        <w:jc w:val="both"/>
        <w:ind w:left="4" w:hanging="4"/>
        <w:spacing w:after="0" w:line="251"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definition of “Fundamental Change,” the term “ Common Stock” and “common equity” will be deemed to mean the common equity, if any, forming part of such Reference Property. For these purposes, (I) the Daily VWAP of any Reference Property Unit or portion thereof that consists of a class of common equity securities will be determined by reference to the definition of “Daily VWAP,” substituting, if applicable, the reported Bloomberg page data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94"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 of such weighted average as soon as practicable after such determination is made.</w:t>
      </w:r>
    </w:p>
    <w:p>
      <w:pPr>
        <w:spacing w:after="0" w:line="180"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At or before the effective date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such instruments or agreements that (x) provides for subsequent conversions of this Note in the manner set forth in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xml:space="preserve">; and (y) contains such other provisions as the Company reasonably determines are appropriate to preserve the economic interests of the Holder and to give effect to the provisions of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If the Reference Property includes shares of stock or other securities or assets of a Person other than the Successor Person, then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will also execute such instruments or agreements and such instruments or agreements will contain such additional provisions the Company reasonably determines are appropriate to preserve the economic interests of the Holder.</w:t>
      </w:r>
    </w:p>
    <w:p>
      <w:pPr>
        <w:spacing w:after="0" w:line="187" w:lineRule="exact"/>
        <w:rPr>
          <w:sz w:val="20"/>
          <w:szCs w:val="20"/>
          <w:color w:val="auto"/>
        </w:rPr>
      </w:pPr>
    </w:p>
    <w:p>
      <w:pPr>
        <w:jc w:val="both"/>
        <w:ind w:left="4" w:firstLine="644"/>
        <w:spacing w:after="0" w:line="261" w:lineRule="auto"/>
        <w:tabs>
          <w:tab w:leader="none" w:pos="9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Common Stock Change Events</w:t>
      </w:r>
      <w:r>
        <w:rPr>
          <w:rFonts w:ascii="Times New Roman" w:cs="Times New Roman" w:eastAsia="Times New Roman" w:hAnsi="Times New Roman"/>
          <w:sz w:val="18"/>
          <w:szCs w:val="18"/>
          <w:color w:val="auto"/>
        </w:rPr>
        <w:t>. As soon as practicable after learning the anticipated or actual effective date of any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Change Event, the Company will provide written notice to the Holder of such Common Stock Change Event, including a brief description of such Common Stock Change Event, its anticipated effective date and a brief description of the anticipated change in the conversion right of this Note.</w:t>
      </w:r>
    </w:p>
    <w:p>
      <w:pPr>
        <w:spacing w:after="0" w:line="179" w:lineRule="exact"/>
        <w:rPr>
          <w:rFonts w:ascii="Times New Roman" w:cs="Times New Roman" w:eastAsia="Times New Roman" w:hAnsi="Times New Roman"/>
          <w:sz w:val="18"/>
          <w:szCs w:val="18"/>
          <w:color w:val="auto"/>
        </w:rPr>
      </w:pPr>
    </w:p>
    <w:p>
      <w:pPr>
        <w:ind w:left="4" w:firstLine="644"/>
        <w:spacing w:after="0" w:line="284" w:lineRule="auto"/>
        <w:tabs>
          <w:tab w:leader="none" w:pos="9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Common Stock Change Event unless its terms are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w:t>
      </w:r>
    </w:p>
    <w:p>
      <w:pPr>
        <w:spacing w:after="0" w:line="36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 w:name="page34"/>
    <w:bookmarkEnd w:id="33"/>
    <w:p>
      <w:pPr>
        <w:jc w:val="both"/>
        <w:ind w:firstLine="656"/>
        <w:spacing w:after="0" w:line="266" w:lineRule="auto"/>
        <w:tabs>
          <w:tab w:leader="none" w:pos="88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Limitations on Conversions. </w:t>
      </w:r>
      <w:r>
        <w:rPr>
          <w:rFonts w:ascii="Times New Roman" w:cs="Times New Roman" w:eastAsia="Times New Roman" w:hAnsi="Times New Roman"/>
          <w:sz w:val="17"/>
          <w:szCs w:val="17"/>
          <w:color w:val="auto"/>
        </w:rPr>
        <w:t>Notwithstanding anything to the contrary contained herein, the Company shall not effect the conversion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portion of this Note, or otherwise issue shares pursuant to this Note, and the Holder shall not have the right to convert any portion of this Note, pursuant to the terms and conditions of this Note and any such conversion or issuance shall be null and void and treated as if never made, to the extent that after giving effect to such conversion or issuance, the Holder together with the other Attribution Parties collectively would beneficially own in the aggregate in excess of 49.99%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xml:space="preserve">”) of the number of shares of Common Stock outstanding immediately after giving effect to such conversion or issuance.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or otherwise pursuant to, this Note with respect to which the determination of such sentence is being made, but shall exclude the number of shares of Common Stock which would be issuable upon (A) conversion of the remaining, unconverted portion of this Note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w:t>
      </w:r>
      <w:r>
        <w:rPr>
          <w:rFonts w:ascii="Times New Roman" w:cs="Times New Roman" w:eastAsia="Times New Roman" w:hAnsi="Times New Roman"/>
          <w:sz w:val="17"/>
          <w:szCs w:val="17"/>
          <w:b w:val="1"/>
          <w:bCs w:val="1"/>
          <w:color w:val="auto"/>
        </w:rPr>
        <w:t>Section 7(I)</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b w:val="1"/>
          <w:bCs w:val="1"/>
          <w:color w:val="auto"/>
        </w:rPr>
        <w:t>Section 7(I)</w:t>
      </w:r>
      <w:r>
        <w:rPr>
          <w:rFonts w:ascii="Times New Roman" w:cs="Times New Roman" w:eastAsia="Times New Roman" w:hAnsi="Times New Roman"/>
          <w:sz w:val="17"/>
          <w:szCs w:val="17"/>
          <w:color w:val="auto"/>
        </w:rPr>
        <w:t>, beneficial ownership shall be calculated in accordance with Section 13(d) of the Exchange Act. For purposes of this Note, in determining the number of outstanding shares of Common Stock the Holder may acquire in connection with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Commission, as the case may be, (y) a more recent public announcement by the Company or (z) any other written notice by the Company or the Transfer Agent (as defined in the Securities Purchase Agreement)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xml:space="preserve">”). If the Company receives a notice from the Holder related to the conversion of this Note or any issuance of shares of Common Stock in connection with this Note at a time when the actual number of outstanding shares of Common Stock is less than the Reported Outstanding Share Number, the Company shall promptly notify the Holder in writing of the number of shares of Common Stock then outstanding and, to the extent that such conversion or issuance of shares of Common Stock would otherwise cause the Holder’s beneficial ownership, as determined pursuant to this </w:t>
      </w:r>
      <w:r>
        <w:rPr>
          <w:rFonts w:ascii="Times New Roman" w:cs="Times New Roman" w:eastAsia="Times New Roman" w:hAnsi="Times New Roman"/>
          <w:sz w:val="17"/>
          <w:szCs w:val="17"/>
          <w:b w:val="1"/>
          <w:bCs w:val="1"/>
          <w:color w:val="auto"/>
        </w:rPr>
        <w:t>Section 7(I)</w:t>
      </w:r>
      <w:r>
        <w:rPr>
          <w:rFonts w:ascii="Times New Roman" w:cs="Times New Roman" w:eastAsia="Times New Roman" w:hAnsi="Times New Roman"/>
          <w:sz w:val="17"/>
          <w:szCs w:val="17"/>
          <w:color w:val="auto"/>
        </w:rPr>
        <w:t>, to exceed the Maximum Percentage, the Holder must notify the Company of a reduced number of shares of Common Stock to be issued pursuant to such notice. For any reason at any time, upon the written or oral request of the Holder, the Company shall within one (1) Trading Day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or otherwise pursuant to, this Note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7"/>
          <w:szCs w:val="17"/>
          <w:b w:val="1"/>
          <w:bCs w:val="1"/>
          <w:color w:val="auto"/>
        </w:rPr>
        <w:t>Excess Shares</w:t>
      </w:r>
      <w:r>
        <w:rPr>
          <w:rFonts w:ascii="Times New Roman" w:cs="Times New Roman" w:eastAsia="Times New Roman" w:hAnsi="Times New Roman"/>
          <w:sz w:val="17"/>
          <w:szCs w:val="17"/>
          <w:color w:val="auto"/>
        </w:rPr>
        <w:t xml:space="preserve">”) shall be deemed null and void and shall be cancelled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the Holder shall not have the power to vote or to transfer the Excess Shares. Upon delivery of a written notice to the Company, the Holder may from time to time increase or decrease the Maximum Percentage to any other percentage not in</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excess of 49.99% as specified in such notice;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any such increase in the Maximum Percentage will not be effective 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Exchange Act. No prior inability to convert this Note or receive shares pursuant to this Note pursuant to this paragraph shall have any effect on the applicability of the provisions of this paragraph with respect to any subsequent determination of convertibility. Notwithstanding the foregoing, the Holder may assign its right to receive shares of Common Stock upon issuance of this Note to any of its members, in which case the Maximum Percentage shall be calculated with respect to each individual member and its respective Attribution Parties in accordance with this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 xml:space="preserve">, provided that one member of the Holder shall not, solely as a result of its status as a member of the Holder, be deemed to be an Attribution Party of any other member of the Holder. The provisions of this paragraph shall be construed and implemented in a manner otherwise than in strict conformity with the terms of this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Note.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Section 8. R</w:t>
      </w:r>
      <w:r>
        <w:rPr>
          <w:rFonts w:ascii="Times New Roman" w:cs="Times New Roman" w:eastAsia="Times New Roman" w:hAnsi="Times New Roman"/>
          <w:sz w:val="12"/>
          <w:szCs w:val="12"/>
          <w:b w:val="1"/>
          <w:bCs w:val="1"/>
          <w:color w:val="auto"/>
        </w:rPr>
        <w:t>edemption of this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3" w:lineRule="auto"/>
        <w:tabs>
          <w:tab w:leader="none" w:pos="9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Redemption Election</w:t>
      </w:r>
      <w:r>
        <w:rPr>
          <w:rFonts w:ascii="Times New Roman" w:cs="Times New Roman" w:eastAsia="Times New Roman" w:hAnsi="Times New Roman"/>
          <w:sz w:val="18"/>
          <w:szCs w:val="18"/>
          <w:color w:val="auto"/>
        </w:rPr>
        <w:t>. The Company may redeem all (or a portion thereof not less than five million dollars ($5,000,000)) of the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Principal Amount on any date by paying on the Company Redemption Date (as defined below) a cash redemption price equal to the Company Redemption Price; provided, that (i) the Company shall have not received a Holder Conversion Notice from the Holder prior to the Company Redemption Date (as defined below) with respect to the applicable Principal Amount to be redeemed pursuant to this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 xml:space="preserve"> and (ii) the Company must provide irrevocable written notice thereof (a “</w:t>
      </w:r>
      <w:r>
        <w:rPr>
          <w:rFonts w:ascii="Times New Roman" w:cs="Times New Roman" w:eastAsia="Times New Roman" w:hAnsi="Times New Roman"/>
          <w:sz w:val="18"/>
          <w:szCs w:val="18"/>
          <w:b w:val="1"/>
          <w:bCs w:val="1"/>
          <w:color w:val="auto"/>
        </w:rPr>
        <w:t>Company Redemption Notice</w:t>
      </w:r>
      <w:r>
        <w:rPr>
          <w:rFonts w:ascii="Times New Roman" w:cs="Times New Roman" w:eastAsia="Times New Roman" w:hAnsi="Times New Roman"/>
          <w:sz w:val="18"/>
          <w:szCs w:val="18"/>
          <w:color w:val="auto"/>
        </w:rPr>
        <w:t>”) certifying that no Default has occurred or is continuing as of the date of such notice and that no Event of Default has occurred as of the date of such notice that has not been waived and setting forth the date upon which such redemption shall occur (the “</w:t>
      </w:r>
      <w:r>
        <w:rPr>
          <w:rFonts w:ascii="Times New Roman" w:cs="Times New Roman" w:eastAsia="Times New Roman" w:hAnsi="Times New Roman"/>
          <w:sz w:val="18"/>
          <w:szCs w:val="18"/>
          <w:b w:val="1"/>
          <w:bCs w:val="1"/>
          <w:color w:val="auto"/>
        </w:rPr>
        <w:t>Company Redemption Date</w:t>
      </w:r>
      <w:r>
        <w:rPr>
          <w:rFonts w:ascii="Times New Roman" w:cs="Times New Roman" w:eastAsia="Times New Roman" w:hAnsi="Times New Roman"/>
          <w:sz w:val="18"/>
          <w:szCs w:val="18"/>
          <w:color w:val="auto"/>
        </w:rPr>
        <w:t xml:space="preserve">”) at least twenty (20) Trading Days prior to the Company Redemption Date and the Company must have, on or prior to 9:00 am, New York City time, on such notice delivery date, publicly disclosed any material, non-public information regarding the Company (including the fact that the Company is redeeming the Note) on a Form 8-K or otherwise; provided, however, that this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 xml:space="preserve"> will cease to have any force and effect if a Default has occurred and is continuing or an Event of Default has occurred and has not been waived by the Required Holders. If this Note is to be redeemed in full pursuant to this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 xml:space="preserve">, then, from and after the date the related Company Redemption Price is paid in full, this Note will cease to be outstanding. Notwithstanding the foregoing (and for the avoidance of doubt), the Holder may elect to convert any Principal Amount to be redeemed pursuant to this </w:t>
      </w:r>
      <w:r>
        <w:rPr>
          <w:rFonts w:ascii="Times New Roman" w:cs="Times New Roman" w:eastAsia="Times New Roman" w:hAnsi="Times New Roman"/>
          <w:sz w:val="18"/>
          <w:szCs w:val="18"/>
          <w:b w:val="1"/>
          <w:bCs w:val="1"/>
          <w:color w:val="auto"/>
        </w:rPr>
        <w:t>Section 8(A)</w:t>
      </w:r>
      <w:r>
        <w:rPr>
          <w:rFonts w:ascii="Times New Roman" w:cs="Times New Roman" w:eastAsia="Times New Roman" w:hAnsi="Times New Roman"/>
          <w:sz w:val="18"/>
          <w:szCs w:val="18"/>
          <w:color w:val="auto"/>
        </w:rPr>
        <w:t xml:space="preserve"> into shares of Common Stock in accordance with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by delivering a Holder Conversion Notice to the Company prior to the Company Redemption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A</w:t>
      </w:r>
      <w:r>
        <w:rPr>
          <w:rFonts w:ascii="Times New Roman" w:cs="Times New Roman" w:eastAsia="Times New Roman" w:hAnsi="Times New Roman"/>
          <w:sz w:val="12"/>
          <w:szCs w:val="12"/>
          <w:b w:val="1"/>
          <w:bCs w:val="1"/>
          <w:color w:val="auto"/>
        </w:rPr>
        <w:t>ffirmative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9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Existence.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the Company will cause to preserve and keep in full force and effect:</w:t>
      </w:r>
    </w:p>
    <w:p>
      <w:pPr>
        <w:spacing w:after="0" w:line="229"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existence and the corporate existence of its Subsidiaries in accordance with the organizational documents of the Company or its Subsidiaries, as applicable;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rights (charter and statutory), licenses and franchises of the Company and its Subsidiaries;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need not preserve or keep in full force and effect any such rights (charter and statutory), license or franchise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any of its Subsidiaries if the Board of Directors determines in good faith that (x) the preservation thereof is no longer desirable in the conduct of the business of the Company and its Subsidiaries, taken as a whole; and (y) the loss thereof is not, individually or in the aggregate, materially adverse to the Holder.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firstLine="656"/>
        <w:spacing w:after="0" w:line="284" w:lineRule="auto"/>
        <w:tabs>
          <w:tab w:leader="none" w:pos="93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All payments due under this Note (i) shall rank pari passu with all Other Notes and (ii) shall rank senior to all other indebtedness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(other than the indebtedness described in clauses (i)) and any Subordinated Indebtedness.</w:t>
      </w:r>
    </w:p>
    <w:p>
      <w:pPr>
        <w:spacing w:after="0" w:line="158" w:lineRule="exact"/>
        <w:rPr>
          <w:rFonts w:ascii="Times New Roman" w:cs="Times New Roman" w:eastAsia="Times New Roman" w:hAnsi="Times New Roman"/>
          <w:sz w:val="18"/>
          <w:szCs w:val="18"/>
          <w:color w:val="auto"/>
        </w:rPr>
      </w:pPr>
    </w:p>
    <w:p>
      <w:pPr>
        <w:jc w:val="both"/>
        <w:ind w:firstLine="656"/>
        <w:spacing w:after="0" w:line="255" w:lineRule="auto"/>
        <w:tabs>
          <w:tab w:leader="none" w:pos="97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Indebtedness; Amendments to Indebtedness</w:t>
      </w:r>
      <w:r>
        <w:rPr>
          <w:rFonts w:ascii="Times New Roman" w:cs="Times New Roman" w:eastAsia="Times New Roman" w:hAnsi="Times New Roman"/>
          <w:sz w:val="18"/>
          <w:szCs w:val="18"/>
          <w:color w:val="auto"/>
        </w:rPr>
        <w:t>. The Company shall not and shall not permit any Subsidiary to: (a) create, incur,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or be or remain liable with respect to any Indebtedness, other than Permitted Indebtedness; (b) prepay any Indebtedness except for (i) by the conversion of Indebtedness into equity securities (other than Disqualified Stock) and the payment of cash in lieu of fractional shares in connection with such conversion, and (ii) a refinancing of the entire amount of such Indebtedness which does not impose materially more burdensome terms upon the Company or its Subsidiaries than exist in such Indebtedness prior to such refinancing, but with a maturity date which is later than one hundred eighty-one</w:t>
      </w:r>
    </w:p>
    <w:p>
      <w:pPr>
        <w:jc w:val="both"/>
        <w:ind w:firstLine="8"/>
        <w:spacing w:after="0" w:line="252" w:lineRule="auto"/>
        <w:tabs>
          <w:tab w:leader="none" w:pos="4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Maturity Date; or (c) amend or modify any documents or notes evidencing any Indebtedness in any manner which shortens the maturity date or any amortization, redemption or interest payment date thereof or otherwise imposes materially more burdensome terms upon the Company or its Subsidiaries than exist in such Indebtedness prior to such amendment or modification without the prior written consent of Holder. The Company shall not and shall not permit any Subsidiary to incur any Indebtedness that would cause a breach or Default under the Notes or prohibit or restrict the performance of any of the Company’s or its Subsidiaries’ obligations under the Notes, including without limitation, the payment of interest and principal thereon.</w:t>
      </w:r>
    </w:p>
    <w:p>
      <w:pPr>
        <w:spacing w:after="0" w:line="187" w:lineRule="exact"/>
        <w:rPr>
          <w:rFonts w:ascii="Times New Roman" w:cs="Times New Roman" w:eastAsia="Times New Roman" w:hAnsi="Times New Roman"/>
          <w:sz w:val="18"/>
          <w:szCs w:val="18"/>
          <w:color w:val="auto"/>
        </w:rPr>
      </w:pPr>
    </w:p>
    <w:p>
      <w:pPr>
        <w:ind w:right="20" w:firstLine="656"/>
        <w:spacing w:after="0" w:line="284" w:lineRule="auto"/>
        <w:tabs>
          <w:tab w:leader="none" w:pos="92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The Company will not, and will not permit any of its Subsidiaries to, directly or indirectly, create, incur, assume or permit to exist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 of any kind on any asset now owned or hereafter acquired, except Permitted Liens.</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The Company shall not directly or indirectly acquire or own, or make any Investment in or to any Person, or permit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so to do, other than Permitted Investments;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not make any Investment (including a Permitted Investment) or permit any of its Subsidiaries to make any Investment (including a Permitted Investment) if (i) any Event of Default has occurred hereunder or (ii)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8"/>
          <w:szCs w:val="18"/>
          <w:b w:val="1"/>
          <w:bCs w:val="1"/>
          <w:color w:val="auto"/>
        </w:rPr>
        <w:t>Section 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11(A)(xv)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11(A)(xvi)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The Company shall not, and shall not allow any Subsidiary to, (a) repurchase or redeem any class of stock or other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other than pursuant to employee, director or consultant repurchase plans or other similar agreements provided under plans approved by the Board of Directors; provided, however, in each case the repurchase or redemption price does not exceed the original consideration paid for such stock or Equity Interest, or (b) declare or pay any cash dividend or make a cash distribution on any class of stock or other Equity Interest, except that a Subsidiary of the Company may pay dividends or make distributions to the Company or a parent company that is a direct or indirect Wholly Owned Subsidiary of the Company, or (c) lend money to any employees, officers or directors (except as permitted under clause (F) of the definition of Permitted Investment), or guarantee the payment of any such loans granted by a third party in excess of fifty thousand dollars ($50,000) in the aggregate or (d) waive, release or forgive any Indebtedness owed by any employees, officers or directors in excess of fifty thousand dollars ($50,000) in the aggregate. Within one (1) Business Day following the date on which the Company files an Annual Report on Form 10-K or Quarterly Report on Form 10-Q with the Commission, the Company will provide the Holder with a written notice setting forth the aggregate amount of dividends or distributions made by the Company or any Subsidiary pursuant to this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for the period covered by such Annual Report on Form 10-K or Quarterly Report on Form 10-Q, as applicable. Notwithstanding anything herein to the contrary, the Company shall not, and shall not allow any Subsidiary to, declare or pay any cash dividend or make a cash distribution on any class of stock or other Equity Interest if (A) any Event of Default has occurred hereunder and has not been waived by the Required Holders or (B)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8"/>
          <w:szCs w:val="18"/>
          <w:b w:val="1"/>
          <w:bCs w:val="1"/>
          <w:color w:val="auto"/>
        </w:rPr>
        <w:t>Section 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11(A)(xv)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11(A)(xvi)</w:t>
      </w:r>
      <w:r>
        <w:rPr>
          <w:rFonts w:ascii="Times New Roman" w:cs="Times New Roman" w:eastAsia="Times New Roman" w:hAnsi="Times New Roman"/>
          <w:sz w:val="18"/>
          <w:szCs w:val="18"/>
          <w:color w:val="auto"/>
        </w:rPr>
        <w: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or prior to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of each calendar month, the Company shall provide to the Holder a certification, executed on behalf of the Company by the Chief Financial Officer of the Company, certifying whether or not the Company has satisfied the requirements of this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during the immediately preceding calendar month.” If the Company determines in its sole discretion that any such information constitutes material non-public information, then the Company will so indicate in the certification provided pursuant to this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and the Company will concurrently disclose such material non-public information on a Current Report on Form 8-K or otherwise.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ind w:left="-20" w:firstLine="656"/>
        <w:spacing w:after="0" w:line="267" w:lineRule="auto"/>
        <w:tabs>
          <w:tab w:leader="none" w:pos="9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w:t>
      </w:r>
      <w:r>
        <w:rPr>
          <w:rFonts w:ascii="Times New Roman" w:cs="Times New Roman" w:eastAsia="Times New Roman" w:hAnsi="Times New Roman"/>
          <w:sz w:val="18"/>
          <w:szCs w:val="18"/>
          <w:color w:val="auto"/>
        </w:rPr>
        <w:t>. The Company shall not, and shall not allow any Subsidiary to, voluntarily or involuntarily transfer, sell, lease, license, lend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manner convey any equitable, beneficial or legal interest in any material portion of the assets of the Company and its Subsidiaries (taken as a whole), except for Permitted Transfers and Permitted Investments.</w:t>
      </w:r>
    </w:p>
    <w:p>
      <w:pPr>
        <w:spacing w:after="0" w:line="173" w:lineRule="exact"/>
        <w:rPr>
          <w:rFonts w:ascii="Times New Roman" w:cs="Times New Roman" w:eastAsia="Times New Roman" w:hAnsi="Times New Roman"/>
          <w:sz w:val="18"/>
          <w:szCs w:val="18"/>
          <w:color w:val="auto"/>
        </w:rPr>
      </w:pPr>
    </w:p>
    <w:p>
      <w:pPr>
        <w:jc w:val="both"/>
        <w:ind w:left="-20" w:right="20" w:firstLine="656"/>
        <w:spacing w:after="0" w:line="258" w:lineRule="auto"/>
        <w:tabs>
          <w:tab w:leader="none" w:pos="8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and its Subsidiaries shall pay when due all material taxes, fees or other similar governmental charges (together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interest or penalties) now or hereafter imposed or assessed against the Company and its Subsidiaries or their respective assets or upon their ownership, possession, use, operation or disposition thereof or upon their rents, receipts or earnings arising therefrom. The Company and its Subsidiaries shall file on or before the due date therefor all material personal property tax returns. Notwithstanding the foregoing, the Company and its Subsidiaries may contest, in good faith and by appropriate proceedings, taxes for which they maintain adequate reserves therefor in accordance with GAAP.</w:t>
      </w:r>
    </w:p>
    <w:p>
      <w:pPr>
        <w:spacing w:after="0" w:line="183" w:lineRule="exact"/>
        <w:rPr>
          <w:rFonts w:ascii="Times New Roman" w:cs="Times New Roman" w:eastAsia="Times New Roman" w:hAnsi="Times New Roman"/>
          <w:sz w:val="18"/>
          <w:szCs w:val="18"/>
          <w:color w:val="auto"/>
        </w:rPr>
      </w:pPr>
    </w:p>
    <w:p>
      <w:pPr>
        <w:ind w:left="880" w:hanging="244"/>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40" w:hanging="30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8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9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Properties, Etc</w:t>
      </w:r>
      <w:r>
        <w:rPr>
          <w:rFonts w:ascii="Times New Roman" w:cs="Times New Roman" w:eastAsia="Times New Roman" w:hAnsi="Times New Roman"/>
          <w:sz w:val="18"/>
          <w:szCs w:val="18"/>
          <w:color w:val="auto"/>
        </w:rPr>
        <w:t>. The Company shall maintain and preserve, and the Company shall cause each of its Subsidiaries to maintain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preserve, all of its properties which are necessary or useful (as determined by the Company in good faith) to the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(except where the failure to do so would not, individually or in the aggregate, have a material effect on the Company or any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2" w:right="339" w:bottom="1440" w:gutter="0" w:footer="0" w:header="0"/>
        </w:sectPr>
      </w:pPr>
    </w:p>
    <w:bookmarkStart w:id="37" w:name="page38"/>
    <w:bookmarkEnd w:id="37"/>
    <w:p>
      <w:pPr>
        <w:jc w:val="both"/>
        <w:ind w:firstLine="656"/>
        <w:spacing w:after="0" w:line="267" w:lineRule="auto"/>
        <w:tabs>
          <w:tab w:leader="none" w:pos="9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Intellectual Property</w:t>
      </w:r>
      <w:r>
        <w:rPr>
          <w:rFonts w:ascii="Times New Roman" w:cs="Times New Roman" w:eastAsia="Times New Roman" w:hAnsi="Times New Roman"/>
          <w:sz w:val="18"/>
          <w:szCs w:val="18"/>
          <w:color w:val="auto"/>
        </w:rPr>
        <w:t>. The Company will take, and the Company shall cause each of its Subsidiaries to take, all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or advisable to maintain all of the Intellectual Property Rights (as defined in the Securities Exchange Agreement) of the Company or such Subsidiary that are necessary or material (as determined by the Company in good faith) to the conduct of its business in full force and effect.</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The Company shall maintain, and the Company shall cause each of its Subsidiaries to maintain, insurance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Neither the Company, nor any of its Subsidiaries, shall enter into, renew, extend or be a party to, any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series of related transactions (including, without limitation, the purchase, sale, lease, transfer or exchange of property or assets of any kind or the rendering of services of any kind) with any affiliate (other than the Company or any of its Wholly Owned Subsidiaries), except (i) transactions for fair consideration and on terms no less favorable to it than would be obtainable in a comparable arm’s length transaction with a Person that is not an affiliate thereof, (ii) loans or advances made by the Company or one of its Subsidiaries to its directors, officers and other employees in the ordinary course of business for reasonable travel and entertainment expenses, and relocation costs up to a maximum of one hundred thousand dollars ($100,000) in the aggregate at any one time outstanding, and (iii) distributions permitted by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Issuances. </w:t>
      </w:r>
      <w:r>
        <w:rPr>
          <w:rFonts w:ascii="Times New Roman" w:cs="Times New Roman" w:eastAsia="Times New Roman" w:hAnsi="Times New Roman"/>
          <w:sz w:val="18"/>
          <w:szCs w:val="18"/>
          <w:color w:val="auto"/>
        </w:rPr>
        <w:t>The Company shall not, and shall cause its Subsidiaries not to, directly or indirectly, without the prior written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in aggregate principal amount of the Notes then outstanding, (i) issue any Notes (other than as contemplated by the Securities Purchase Agreement, the Securities Exchange Agreement and the Notes) or (ii) issue any other securities or incur any Indebtedness, in each case, that would cause a breach or Default under the Notes or that by its terms would prohibit or restrict the performance of any of the Company’s or its Subsidiaries’ obligations under the Notes, including without limitation, the payment of interest and principal thereon.</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Investigation</w:t>
      </w:r>
      <w:r>
        <w:rPr>
          <w:rFonts w:ascii="Times New Roman" w:cs="Times New Roman" w:eastAsia="Times New Roman" w:hAnsi="Times New Roman"/>
          <w:sz w:val="18"/>
          <w:szCs w:val="18"/>
          <w:color w:val="auto"/>
        </w:rPr>
        <w:t>. At the request of the Required Holders (as defined in the Securities Exchange Agreement) at any time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have determined in good faith that (i) an Event of Default has occurred or (ii) any event or circumstance has occurred and is continuing which, with the giving of notice or passage of time or both, could constitute an Event of Default but the Company has not timely agreed to such determination in writing, the Company shall hire an independent, reputable investment bank selected by the Company and approved by the Required Holders to investigate as to whether such Event of Default or event or circumstance has occurred (the “</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If the Independent Investigator determines that such Event of Default or event or circumstance has occurred, the Independent Investigator shall notify the Company of such Event of Default or occurrence of such event or circumstance and the Company shall promptly deliver written notice to the Holder of such Event of Default if such Event of Default has occurred. In connection with such investigation, the Independent Investigator may, during normal business hours and upon signing a confidentiality agreement in a form reasonably acceptable to the Company, inspect all contracts, books, records, personnel, offices and other facilities and properties of the Company and its Subsidiaries and, to the extent available to the Company after the Company uses reasonable efforts to obtain them, the records of its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any of the Company’s officers, directors, key employees and independent public accountants (and by this provision the Company authorizes said accountants to discuss with such Independent Investigator the finances and affairs of the Company and any Subsidiaries); provided, that the Company’s chief executive officer and chief financial officer shall be invited to join any such discussion, all at such reasonable times, upon reasonable notice, and as often as may be reasonably requested.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jc w:val="both"/>
        <w:ind w:firstLine="656"/>
        <w:spacing w:after="0" w:line="254" w:lineRule="auto"/>
        <w:tabs>
          <w:tab w:leader="none" w:pos="9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Times New Roman" w:cs="Times New Roman" w:eastAsia="Times New Roman" w:hAnsi="Times New Roman"/>
          <w:sz w:val="18"/>
          <w:szCs w:val="18"/>
          <w:b w:val="1"/>
          <w:bCs w:val="1"/>
          <w:color w:val="auto"/>
        </w:rPr>
        <w:t xml:space="preserve">Section 9(T) </w:t>
      </w:r>
      <w:r>
        <w:rPr>
          <w:rFonts w:ascii="Times New Roman" w:cs="Times New Roman" w:eastAsia="Times New Roman" w:hAnsi="Times New Roman"/>
          <w:sz w:val="18"/>
          <w:szCs w:val="18"/>
          <w:color w:val="auto"/>
        </w:rPr>
        <w:t>shall limit any obligations of the Company, or any rights of the Holder, under the Securities Exchange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Holder is not a fiduciary or agent of the Company, the Holder will not have any obligations hereunder except those obligations expressly set forth herein (and in the Securities Exchange Agreement)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56"/>
        <w:spacing w:after="0" w:line="254" w:lineRule="auto"/>
        <w:tabs>
          <w:tab w:leader="none" w:pos="9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this Note and any shares of Common Stock issuable pursuant to this Note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 The Company shall not be obligated to pay any tax which may be payable with respect to any transfer (or deemed transfer) arising in connection with the registration of any certificates for Notes in the name of any Person other than the Holder or any of its Affiliates.</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0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have a number of authorized and unissued shares of Common Stock no less than a number of shares of Common Stock equal to the sum of (i) 100% of the maximum number of shares of Common Stock as shall be necessary to satisfy the Company’s obligation to issue shares of Common Stock under the warrants then outstanding issued under the Prior Securities Exchange Agreement and/or the Securities Purchase Agreement, reserved for the purpose of issuance pursuant to such warrants, plus (ii) a fraction, the numerator of which shall be the then outstanding Principal Amount of this Note plus an amount equal to all interest accrued on such outstanding Principal Amount and the denominator of which shall be the Conversion Price (as such term is defined in the Initial Exchange Notes) of the Initial Exchange Notes (the “</w:t>
      </w:r>
      <w:r>
        <w:rPr>
          <w:rFonts w:ascii="Times New Roman" w:cs="Times New Roman" w:eastAsia="Times New Roman" w:hAnsi="Times New Roman"/>
          <w:sz w:val="18"/>
          <w:szCs w:val="18"/>
          <w:b w:val="1"/>
          <w:bCs w:val="1"/>
          <w:color w:val="auto"/>
        </w:rPr>
        <w:t>Required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provided that at no time shall the number of shares of Common Stock reserved pursuant to this</w:t>
      </w:r>
      <w:r>
        <w:rPr>
          <w:rFonts w:ascii="Times New Roman" w:cs="Times New Roman" w:eastAsia="Times New Roman" w:hAnsi="Times New Roman"/>
          <w:sz w:val="18"/>
          <w:szCs w:val="18"/>
          <w:b w:val="1"/>
          <w:bCs w:val="1"/>
          <w:color w:val="auto"/>
        </w:rPr>
        <w:t xml:space="preserve"> Section 9(W) </w:t>
      </w:r>
      <w:r>
        <w:rPr>
          <w:rFonts w:ascii="Times New Roman" w:cs="Times New Roman" w:eastAsia="Times New Roman" w:hAnsi="Times New Roman"/>
          <w:sz w:val="18"/>
          <w:szCs w:val="18"/>
          <w:color w:val="auto"/>
        </w:rPr>
        <w:t>be reduced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stock combination, reverse stock split or other similar transaction.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that is thirty (30) days after the Issue Date, the Company shall have delivered to the Holder the results of a recent lien, bankruptcy and judgment search in each relevant jurisdiction with respect to the Company and its Subsidiaries and such search shall reveal no Liens on any of the Collateral (as such term is defined in the Security Agreement Amendments) or other assets of the Company and its Subsidiaries except, in the case of assets other than Collateral, for Permitted Liens.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Section 10. S</w:t>
      </w:r>
      <w:r>
        <w:rPr>
          <w:rFonts w:ascii="Times New Roman" w:cs="Times New Roman" w:eastAsia="Times New Roman" w:hAnsi="Times New Roman"/>
          <w:sz w:val="12"/>
          <w:szCs w:val="12"/>
          <w:b w:val="1"/>
          <w:bCs w:val="1"/>
          <w:color w:val="auto"/>
        </w:rPr>
        <w:t>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2" w:lineRule="exact"/>
        <w:rPr>
          <w:sz w:val="20"/>
          <w:szCs w:val="20"/>
          <w:color w:val="auto"/>
        </w:rPr>
      </w:pPr>
    </w:p>
    <w:p>
      <w:pPr>
        <w:jc w:val="both"/>
        <w:ind w:firstLine="656"/>
        <w:spacing w:after="0" w:line="262" w:lineRule="auto"/>
        <w:tabs>
          <w:tab w:leader="none" w:pos="9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duly organized and existing under the laws of the United States of America, any State thereof or the District of Columbia that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assumes (by executing and delivering to the Holder, at or before the effective time of such Business Combination Event, a supplement to this instrument) all of the Company’s obligations under this Note; and</w:t>
      </w:r>
    </w:p>
    <w:p>
      <w:pPr>
        <w:spacing w:after="0" w:line="18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will have occurred and be continuing.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w:t>
      </w:r>
      <w:r>
        <w:rPr>
          <w:rFonts w:ascii="Times New Roman" w:cs="Times New Roman" w:eastAsia="Times New Roman" w:hAnsi="Times New Roman"/>
          <w:sz w:val="12"/>
          <w:szCs w:val="12"/>
          <w:b w:val="1"/>
          <w:bCs w:val="1"/>
          <w:color w:val="auto"/>
        </w:rPr>
        <w:t>efaults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25" w:lineRule="exact"/>
        <w:rPr>
          <w:sz w:val="20"/>
          <w:szCs w:val="20"/>
          <w:color w:val="auto"/>
        </w:rPr>
      </w:pPr>
    </w:p>
    <w:p>
      <w:pPr>
        <w:ind w:left="960" w:hanging="30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51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payment when due of the Principal Amount, any amount due under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or the Fundamental Change Repurchase Price under this Note;</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three (3) Business Days in the payment when due of the interest on this Note;</w:t>
      </w:r>
    </w:p>
    <w:p>
      <w:pPr>
        <w:spacing w:after="0" w:line="221" w:lineRule="exact"/>
        <w:rPr>
          <w:rFonts w:ascii="Times New Roman" w:cs="Times New Roman" w:eastAsia="Times New Roman" w:hAnsi="Times New Roman"/>
          <w:sz w:val="18"/>
          <w:szCs w:val="18"/>
          <w:color w:val="auto"/>
        </w:rPr>
      </w:pPr>
    </w:p>
    <w:p>
      <w:pPr>
        <w:ind w:right="20" w:firstLine="1304"/>
        <w:spacing w:after="0" w:line="286" w:lineRule="auto"/>
        <w:tabs>
          <w:tab w:leader="none" w:pos="16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issue shares pursuant to this Note (or any portion of this Note)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7(C) </w:t>
      </w:r>
      <w:r>
        <w:rPr>
          <w:rFonts w:ascii="Times New Roman" w:cs="Times New Roman" w:eastAsia="Times New Roman" w:hAnsi="Times New Roman"/>
          <w:sz w:val="18"/>
          <w:szCs w:val="18"/>
          <w:color w:val="auto"/>
        </w:rPr>
        <w:t>upon the exercise of the Holder’s right with respect thereto;</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6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timely deliver a Fundamental Change Notice pursuant to </w:t>
      </w:r>
      <w:r>
        <w:rPr>
          <w:rFonts w:ascii="Times New Roman" w:cs="Times New Roman" w:eastAsia="Times New Roman" w:hAnsi="Times New Roman"/>
          <w:sz w:val="18"/>
          <w:szCs w:val="18"/>
          <w:b w:val="1"/>
          <w:bCs w:val="1"/>
          <w:color w:val="auto"/>
        </w:rPr>
        <w:t>Section 6(C)</w:t>
      </w:r>
      <w:r>
        <w:rPr>
          <w:rFonts w:ascii="Times New Roman" w:cs="Times New Roman" w:eastAsia="Times New Roman" w:hAnsi="Times New Roman"/>
          <w:sz w:val="18"/>
          <w:szCs w:val="18"/>
          <w:color w:val="auto"/>
        </w:rPr>
        <w:t xml:space="preserve">, or a Compliance Certification pursuant to </w:t>
      </w:r>
      <w:r>
        <w:rPr>
          <w:rFonts w:ascii="Times New Roman" w:cs="Times New Roman" w:eastAsia="Times New Roman" w:hAnsi="Times New Roman"/>
          <w:sz w:val="18"/>
          <w:szCs w:val="18"/>
          <w:b w:val="1"/>
          <w:bCs w:val="1"/>
          <w:color w:val="auto"/>
        </w:rPr>
        <w:t>Section 9(G) or Section 9(K)(ii)</w:t>
      </w:r>
      <w:r>
        <w:rPr>
          <w:rFonts w:ascii="Times New Roman" w:cs="Times New Roman" w:eastAsia="Times New Roman" w:hAnsi="Times New Roman"/>
          <w:sz w:val="18"/>
          <w:szCs w:val="18"/>
          <w:color w:val="auto"/>
        </w:rPr>
        <w:t>, and such default continues for three (3) Business Days, or the delivery of a materially false or inaccurate Fundamental Change Notice, Company Redemption Notice or Compliance Certification;</w:t>
      </w:r>
    </w:p>
    <w:p>
      <w:pPr>
        <w:spacing w:after="0" w:line="17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Company’s obligation to deliver when due any Event of Default Acceleration Amount;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1620" w:hanging="316"/>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timely deliver an Event of Default Notice or a materially false or inaccurate certification as to whether any Event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has occurred;</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Note or the Transaction Documents (in each case, other than a default set forth in clauses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(xix)</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 xml:space="preserve">), or a breach of any representation or warranty in any material respect (other than representations or warranties subject to material adverse effect or materiality qualifications, which may not be breached in any respect) of any Transaction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default can be cured, then such default shall not be an Event of Default unless the Company has failed to cure such default within ten (10) Business Days after its occurrence;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Transaction Document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w:t>
      </w:r>
    </w:p>
    <w:p>
      <w:pPr>
        <w:spacing w:after="0" w:line="175" w:lineRule="exact"/>
        <w:rPr>
          <w:rFonts w:ascii="Times New Roman" w:cs="Times New Roman" w:eastAsia="Times New Roman" w:hAnsi="Times New Roman"/>
          <w:sz w:val="18"/>
          <w:szCs w:val="18"/>
          <w:color w:val="auto"/>
        </w:rPr>
      </w:pPr>
    </w:p>
    <w:p>
      <w:pPr>
        <w:ind w:firstLine="1304"/>
        <w:spacing w:after="0" w:line="286" w:lineRule="auto"/>
        <w:tabs>
          <w:tab w:leader="none" w:pos="16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comply with any covenant set forth in </w:t>
      </w:r>
      <w:r>
        <w:rPr>
          <w:rFonts w:ascii="Times New Roman" w:cs="Times New Roman" w:eastAsia="Times New Roman" w:hAnsi="Times New Roman"/>
          <w:sz w:val="18"/>
          <w:szCs w:val="18"/>
          <w:b w:val="1"/>
          <w:bCs w:val="1"/>
          <w:color w:val="auto"/>
        </w:rPr>
        <w:t>Section 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9(J)</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9(K)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9(L)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9(R), Section 9(W), or Section 9(X) </w:t>
      </w:r>
      <w:r>
        <w:rPr>
          <w:rFonts w:ascii="Times New Roman" w:cs="Times New Roman" w:eastAsia="Times New Roman" w:hAnsi="Times New Roman"/>
          <w:sz w:val="18"/>
          <w:szCs w:val="18"/>
          <w:color w:val="auto"/>
        </w:rPr>
        <w:t>of this Note;</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the Company or any of its Subsidiaries to pay when due or within any applicable grace period any Indebtedness having an individual principal amount in excess of at least five hundred thousand dollars ($500,000)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five hundred thousand dollars ($500,000)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five hundred thousand dollars ($500,000) to become or be declared due prior to its stated maturity;</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orders or awards (or any settlement of any litigation or other proceeding that, if breached, could result in a judgment, order or award) for the payment of at least five hundred thousand dollars ($500,000)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w:t>
      </w:r>
    </w:p>
    <w:p>
      <w:pPr>
        <w:spacing w:after="0" w:line="18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304"/>
        <w:spacing w:after="0" w:line="258" w:lineRule="auto"/>
        <w:tabs>
          <w:tab w:leader="none" w:pos="16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shall for any reason fail or cease to create a separate valid and perfected first priority Lien on the Collateral, in each case, in favor of the Collateral Agent in accordance with the terms thereof,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183"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Company or any of its Significant Subsidiaries in an involuntary case or proceeding;</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similar relief with respect to the Company or any of its Significant Subsidiaries under any foreign Bankruptcy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color w:val="auto"/>
        </w:rPr>
        <w:t>, such order or decree remains unstayed and in effect for at least thirty (30) days.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1700" w:hanging="396"/>
        <w:spacing w:after="0"/>
        <w:tabs>
          <w:tab w:leader="none" w:pos="17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for the liquidation or dissolution of the Company:</w:t>
      </w:r>
    </w:p>
    <w:p>
      <w:pPr>
        <w:spacing w:after="0" w:line="22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w:t>
      </w:r>
    </w:p>
    <w:p>
      <w:pPr>
        <w:spacing w:after="0" w:line="223"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 respect to 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6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Company and not solely with respect to a Subsidiary of the Company) occurs and has not been waived by the Holder, then the Holder, by notice to the Company, may declare this Note (or any portion thereof) to become due and payable immediately for cash in an amount equal to the Event of Default Acceleration Amount.</w:t>
      </w:r>
    </w:p>
    <w:p>
      <w:pPr>
        <w:spacing w:after="0" w:line="17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Events of Default</w:t>
      </w:r>
      <w:r>
        <w:rPr>
          <w:rFonts w:ascii="Times New Roman" w:cs="Times New Roman" w:eastAsia="Times New Roman" w:hAnsi="Times New Roman"/>
          <w:sz w:val="18"/>
          <w:szCs w:val="18"/>
          <w:color w:val="auto"/>
        </w:rPr>
        <w:t>. Promptly, but in no event later than two (2) Business Days after an Event of Default, the Company will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of such Event of Default to the Holder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R</w:t>
      </w:r>
      <w:r>
        <w:rPr>
          <w:rFonts w:ascii="Times New Roman" w:cs="Times New Roman" w:eastAsia="Times New Roman" w:hAnsi="Times New Roman"/>
          <w:sz w:val="12"/>
          <w:szCs w:val="12"/>
          <w:b w:val="1"/>
          <w:bCs w:val="1"/>
          <w:color w:val="auto"/>
        </w:rPr>
        <w:t>anking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payments due under this Note shall rank (i) pari passu with all Other Notes,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R</w:t>
      </w:r>
      <w:r>
        <w:rPr>
          <w:rFonts w:ascii="Times New Roman" w:cs="Times New Roman" w:eastAsia="Times New Roman" w:hAnsi="Times New Roman"/>
          <w:sz w:val="12"/>
          <w:szCs w:val="12"/>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Section 14. 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the Company will be deemed to have been duly given if in writing and delivered in person or by first class mail (registered or certified, return receipt requested), electronic transmission (including e-mail) or other similar means of unsecured electronic communication or overnight air courier guaranteeing next day delivery, or to the other’s address, which initially is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Joshua Savitz, Esq.,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address: josh.savitz@agrify.com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Burns &amp; Levinson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617-345-3684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Frank A. Segall,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FSegall@burnslev.com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by notice to the Holder, may designate additional or different addresses for subsequent notices or communications.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notice or communication to the Holder will be by email to its email address, which initially are as set forth in the Securities Exchange Agreement. The Holder, by notice to the Company, may designate additional or different addresses for subsequent notices or communications.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in the manner provided above within the time prescribed, it will be deemed to have been duly given, whether or not the addressee receives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S</w:t>
      </w:r>
      <w:r>
        <w:rPr>
          <w:rFonts w:ascii="Times New Roman" w:cs="Times New Roman" w:eastAsia="Times New Roman" w:hAnsi="Times New Roman"/>
          <w:sz w:val="12"/>
          <w:szCs w:val="12"/>
          <w:b w:val="1"/>
          <w:bCs w:val="1"/>
          <w:color w:val="auto"/>
        </w:rPr>
        <w:t>uccessors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ssigns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agreements of the Company in this Note will bind its successors and will inure to the benefit of the Holder's successors and assigns.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Note is invalid, illegal or unenforceable, then the validity, legality and enforceability of the remaining provisions of this Note will not in any way be affected or impaired thereby.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H</w:t>
      </w:r>
      <w:r>
        <w:rPr>
          <w:rFonts w:ascii="Times New Roman" w:cs="Times New Roman" w:eastAsia="Times New Roman" w:hAnsi="Times New Roman"/>
          <w:sz w:val="12"/>
          <w:szCs w:val="12"/>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A</w:t>
      </w:r>
      <w:r>
        <w:rPr>
          <w:rFonts w:ascii="Times New Roman" w:cs="Times New Roman" w:eastAsia="Times New Roman" w:hAnsi="Times New Roman"/>
          <w:sz w:val="12"/>
          <w:szCs w:val="12"/>
          <w:b w:val="1"/>
          <w:bCs w:val="1"/>
          <w:color w:val="auto"/>
        </w:rPr>
        <w:t>mendments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Note may not be amended or modified unless in writing by the Company and the Required Holders (as defined in the Securities Exchange Agreement), and no condition herein (express or implied) may be waived unless waived in writing by each party whom the condition is meant to benefit.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Section 19. 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UNDER ANY OTHER TRANSACTION DOCUMENT OR IN CONNECTION WITH OR ARISING OUT OF THIS NOTE OR ANY OTHER TRANSACTION DOCUMENT OR ANY TRANSACTION CONTEMPLATED HEREBY OR THEREBY.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 S</w:t>
      </w:r>
      <w:r>
        <w:rPr>
          <w:rFonts w:ascii="Times New Roman" w:cs="Times New Roman" w:eastAsia="Times New Roman" w:hAnsi="Times New Roman"/>
          <w:sz w:val="12"/>
          <w:szCs w:val="12"/>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each Holder (A) agree that any suit, action or proceeding against it arising out of or relating to this Note shall be instituted in the Court of Chancery of the State of Delaware; (B) waive,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 to the nonexclusive jurisdiction of such court in any such suit, action or proceeding.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E</w:t>
      </w:r>
      <w:r>
        <w:rPr>
          <w:rFonts w:ascii="Times New Roman" w:cs="Times New Roman" w:eastAsia="Times New Roman" w:hAnsi="Times New Roman"/>
          <w:sz w:val="12"/>
          <w:szCs w:val="12"/>
          <w:b w:val="1"/>
          <w:bCs w:val="1"/>
          <w:color w:val="auto"/>
        </w:rPr>
        <w:t>nforcement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agrees to pay all costs and expenses of the Holder incurred as a result of enforcement of this Note and the collection of any amounts owed to the Holder hereunder (whether in cash, Common Stock or otherwise), including, without limitation, reasonable attorneys’ fees and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Secured Convertible Note due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of this Note, by executing and delivering this Conversion Notice, the undersigned Holder of this Note directs the Company to convert the following Principal Amount of this Note: $______________,000 in accordance with the following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to be delivered (the “</w:t>
      </w:r>
      <w:r>
        <w:rPr>
          <w:rFonts w:ascii="Times New Roman" w:cs="Times New Roman" w:eastAsia="Times New Roman" w:hAnsi="Times New Roman"/>
          <w:sz w:val="18"/>
          <w:szCs w:val="18"/>
          <w:b w:val="1"/>
          <w:bCs w:val="1"/>
          <w:color w:val="auto"/>
        </w:rPr>
        <w:t>Delivered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294005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purposes of that certain Irrevocable Letter of Instructions to Transfer Agent, dated as of March 8, 2023, by and between the Company and the Holder (the “</w:t>
      </w:r>
      <w:r>
        <w:rPr>
          <w:rFonts w:ascii="Times New Roman" w:cs="Times New Roman" w:eastAsia="Times New Roman" w:hAnsi="Times New Roman"/>
          <w:sz w:val="18"/>
          <w:szCs w:val="18"/>
          <w:b w:val="1"/>
          <w:bCs w:val="1"/>
          <w:color w:val="auto"/>
        </w:rPr>
        <w:t>Instruction Letter</w:t>
      </w:r>
      <w:r>
        <w:rPr>
          <w:rFonts w:ascii="Times New Roman" w:cs="Times New Roman" w:eastAsia="Times New Roman" w:hAnsi="Times New Roman"/>
          <w:sz w:val="18"/>
          <w:szCs w:val="18"/>
          <w:color w:val="auto"/>
        </w:rPr>
        <w:t>”), to the extent the Delivered Shares exceed the Note Shares Reserve (as such term is defined in the Instruction Letter) as of the date hereof (such amount,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the Note Shares Reserve shall be deemed to be increased by a number of shares of Common Stock equal to the Excess Shares.</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7"/>
        </w:trPr>
        <w:tc>
          <w:tcPr>
            <w:tcW w:w="1680" w:type="dxa"/>
            <w:vAlign w:val="bottom"/>
          </w:tcPr>
          <w:p>
            <w:pPr>
              <w:spacing w:after="0"/>
              <w:rPr>
                <w:sz w:val="24"/>
                <w:szCs w:val="24"/>
                <w:color w:val="auto"/>
              </w:rPr>
            </w:pPr>
          </w:p>
        </w:tc>
        <w:tc>
          <w:tcPr>
            <w:tcW w:w="95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tc>
      </w:tr>
      <w:tr>
        <w:trPr>
          <w:trHeight w:val="447"/>
        </w:trPr>
        <w:tc>
          <w:tcPr>
            <w:tcW w:w="1680" w:type="dxa"/>
            <w:vAlign w:val="bottom"/>
          </w:tcPr>
          <w:p>
            <w:pPr>
              <w:spacing w:after="0"/>
              <w:rPr>
                <w:sz w:val="24"/>
                <w:szCs w:val="24"/>
                <w:color w:val="auto"/>
              </w:rPr>
            </w:pPr>
          </w:p>
        </w:tc>
        <w:tc>
          <w:tcPr>
            <w:tcW w:w="9560" w:type="dxa"/>
            <w:vAlign w:val="bottom"/>
          </w:tcPr>
          <w:p>
            <w:pPr>
              <w:jc w:val="right"/>
              <w:ind w:right="2226"/>
              <w:spacing w:after="0"/>
              <w:rPr>
                <w:sz w:val="20"/>
                <w:szCs w:val="20"/>
                <w:color w:val="auto"/>
              </w:rPr>
            </w:pPr>
            <w:r>
              <w:rPr>
                <w:rFonts w:ascii="Times New Roman" w:cs="Times New Roman" w:eastAsia="Times New Roman" w:hAnsi="Times New Roman"/>
                <w:sz w:val="18"/>
                <w:szCs w:val="18"/>
                <w:b w:val="1"/>
                <w:bCs w:val="1"/>
                <w:color w:val="auto"/>
              </w:rPr>
              <w:t>SECOND AMENDED AND RESTATED JUNIOR SECURED PROMISSORY NOTE</w:t>
            </w:r>
          </w:p>
        </w:tc>
      </w:tr>
      <w:tr>
        <w:trPr>
          <w:trHeight w:val="414"/>
        </w:trPr>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8"/>
              </w:rPr>
              <w:t>$1,000,000.00</w:t>
            </w:r>
          </w:p>
        </w:tc>
        <w:tc>
          <w:tcPr>
            <w:tcW w:w="9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25, 2024</w:t>
            </w:r>
          </w:p>
        </w:tc>
      </w:tr>
      <w:tr>
        <w:trPr>
          <w:trHeight w:val="234"/>
        </w:trPr>
        <w:tc>
          <w:tcPr>
            <w:tcW w:w="1680" w:type="dxa"/>
            <w:vAlign w:val="bottom"/>
          </w:tcPr>
          <w:p>
            <w:pPr>
              <w:spacing w:after="0"/>
              <w:rPr>
                <w:sz w:val="20"/>
                <w:szCs w:val="20"/>
                <w:color w:val="auto"/>
              </w:rPr>
            </w:pPr>
          </w:p>
        </w:tc>
        <w:tc>
          <w:tcPr>
            <w:tcW w:w="9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Boston, Massachusetts</w:t>
            </w: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AGRIFY CORPORATION</w:t>
      </w:r>
      <w:r>
        <w:rPr>
          <w:rFonts w:ascii="Times New Roman" w:cs="Times New Roman" w:eastAsia="Times New Roman" w:hAnsi="Times New Roman"/>
          <w:sz w:val="18"/>
          <w:szCs w:val="18"/>
          <w:color w:val="auto"/>
        </w:rPr>
        <w:t xml:space="preserve">, a Nevada corporation (“Maker”), promises to pay to the order of </w:t>
      </w:r>
      <w:r>
        <w:rPr>
          <w:rFonts w:ascii="Times New Roman" w:cs="Times New Roman" w:eastAsia="Times New Roman" w:hAnsi="Times New Roman"/>
          <w:sz w:val="18"/>
          <w:szCs w:val="18"/>
          <w:b w:val="1"/>
          <w:bCs w:val="1"/>
          <w:color w:val="auto"/>
        </w:rPr>
        <w:t>GIC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 with an office at 675 VFW Parkway, Suite 152, Chestnut Hill, Massachusetts 02467-3656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sum advanced to Maker from time to time up to a maximum of </w:t>
      </w:r>
      <w:r>
        <w:rPr>
          <w:rFonts w:ascii="Times New Roman" w:cs="Times New Roman" w:eastAsia="Times New Roman" w:hAnsi="Times New Roman"/>
          <w:sz w:val="18"/>
          <w:szCs w:val="18"/>
          <w:b w:val="1"/>
          <w:bCs w:val="1"/>
          <w:color w:val="auto"/>
        </w:rPr>
        <w:t>ONE MILLION DOLLARS ($1,000,000.00)</w:t>
      </w:r>
      <w:r>
        <w:rPr>
          <w:rFonts w:ascii="Times New Roman" w:cs="Times New Roman" w:eastAsia="Times New Roman" w:hAnsi="Times New Roman"/>
          <w:sz w:val="18"/>
          <w:szCs w:val="18"/>
          <w:color w:val="auto"/>
        </w:rPr>
        <w:t xml:space="preserve"> in lawful money of the United States of America, under the terms and at the times stated herein.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principal and interest due under this Second Amended and Restated Junior Secured Promissory Note (this “Note”) shall be payable in full on June 30,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may be prepaid, in whole or in part, at any time without any penalty, fee, or premium of any kind.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Note represents a junior security interest in Maker, and such junior security interest herein granted and provided for is made and given to secure, and shall secure, the payment and performance of this Note,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security interest and any payments due under this Note shall be subordinate to any obligations of and interests granted in those certain senior secured notes previously issued by Maker (the “Senior Secured Notes”).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principal balance outstanding under this Note from time to time shall bear interest at the rate of ten percent (10%) per annum computed on the basis of a 360 day year.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a payment default, and at all times thereafter until this Note is paid in full, the principal balance of this Note shall bear interest at the default rate of eighteen percent (18%) per annum computed on the basis of a 360 day year.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Maker waives presentment, demand, notice, protest, and delay in connection with the delivery, acceptance, performance, collection, and enforcement of this Note.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delay or omission on the part of Holder in exercising any right hereunder shall operate as a waiver of such right or of any other right under this Note. A waiver on anyone occasion shall not be construed as a bar to or a waiver of any such right and/or remedy on any future occasion.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 shall be entitled to an award of its reasonable costs and expenses, including, but not limited to, reasonable attorney’s fees, incurred in enforcing and collecting the amounts due under this Note.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the laws of the Commonwealth of Massachusetts.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Maker will take all reasonably necessary steps to publish and file any financing statements associated with the security interest contained herein under applicable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Note constitutes an amendment and restatement, but not an extinguishment, of the Promissory Note dated as of July 12, 2022, made by Maker, as amended and restated on October 27, 2023 (as previously amended and restated, the “Prior Note”). Nothing herein shall be construed to constitute satisfaction of the outstanding obligations under the Prior Note,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upon the execution and delivery of this Note, such obligations shall be enforceable in accordance with this Note and not the Prior Note.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Note is intended to be consolidated, amended and restated and replaced in its entirety with and into certain of the Senior Secured Notes held now or in the future by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IN WITNESS WHEREOF, Maker has executed this Note as a sealed instrument as of the date first hereinabove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Savitz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Joshua Savitz</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451485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Agrify Announces the Result of its Reconvened Annual Meeting, At Premium $3.9 Million Debt Conversion,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Exercise of a Majority of Previously Issued Warrants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TROY, Michigan, January 25, 2024 – Agrify Corporation (Nasdaq: AGFY) (“Agrify” or the “Company”), a leading provider of innovative cultivation and extraction solutions for the cannabis industry, today announced that the shareholders of the Company approved an amendment to the Company’s Articles of Incorporation to increase the number of authorized shares of the Company’s common stock from 10,000,000 to 35,000,000 (the “Charter Amendment”), that all its outstanding debt held by CP Acquisitions LLC (the “New Lender”), an entity affiliated with Raymond Chang, the Chief Executive Officer of the Company and a member of the Board of Directors (the “Board”), and I-Tseng Jenny Chan, a member of the Board, has been consolidated under a single convertible note and approximately $3.9 million of the outstanding debt has been converted into equity at a conversion price per share equal to $1.46, or 212% premium to the latest closing price, and that its prior secured lender (the “Prior Lender”) has exercised 2,475,629 of the warrants previously issued in October 2023 on a cashless basis for a net issuance of 2,473,542 shares of common stock, thus greatly reducing the number of outstanding warrants.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Annual Meeting of Stockholders on January 8, 2024 (the “Annual Meeting”) was adjourned until January 22, 2024 (the “Reconvened Meeting”), only with respect to the proposal to approve the Charter Amendment, owing to Item 3 receiving less than the affirmative vote of a majority of the Company’s outstanding common stock as of the record date of December 6, 2023, which was the required minimum vote to approve the Charter Amendment. At the Reconvened Meeting, shares representing approximately 51.6% of the outstanding shares of common stock as of the record date were voted in favor of the Charter Amendment, representing approximately 94.6% of votes cast on the proposal, resulting in the Charter Amendment being approved. The Charter Amendment will provide the Company with a number of shares of common stock so that common stock can be issued in connection with conversion of the Restated Note into equity, among other things.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New Lender, which previously purchased from the Prior Lender the Senior Secured Note issued by the Company to the Prior Lender on August 19, 2022 (the “Exchange Note”) and the Senior Secured Convertible Note issued by the Company to the Prior Lender on March 10, 2023 (the “Convertible Note”), and to which the Company previously issued a junior secured promissory note (the “Junior Secured Note”) with a maximum principal amount of $4,000,000, entered into a consolidation, amendment and restatement of the Convertible Note with the Company to consolidate the outstanding principal and interest due under the Junior Secured Note and the Exchange Note into the Convertible Note and to amend and restate the Convertible Note (the “Restated Note”) consistent with the terms contained in the proposal approved by the stockholders of the Company at the Annual Meeting, with an outstanding principal amount of approximately $18.9 million at the time of issuance of the Restated Note. Immediately following the execution of the Restated Note, the New Lender elected to convert approximately $3.9 million of outstanding principal into an aggregate of 2,671,633 shares of common stock, at a conversion price of $1.46 per share, and assigned its rights to receive such shares to entities affiliated with Mr. Chang and Ms. Chan. Concurrently, GIC Acquisition, another entity affiliated with Mr. Chang, agreed to increase the principal amount under its previously-issued junior secured note from $0.5 million to $1 million.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22, 2024, pursuant to notices of exercise received from the Prior Lender, the Company issued an aggregate of 2,473,542 shares of common stock (to the Prior Lender upon the cashless exercise of two warrants issued to the Prior Lender on October 27, 2023. The issuance of the Warrant Shares represents the full exercise of the Abeyance Warrant as described in the Company’s Current Report on Form 8-K filed on October 30, 2023 (the “October 30 Form 8-K”) and the partial exercise of the Exchange Warrant as described in the October 30 Form 8-K, which remains exercisable for up to 659,669 shares of common stock, subject to adjustment pursuant to its terms.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consolidation of the outstanding debt held by the New Lender into the Restated Note and the conversion of some amount of the debt thereunder, together with the reduction in the number of outstanding warrants held by the Prior Lender is expected to result in a reduction in liabilities on the Company’s balance sheet, which the Company believes will help it to regain compliance with Nasdaq’s Listing Rule 5550(b)(1), which requires that listed companies maintain a minimum of $2.5 million in stockholders’ equity.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very pleased to achieve yet another major milestone in our effort to restructure Agrify’s balance sheet. The $3.9 million conversion at a significant premium to our current market price exemplifies our continuous confidence and support in Agrify’s turnaround initiatives,” noted Raymond Chang, Chief Executive Officer of Agrify.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About Agrify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(return on investment) at scale. Our comprehensive extraction product line, which includes hydrocarbon, ethanol, solventless extraction, post-processing, and lab equipment, empowers producers to maximize the quantity and quality of extract required for premium concentrates. For more information, please visit our website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including the ability to regain compliance with Nasdaq listing standards and the ability to reduce liabilities on its balance sheet.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for the year ended December 31, 2022 that was filed with the SEC on November 28, 2023,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04"/>
    </w:lvl>
  </w:abstractNum>
  <w:abstractNum w:abstractNumId="2">
    <w:nsid w:val="3F2DBA31"/>
    <w:multiLevelType w:val="hybridMultilevel"/>
    <w:lvl w:ilvl="0">
      <w:lvlJc w:val="left"/>
      <w:lvlText w:val="(%1)"/>
      <w:numFmt w:val="upperLetter"/>
      <w:start w:val="1"/>
    </w:lvl>
  </w:abstractNum>
  <w:abstractNum w:abstractNumId="3">
    <w:nsid w:val="7C83E458"/>
    <w:multiLevelType w:val="hybridMultilevel"/>
    <w:lvl w:ilvl="0">
      <w:lvlJc w:val="left"/>
      <w:lvlText w:val="(%1)"/>
      <w:numFmt w:val="upperLetter"/>
      <w:start w:val="1"/>
    </w:lvl>
  </w:abstractNum>
  <w:abstractNum w:abstractNumId="4">
    <w:nsid w:val="257130A3"/>
    <w:multiLevelType w:val="hybridMultilevel"/>
    <w:lvl w:ilvl="0">
      <w:lvlJc w:val="left"/>
      <w:lvlText w:val="(%1)"/>
      <w:numFmt w:val="upperLetter"/>
      <w:start w:val="1"/>
    </w:lvl>
  </w:abstractNum>
  <w:abstractNum w:abstractNumId="5">
    <w:nsid w:val="62BBD95A"/>
    <w:multiLevelType w:val="hybridMultilevel"/>
    <w:lvl w:ilvl="0">
      <w:lvlJc w:val="left"/>
      <w:lvlText w:val="(%1)"/>
      <w:numFmt w:val="upperLetter"/>
      <w:start w:val="3"/>
    </w:lvl>
  </w:abstractNum>
  <w:abstractNum w:abstractNumId="6">
    <w:nsid w:val="436C6125"/>
    <w:multiLevelType w:val="hybridMultilevel"/>
    <w:lvl w:ilvl="0">
      <w:lvlJc w:val="left"/>
      <w:lvlText w:val="(%1)"/>
      <w:numFmt w:val="upperLetter"/>
      <w:start w:val="1"/>
    </w:lvl>
  </w:abstractNum>
  <w:abstractNum w:abstractNumId="7">
    <w:nsid w:val="628C895D"/>
    <w:multiLevelType w:val="hybridMultilevel"/>
    <w:lvl w:ilvl="0">
      <w:lvlJc w:val="left"/>
      <w:lvlText w:val="(%1)"/>
      <w:numFmt w:val="upperLetter"/>
      <w:start w:val="9"/>
    </w:lvl>
  </w:abstractNum>
  <w:abstractNum w:abstractNumId="8">
    <w:nsid w:val="333AB105"/>
    <w:multiLevelType w:val="hybridMultilevel"/>
    <w:lvl w:ilvl="0">
      <w:lvlJc w:val="left"/>
      <w:lvlText w:val="(%1)"/>
      <w:numFmt w:val="upperLetter"/>
      <w:start w:val="1"/>
    </w:lvl>
    <w:lvl w:ilvl="1">
      <w:lvlJc w:val="left"/>
      <w:lvlText w:val="(%2)"/>
      <w:numFmt w:val="lowerRoman"/>
      <w:start w:val="1"/>
    </w:lvl>
  </w:abstractNum>
  <w:abstractNum w:abstractNumId="9">
    <w:nsid w:val="721DA317"/>
    <w:multiLevelType w:val="hybridMultilevel"/>
    <w:lvl w:ilvl="0">
      <w:lvlJc w:val="left"/>
      <w:lvlText w:val="(%1)"/>
      <w:numFmt w:val="upperLetter"/>
      <w:start w:val="1"/>
    </w:lvl>
  </w:abstractNum>
  <w:abstractNum w:abstractNumId="10">
    <w:nsid w:val="2443A858"/>
    <w:multiLevelType w:val="hybridMultilevel"/>
    <w:lvl w:ilvl="0">
      <w:lvlJc w:val="left"/>
      <w:lvlText w:val="(%1)"/>
      <w:numFmt w:val="upperLetter"/>
      <w:start w:val="1"/>
    </w:lvl>
  </w:abstractNum>
  <w:abstractNum w:abstractNumId="11">
    <w:nsid w:val="2D1D5AE9"/>
    <w:multiLevelType w:val="hybridMultilevel"/>
    <w:lvl w:ilvl="0">
      <w:lvlJc w:val="left"/>
      <w:lvlText w:val="(%1)"/>
      <w:numFmt w:val="upperLetter"/>
      <w:start w:val="4"/>
    </w:lvl>
  </w:abstractNum>
  <w:abstractNum w:abstractNumId="12">
    <w:nsid w:val="6763845E"/>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3">
    <w:nsid w:val="75A2A8D4"/>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abstractNum>
  <w:abstractNum w:abstractNumId="14">
    <w:nsid w:val="8EDBDAB"/>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5"/>
    </w:lvl>
    <w:lvl w:ilvl="3">
      <w:lvlJc w:val="left"/>
      <w:lvlText w:val="%4"/>
      <w:numFmt w:val="decimal"/>
      <w:start w:val="1"/>
    </w:lvl>
  </w:abstractNum>
  <w:abstractNum w:abstractNumId="15">
    <w:nsid w:val="79838CB2"/>
    <w:multiLevelType w:val="hybridMultilevel"/>
    <w:lvl w:ilvl="0">
      <w:lvlJc w:val="left"/>
      <w:lvlText w:val="(%1)"/>
      <w:numFmt w:val="upperLetter"/>
      <w:start w:val="5"/>
    </w:lvl>
    <w:lvl w:ilvl="1">
      <w:lvlJc w:val="left"/>
      <w:lvlText w:val="%2"/>
      <w:numFmt w:val="decimal"/>
      <w:start w:val="1"/>
    </w:lvl>
    <w:lvl w:ilvl="2">
      <w:lvlJc w:val="left"/>
      <w:lvlText w:val="(%3)"/>
      <w:numFmt w:val="lowerRoman"/>
      <w:start w:val="1"/>
    </w:lvl>
    <w:lvl w:ilvl="3">
      <w:lvlJc w:val="left"/>
      <w:lvlText w:val="(%4)"/>
      <w:numFmt w:val="decimal"/>
      <w:start w:val="1"/>
    </w:lvl>
  </w:abstractNum>
  <w:abstractNum w:abstractNumId="16">
    <w:nsid w:val="4353D0CD"/>
    <w:multiLevelType w:val="hybridMultilevel"/>
    <w:lvl w:ilvl="0">
      <w:lvlJc w:val="left"/>
      <w:lvlText w:val="(%1)"/>
      <w:numFmt w:val="decimal"/>
      <w:start w:val="2"/>
    </w:lvl>
  </w:abstractNum>
  <w:abstractNum w:abstractNumId="17">
    <w:nsid w:val="B03E0C6"/>
    <w:multiLevelType w:val="hybridMultilevel"/>
    <w:lvl w:ilvl="0">
      <w:lvlJc w:val="left"/>
      <w:lvlText w:val="(%1)"/>
      <w:numFmt w:val="lowerLetter"/>
      <w:start w:val="26"/>
    </w:lvl>
  </w:abstractNum>
  <w:abstractNum w:abstractNumId="18">
    <w:nsid w:val="189A769B"/>
    <w:multiLevelType w:val="hybridMultilevel"/>
    <w:lvl w:ilvl="0">
      <w:lvlJc w:val="left"/>
      <w:lvlText w:val="(%1)"/>
      <w:numFmt w:val="lowerRoman"/>
      <w:start w:val="2"/>
    </w:lvl>
  </w:abstractNum>
  <w:abstractNum w:abstractNumId="19">
    <w:nsid w:val="54E49EB4"/>
    <w:multiLevelType w:val="hybridMultilevel"/>
    <w:lvl w:ilvl="0">
      <w:lvlJc w:val="left"/>
      <w:lvlText w:val="(%1)"/>
      <w:numFmt w:val="upperLetter"/>
      <w:start w:val="9"/>
    </w:lvl>
  </w:abstractNum>
  <w:abstractNum w:abstractNumId="20">
    <w:nsid w:val="71F32454"/>
    <w:multiLevelType w:val="hybridMultilevel"/>
    <w:lvl w:ilvl="0">
      <w:lvlJc w:val="left"/>
      <w:lvlText w:val="(%1)"/>
      <w:numFmt w:val="upperLetter"/>
      <w:start w:val="1"/>
    </w:lvl>
  </w:abstractNum>
  <w:abstractNum w:abstractNumId="21">
    <w:nsid w:val="2CA88611"/>
    <w:multiLevelType w:val="hybridMultilevel"/>
    <w:lvl w:ilvl="0">
      <w:lvlJc w:val="left"/>
      <w:lvlText w:val="(%1)"/>
      <w:numFmt w:val="upperLetter"/>
      <w:start w:val="1"/>
    </w:lvl>
    <w:lvl w:ilvl="1">
      <w:lvlJc w:val="left"/>
      <w:lvlText w:val="(%2)"/>
      <w:numFmt w:val="lowerRoman"/>
      <w:start w:val="1"/>
    </w:lvl>
  </w:abstractNum>
  <w:abstractNum w:abstractNumId="22">
    <w:nsid w:val="836C40E"/>
    <w:multiLevelType w:val="hybridMultilevel"/>
    <w:lvl w:ilvl="0">
      <w:lvlJc w:val="left"/>
      <w:lvlText w:val="%1"/>
      <w:numFmt w:val="decimal"/>
      <w:start w:val="1"/>
    </w:lvl>
    <w:lvl w:ilvl="1">
      <w:lvlJc w:val="left"/>
      <w:lvlText w:val="(%2)"/>
      <w:numFmt w:val="upperLetter"/>
      <w:start w:val="3"/>
    </w:lvl>
  </w:abstractNum>
  <w:abstractNum w:abstractNumId="23">
    <w:nsid w:val="2901D82"/>
    <w:multiLevelType w:val="hybridMultilevel"/>
    <w:lvl w:ilvl="0">
      <w:lvlJc w:val="left"/>
      <w:lvlText w:val="(%1)"/>
      <w:numFmt w:val="decimal"/>
      <w:start w:val="181"/>
    </w:lvl>
    <w:lvl w:ilvl="1">
      <w:lvlJc w:val="left"/>
      <w:lvlText w:val="(%2)"/>
      <w:numFmt w:val="upperLetter"/>
      <w:start w:val="5"/>
    </w:lvl>
  </w:abstractNum>
  <w:abstractNum w:abstractNumId="24">
    <w:nsid w:val="3A95F874"/>
    <w:multiLevelType w:val="hybridMultilevel"/>
    <w:lvl w:ilvl="0">
      <w:lvlJc w:val="left"/>
      <w:lvlText w:val="(%1)"/>
      <w:numFmt w:val="upperLetter"/>
      <w:start w:val="8"/>
    </w:lvl>
  </w:abstractNum>
  <w:abstractNum w:abstractNumId="25">
    <w:nsid w:val="8138641"/>
    <w:multiLevelType w:val="hybridMultilevel"/>
    <w:lvl w:ilvl="0">
      <w:lvlJc w:val="left"/>
      <w:lvlText w:val="(%1)"/>
      <w:numFmt w:val="upperLetter"/>
      <w:start w:val="15"/>
    </w:lvl>
  </w:abstractNum>
  <w:abstractNum w:abstractNumId="26">
    <w:nsid w:val="1E7FF521"/>
    <w:multiLevelType w:val="hybridMultilevel"/>
    <w:lvl w:ilvl="0">
      <w:lvlJc w:val="left"/>
      <w:lvlText w:val="(%1)"/>
      <w:numFmt w:val="upperLetter"/>
      <w:start w:val="20"/>
    </w:lvl>
  </w:abstractNum>
  <w:abstractNum w:abstractNumId="27">
    <w:nsid w:val="7C3DBD3D"/>
    <w:multiLevelType w:val="hybridMultilevel"/>
    <w:lvl w:ilvl="0">
      <w:lvlJc w:val="left"/>
      <w:lvlText w:val="(%1)"/>
      <w:numFmt w:val="upperLetter"/>
      <w:start w:val="22"/>
    </w:lvl>
  </w:abstractNum>
  <w:abstractNum w:abstractNumId="28">
    <w:nsid w:val="737B8DDC"/>
    <w:multiLevelType w:val="hybridMultilevel"/>
    <w:lvl w:ilvl="0">
      <w:lvlJc w:val="left"/>
      <w:lvlText w:val="(%1)"/>
      <w:numFmt w:val="upperLetter"/>
      <w:start w:val="1"/>
    </w:lvl>
  </w:abstractNum>
  <w:abstractNum w:abstractNumId="29">
    <w:nsid w:val="6CEAF087"/>
    <w:multiLevelType w:val="hybridMultilevel"/>
    <w:lvl w:ilvl="0">
      <w:lvlJc w:val="left"/>
      <w:lvlText w:val="(%1)"/>
      <w:numFmt w:val="upperLetter"/>
      <w:start w:val="1"/>
    </w:lvl>
    <w:lvl w:ilvl="1">
      <w:lvlJc w:val="left"/>
      <w:lvlText w:val="(%2)"/>
      <w:numFmt w:val="lowerRoman"/>
      <w:start w:val="1"/>
    </w:lvl>
  </w:abstractNum>
  <w:abstractNum w:abstractNumId="30">
    <w:nsid w:val="22221A70"/>
    <w:multiLevelType w:val="hybridMultilevel"/>
    <w:lvl w:ilvl="0">
      <w:lvlJc w:val="left"/>
      <w:lvlText w:val="(%1)"/>
      <w:numFmt w:val="lowerRoman"/>
      <w:start w:val="6"/>
    </w:lvl>
  </w:abstractNum>
  <w:abstractNum w:abstractNumId="31">
    <w:nsid w:val="4516DDE9"/>
    <w:multiLevelType w:val="hybridMultilevel"/>
    <w:lvl w:ilvl="0">
      <w:lvlJc w:val="left"/>
      <w:lvlText w:val="(%1)"/>
      <w:numFmt w:val="lowerRoman"/>
      <w:start w:val="14"/>
    </w:lvl>
    <w:lvl w:ilvl="1">
      <w:lvlJc w:val="left"/>
      <w:lvlText w:val="(%2)"/>
      <w:numFmt w:val="decimal"/>
      <w:start w:val="1"/>
    </w:lvl>
  </w:abstractNum>
  <w:abstractNum w:abstractNumId="32">
    <w:nsid w:val="3006C83E"/>
    <w:multiLevelType w:val="hybridMultilevel"/>
    <w:lvl w:ilvl="0">
      <w:lvlJc w:val="left"/>
      <w:lvlText w:val="%1"/>
      <w:numFmt w:val="upperLetter"/>
      <w:start w:val="1"/>
    </w:lvl>
    <w:lvl w:ilvl="1">
      <w:lvlJc w:val="left"/>
      <w:lvlText w:val="(%2)"/>
      <w:numFmt w:val="lowerRoman"/>
      <w:start w:val="19"/>
    </w:lvl>
  </w:abstractNum>
  <w:abstractNum w:abstractNumId="33">
    <w:nsid w:val="614FD4A1"/>
    <w:multiLevelType w:val="hybridMultilevel"/>
    <w:lvl w:ilvl="0">
      <w:lvlJc w:val="left"/>
      <w:lvlText w:val="(%1)"/>
      <w:numFmt w:val="upp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2024-01-25T07:08:15Z</dcterms:created>
  <dcterms:modified xsi:type="dcterms:W3CDTF">2024-01-25T07:08:15Z</dcterms:modified>
</cp:coreProperties>
</file>