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3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80"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445,272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by M Zion Capital, LLC (“</w:t>
      </w:r>
      <w:r>
        <w:rPr>
          <w:rFonts w:ascii="Times New Roman" w:cs="Times New Roman" w:eastAsia="Times New Roman" w:hAnsi="Times New Roman"/>
          <w:sz w:val="18"/>
          <w:szCs w:val="18"/>
          <w:i w:val="1"/>
          <w:iCs w:val="1"/>
          <w:color w:val="auto"/>
        </w:rPr>
        <w:t>M Zion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 entity controlled by Ms. Chan, (ii) 445,272 shares of Common Stock held by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Ms. Chan, (iii) 445,272 shares of Common Stock held by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 entity controlled by Ms. Chan,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Ms. Chan, issuable to Ms. Chan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2025 described herein with an outstanding principal amount of $3,500,000.00 and a conversion price of $1.46 per share (as may be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pre-funded warrants to purchase 7,876,712 shares of Common Stock held by CP Acquisitions that are exercisable within 60 days of the date hereof, subject to a 49.99% beneficial ownership limitation.</w:t>
      </w:r>
    </w:p>
    <w:p>
      <w:pPr>
        <w:spacing w:after="0" w:line="9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Securities and Exchange Commission (the “SEC”) on May 21, 2024, plus the shares of Common Stock issuable upon conversion of the convertible note in footnote (1), subject to applicable beneficial ownership limitations.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6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an entity controlled by Ms. Chan, issuable to Ms. Chan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in which case the 49.99% beneficial ownership limitation will apply to each of them individually, and (ii) pre-funded warrants to purchase 7,876,712 shares of Common Stock held by CP Acquisitions that are exercisable within 60 days of the date hereof, subject to a 49.99% beneficial ownership limitation.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14,229,386 shares of Common Stock outstanding as of May 13, 2024, as set forth in the Issuer’s Quarterly Report on Form 10-Q for the quarterly period ended March 31, 2024 filed with the SEC on May 21, 2024, plus the shares of Common Stock issuable upon conversion of the convertible note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Amendment No. 1 to the statement on Schedule 13D (“</w:t>
      </w:r>
      <w:r>
        <w:rPr>
          <w:rFonts w:ascii="Times New Roman" w:cs="Times New Roman" w:eastAsia="Times New Roman" w:hAnsi="Times New Roman"/>
          <w:sz w:val="18"/>
          <w:szCs w:val="18"/>
          <w:i w:val="1"/>
          <w:iCs w:val="1"/>
          <w:color w:val="auto"/>
        </w:rPr>
        <w:t>Amendment No. 1</w:t>
      </w:r>
      <w:r>
        <w:rPr>
          <w:rFonts w:ascii="Times New Roman" w:cs="Times New Roman" w:eastAsia="Times New Roman" w:hAnsi="Times New Roman"/>
          <w:sz w:val="18"/>
          <w:szCs w:val="18"/>
          <w:color w:val="auto"/>
        </w:rPr>
        <w:t>”) amends the Schedule 13D originally filed by the Reporting Persons (as defined herein) on January 25,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the Reporting Persons.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1 does not modify any of the information previously reported on the Schedule 13D. Capitalized terms used but not otherwise defined in this Amendment No. 1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such terms are defined and as further described in Item 5, the purpose of the actions taken by the Reporting Persons with respect to the CP Note Amendment and the conversion of the Convertible Note into Pre-Funded Warrants was to improve the shareholders’ equity of the Issuer and mitigate the Issuer’s negative shareholder equity.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described herein, the Reporting Persons have no present plans or proposals that relate to or would result in any of the transactions described in subparagraphs (a) through (j) of Item 4 of Schedule 13D.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Item 5(a) of the Schedule 13D is hereby amended such that the shares of Common Stock of the Issuer outstanding as of the date hereof is 14,229,386.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Convertible Note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reported on this Schedule 13D, on January 25, 2024, Issuer and CP Acquisitions, an entity affiliated with and controlled by Raymond Chang, the Chief Executive Officer of the Issuer and a member of its Board, and I-Tseng Jenny Chan, a member of the Board, agreed to amend, restate and consolidate certain outstanding notes held by CP Acquisitions into the Convertible Note.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May 21, 2024, the Issuer and CP Acquisitions entered into an amendment to the Convertible Note (the “</w:t>
      </w:r>
      <w:r>
        <w:rPr>
          <w:rFonts w:ascii="Times New Roman" w:cs="Times New Roman" w:eastAsia="Times New Roman" w:hAnsi="Times New Roman"/>
          <w:sz w:val="18"/>
          <w:szCs w:val="18"/>
          <w:i w:val="1"/>
          <w:iCs w:val="1"/>
          <w:color w:val="auto"/>
        </w:rPr>
        <w:t>CP Note Amendment</w:t>
      </w:r>
      <w:r>
        <w:rPr>
          <w:rFonts w:ascii="Times New Roman" w:cs="Times New Roman" w:eastAsia="Times New Roman" w:hAnsi="Times New Roman"/>
          <w:sz w:val="18"/>
          <w:szCs w:val="18"/>
          <w:color w:val="auto"/>
        </w:rPr>
        <w:t>”), pursuant to which CP Acquisitions may elect, in lieu of shares of common stock issuable upon conversion of the Convertible Note, to instead receive pre-funded warrants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The conversion price applicable to the Pre-Funded Warrants will remain unchanged at $1.46.</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were exercisable upon issuance, will expire when the applicable warrant is exercised in full, and are exercisable on a cash basis or, if there is no effective registration statement registering the resale of the underlying shares of common stock, on a cashless exercise basis at CP Acquisitions’ discretion.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provide that each time the Issuer consummates any bona fide equity financing with the primary purpose of raising capital, then the number of shares of common stock underlying the Pre-Funded Warrants will be increased (the “</w:t>
      </w:r>
      <w:r>
        <w:rPr>
          <w:rFonts w:ascii="Times New Roman" w:cs="Times New Roman" w:eastAsia="Times New Roman" w:hAnsi="Times New Roman"/>
          <w:sz w:val="18"/>
          <w:szCs w:val="18"/>
          <w:i w:val="1"/>
          <w:iCs w:val="1"/>
          <w:color w:val="auto"/>
        </w:rPr>
        <w:t>Adjustment Provision</w:t>
      </w:r>
      <w:r>
        <w:rPr>
          <w:rFonts w:ascii="Times New Roman" w:cs="Times New Roman" w:eastAsia="Times New Roman" w:hAnsi="Times New Roman"/>
          <w:sz w:val="18"/>
          <w:szCs w:val="18"/>
          <w:color w:val="auto"/>
        </w:rPr>
        <w:t>”) to an amount equal to (i) the amount of the Convertible Note that was originally converted into the applicable Pre-Funded Warrants divided by (ii) the purchase or conversion price in the equity financing transaction, subject to proportional adjustment in the event the Pre-Funded Warrant has been partially exercised. The Adjustment Provision will not be effective unless and until it is approved by stockholders of the Issuer pursuant to Nasdaq Listing Rule 5635.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Immediately following the execution of the CP Note Amendment, CP Acquisitions elected to convert $11.5 million of outstanding principal into a Pre-Funded Warrant exercisable at issuance for up to 7,876,712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Adjustment Provision will be adopted and approved, or that any other transactions contemplated by the CP Note Amendment and the form of Pre-Funded Warrant that require stockholder approval will occur.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and summaries of the CP Note Amendment and the form of Pre-Funded Warrant do not purport to be complete, and are qualified in their entirety by reference to copies of the CP Note Amendment and the form of Pre-Funded Warrant, which are filed as Exhibits 4.1 and 4.2, respectively, to the Issuer’s Current Report on Form 8-K, filed with the SEC on May 22, 2024, and which are attached as an exhibit to this Schedule 13D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Items 4</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5</w:t>
      </w:r>
      <w:r>
        <w:rPr>
          <w:rFonts w:ascii="Times New Roman" w:cs="Times New Roman" w:eastAsia="Times New Roman" w:hAnsi="Times New Roman"/>
          <w:sz w:val="18"/>
          <w:szCs w:val="18"/>
          <w:i w:val="1"/>
          <w:iCs w:val="1"/>
          <w:color w:val="auto"/>
        </w:rPr>
        <w:t xml:space="preserve"> of this Schedule 13D, is hereby incorporated herein by this reference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thereto.</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Convertible Note, CP Note Amendment, and Pre-Funded Warrant,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p>
    <w:p>
      <w:pPr>
        <w:jc w:val="both"/>
        <w:ind w:left="1140" w:hanging="1132"/>
        <w:spacing w:after="0" w:line="257" w:lineRule="auto"/>
        <w:tabs>
          <w:tab w:leader="none" w:pos="1140" w:val="left"/>
        </w:tabs>
        <w:numPr>
          <w:ilvl w:val="0"/>
          <w:numId w:val="22"/>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Amendment No. 1 to Senior Secured Amended, Restated and Consolidated Convertible Note between Agrify Corporation and CP</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Acquisitions, LLC (incorporated by reference to Exhibit 4.1 to the Issuer’s Current Report on Form 8-K, filed with the SEC on May 22,</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2024).</w:t>
        </w:r>
      </w:hyperlink>
    </w:p>
    <w:p>
      <w:pPr>
        <w:spacing w:after="0" w:line="1" w:lineRule="exact"/>
        <w:rPr>
          <w:rFonts w:ascii="Times New Roman" w:cs="Times New Roman" w:eastAsia="Times New Roman" w:hAnsi="Times New Roman"/>
          <w:sz w:val="18"/>
          <w:szCs w:val="18"/>
          <w:u w:val="single" w:color="auto"/>
          <w:color w:val="0000EE"/>
        </w:rPr>
      </w:pPr>
    </w:p>
    <w:p>
      <w:pPr>
        <w:ind w:left="1140" w:hanging="1132"/>
        <w:spacing w:after="0" w:line="260" w:lineRule="auto"/>
        <w:tabs>
          <w:tab w:leader="none" w:pos="1140" w:val="left"/>
        </w:tabs>
        <w:numPr>
          <w:ilvl w:val="0"/>
          <w:numId w:val="23"/>
        </w:numPr>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Form of Pre-Funded Warrant (incorporated by reference to Exhibit 4.2 to the Issuer’s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May 22, 2024).</w:t>
        </w:r>
      </w:hyperlink>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lowerLetter"/>
      <w:start w:val="1"/>
    </w:lvl>
  </w:abstractNum>
  <w:abstractNum w:abstractNumId="2">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109CF92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FDCC233"/>
    <w:multiLevelType w:val="hybridMultilevel"/>
    <w:lvl w:ilvl="0">
      <w:lvlJc w:val="left"/>
      <w:lvlText w:val="%1."/>
      <w:numFmt w:val="decimal"/>
      <w:start w:val="1"/>
    </w:lvl>
    <w:lvl w:ilvl="1">
      <w:lvlJc w:val="left"/>
      <w:lvlText w:val="(%2)"/>
      <w:numFmt w:val="lowerLetter"/>
      <w:start w:val="1"/>
    </w:lvl>
  </w:abstractNum>
  <w:abstractNum w:abstractNumId="6">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41A7C4C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519B500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3F2DBA31"/>
    <w:multiLevelType w:val="hybridMultilevel"/>
    <w:lvl w:ilvl="0">
      <w:lvlJc w:val="left"/>
      <w:lvlText w:val="%1."/>
      <w:numFmt w:val="decimal"/>
      <w:start w:val="1"/>
    </w:lvl>
    <w:lvl w:ilvl="1">
      <w:lvlJc w:val="left"/>
      <w:lvlText w:val="(%2)"/>
      <w:numFmt w:val="lowerLetter"/>
      <w:start w:val="1"/>
    </w:lvl>
  </w:abstractNum>
  <w:abstractNum w:abstractNumId="14">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257130A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2443A858"/>
    <w:multiLevelType w:val="hybridMultilevel"/>
    <w:lvl w:ilvl="0">
      <w:lvlJc w:val="left"/>
      <w:lvlText w:val="1"/>
      <w:numFmt w:val="bullet"/>
      <w:start w:val="1"/>
    </w:lvl>
  </w:abstractNum>
  <w:abstractNum w:abstractNumId="22">
    <w:nsid w:val="2D1D5AE9"/>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5" Type="http://schemas.openxmlformats.org/officeDocument/2006/relationships/hyperlink" Target="http://www.sec.gov/Archives/edgar/data/1800637/000121390024045718/ea020667101ex4-1_agrifycorp.htm" TargetMode="External"/><Relationship Id="rId26" Type="http://schemas.openxmlformats.org/officeDocument/2006/relationships/hyperlink" Target="http://www.sec.gov/Archives/edgar/data/1800637/000121390024045718/ea02066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2024-05-23T19:33:55Z</dcterms:created>
  <dcterms:modified xsi:type="dcterms:W3CDTF">2024-05-23T19:33:55Z</dcterms:modified>
</cp:coreProperties>
</file>