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999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999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Chang Raymond Nobu</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AGRIFY CORPORATION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 TREBLE COVE ROAD,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05/20/2022</w:t>
      </w:r>
    </w:p>
    <w:p>
      <w:pPr>
        <w:spacing w:after="0" w:line="20" w:lineRule="exact"/>
        <w:rPr>
          <w:sz w:val="24"/>
          <w:szCs w:val="24"/>
          <w:color w:val="auto"/>
        </w:rPr>
      </w:pPr>
      <w:r>
        <w:rPr>
          <w:sz w:val="24"/>
          <w:szCs w:val="24"/>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19"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BILLERICA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01862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207"/>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05/20/2022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15,000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RTC3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538,454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NXT3J</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129,548</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represents the weighted average purchase price of the shares acquired ranging from $2.49 to $2.50 per share. Upon request by the staff of the Securities and Exchange Commission, the issuer, or a security holder of the issuer, the reporting person will provide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jc w:val="both"/>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RTC3 2020 Irrevocable Family Trust, of which Mr. Chang retains the authority to remove the independent trustee. Mr. Chang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NXT3J Capital, LLC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Josh Savitz,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05/23/2022</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2022-05-23T17:05:44Z</dcterms:created>
  <dcterms:modified xsi:type="dcterms:W3CDTF">2022-05-23T17:05:44Z</dcterms:modified>
</cp:coreProperties>
</file>