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624-8k_rythm.htm"/>
      <w:bookmarkStart w:id="1" w:name="ksea03086248k_rythm"/>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10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RYTHM,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13"/>
            <w:bookmarkEnd w:id="6"/>
            <w:r>
              <w:rPr>
                <w:rFonts w:ascii="Times New Roman;Times;Serif" w:hAnsi="Times New Roman;Times;Serif"/>
                <w:b/>
                <w:i w:val="false"/>
                <w:caps w:val="false"/>
                <w:smallCaps w:val="false"/>
                <w:sz w:val="20"/>
              </w:rPr>
              <w:t>001-39946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30-0943453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2220 Hicks Road, </w:t>
            </w:r>
            <w:bookmarkStart w:id="9" w:name="xdx_900_edei--EntityAddressAddressLine2_"/>
            <w:bookmarkEnd w:id="9"/>
            <w:r>
              <w:rPr>
                <w:rFonts w:ascii="Times New Roman;Times;Serif" w:hAnsi="Times New Roman;Times;Serif"/>
                <w:b/>
                <w:i w:val="false"/>
                <w:caps w:val="false"/>
                <w:smallCaps w:val="false"/>
                <w:sz w:val="20"/>
              </w:rPr>
              <w:t>Suite 210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Rolling Meadows, </w:t>
            </w:r>
            <w:bookmarkStart w:id="11" w:name="xdx_90D_edei--EntityAddressStateOrProvin"/>
            <w:bookmarkEnd w:id="11"/>
            <w:r>
              <w:rPr>
                <w:rFonts w:ascii="Times New Roman;Times;Serif" w:hAnsi="Times New Roman;Times;Serif"/>
                <w:b/>
                <w:i w:val="false"/>
                <w:caps w:val="false"/>
                <w:smallCaps w:val="false"/>
                <w:sz w:val="20"/>
              </w:rPr>
              <w:t>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60068</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1_edei--CityAreaCode_c20261013__20"/>
      <w:bookmarkEnd w:id="13"/>
      <w:r>
        <w:rPr>
          <w:rFonts w:ascii="Times New Roman;Times;Serif" w:hAnsi="Times New Roman;Times;Serif"/>
          <w:b/>
          <w:i w:val="false"/>
          <w:caps w:val="false"/>
          <w:smallCaps w:val="false"/>
          <w:sz w:val="20"/>
        </w:rPr>
        <w:t xml:space="preserve">855) </w:t>
      </w:r>
      <w:bookmarkStart w:id="14" w:name="xdx_90A_edei--LocalPhoneNumber_c20261013"/>
      <w:bookmarkEnd w:id="14"/>
      <w:r>
        <w:rPr>
          <w:rFonts w:ascii="Times New Roman;Times;Serif" w:hAnsi="Times New Roman;Times;Serif"/>
          <w:b/>
          <w:i w:val="false"/>
          <w:caps w:val="false"/>
          <w:smallCaps w:val="false"/>
          <w:sz w:val="20"/>
        </w:rPr>
        <w:t>420-0020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5_edei--SolicitingMaterial_c202610"/>
            <w:bookmarkEnd w:id="16"/>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firstLine="8"/>
        <w:jc w:val="left"/>
        <w:rPr>
          <w:caps w:val="false"/>
          <w:smallCaps w:val="false"/>
        </w:rPr>
      </w:pPr>
      <w:r>
        <w:rPr>
          <w:caps w:val="false"/>
          <w:smallCaps w:val="false"/>
        </w:rPr>
        <w:t> </w:t>
      </w:r>
    </w:p>
    <w:p>
      <w:pPr>
        <w:pStyle w:val="TextBody"/>
        <w:bidi w:val="0"/>
        <w:spacing w:before="0" w:after="0"/>
        <w:ind w:left="0" w:right="0" w:firstLine="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1013"/>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1013__2"/>
            <w:bookmarkEnd w:id="20"/>
            <w:r>
              <w:rPr>
                <w:rFonts w:ascii="Times New Roman;Times;Serif" w:hAnsi="Times New Roman;Times;Serif"/>
                <w:b w:val="false"/>
                <w:i w:val="false"/>
                <w:caps w:val="false"/>
                <w:smallCaps w:val="false"/>
                <w:sz w:val="20"/>
              </w:rPr>
              <w:t>RYM</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2026, VCP IP Holdings, LLC (“VCP”), a wholly owned subsidiary of RYTHM, Inc. (the “Company”), and GTI Core, LLC (“GTI Core”), an indirect wholly owned subsidiary of Green Thumb Industries Inc. (“Green Thumb”), entered into an amendment (the “Amendment”) to their existing Trademark and Recipe License Agreement dated August 27, 2025 (as previously amended, the “August 2025 License Agreement”). The Amendment adds the Company’s </w:t>
      </w:r>
      <w:r>
        <w:rPr>
          <w:rFonts w:ascii="Times New Roman;Times;Serif" w:hAnsi="Times New Roman;Times;Serif"/>
          <w:b w:val="false"/>
          <w:i/>
          <w:caps w:val="false"/>
          <w:smallCaps w:val="false"/>
          <w:sz w:val="20"/>
        </w:rPr>
        <w:t xml:space="preserve">Señorita </w:t>
      </w:r>
      <w:r>
        <w:rPr>
          <w:rFonts w:ascii="Times New Roman;Times;Serif" w:hAnsi="Times New Roman;Times;Serif"/>
          <w:b w:val="false"/>
          <w:i w:val="false"/>
          <w:caps w:val="false"/>
          <w:smallCaps w:val="false"/>
          <w:sz w:val="20"/>
        </w:rPr>
        <w:t>brand to the intellectual property licensed to GTI 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Amendment was entered into in light of upcoming changes to federal law governing hemp-derived THC products. Under the Amendment, if and to the extent the Company and its affiliates are or become legally permitted, consistent with applicable Nasdaq listing standards, to commercialize the </w:t>
      </w:r>
      <w:r>
        <w:rPr>
          <w:rFonts w:ascii="Times New Roman;Times;Serif" w:hAnsi="Times New Roman;Times;Serif"/>
          <w:b w:val="false"/>
          <w:i/>
          <w:caps w:val="false"/>
          <w:smallCaps w:val="false"/>
          <w:sz w:val="20"/>
        </w:rPr>
        <w:t>Señorita</w:t>
      </w:r>
      <w:r>
        <w:rPr>
          <w:rFonts w:ascii="Times New Roman;Times;Serif" w:hAnsi="Times New Roman;Times;Serif"/>
          <w:b w:val="false"/>
          <w:i w:val="false"/>
          <w:caps w:val="false"/>
          <w:smallCaps w:val="false"/>
          <w:sz w:val="20"/>
        </w:rPr>
        <w:t xml:space="preserve"> brand outside state-regulated dispensary channels, the Company and its affiliates will have the exclusive right to do so, and GTI Core’s rights will be limited to state-regulated dispensary channels. As consideration for the additional license rights, the base licensing fees under the August 2025 License Agreement increased by $250,000 per year, subject to adjustment as provided in that agreement. All other terms of the August 2025 License Agreement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reported, under the August 2025 License Agreement, which was also amended on March 31, 2026, VCP granted GTI Core a license to use certain intellectual property related to certain brands, including RYTHM, </w:t>
      </w:r>
      <w:r>
        <w:rPr>
          <w:rFonts w:ascii="Times New Roman;Times;Serif" w:hAnsi="Times New Roman;Times;Serif"/>
          <w:b w:val="false"/>
          <w:i/>
          <w:caps w:val="false"/>
          <w:smallCaps w:val="false"/>
          <w:sz w:val="20"/>
        </w:rPr>
        <w:t>Beboe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Dogwalkers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Doctor Solomon’s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&amp;Shine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Good Green</w:t>
      </w:r>
      <w:r>
        <w:rPr>
          <w:rFonts w:ascii="Times New Roman;Times;Serif" w:hAnsi="Times New Roman;Times;Serif"/>
          <w:b w:val="false"/>
          <w:i w:val="false"/>
          <w:caps w:val="false"/>
          <w:smallCaps w:val="false"/>
          <w:sz w:val="20"/>
        </w:rPr>
        <w:t>, in connection with GTI Core’s existing businesses. Green Thumb is an indirect owner of approximately 32% of the Company’s outstanding common stock and has the right (through one or more of its subsidiaries) to acquire additional shares that could increase its beneficial ownership to approximately 90%. Benjamin Kovler, Chairman and Chief Executive Officer of Green Thumb, serves as Chairman and Interim Chief Executive Officer of the Company, and Company director Armon Vakili serves as Green Thumb’s Vice President of Strategic Partners and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Amendment does not purport to be complete and is qualified in its entirety by reference to the complete text of the Amendment, which is filed as Exhibit 10.1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0"/>
        <w:gridCol w:w="60"/>
        <w:gridCol w:w="9235"/>
      </w:tblGrid>
      <w:tr>
        <w:trPr/>
        <w:tc>
          <w:tcPr>
            <w:tcW w:w="9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5" w:type="dxa"/>
            <w:tcBorders/>
            <w:shd w:fill="CCEEFF" w:val="clear"/>
            <w:tcMar>
              <w:bottom w:w="0" w:type="dxa"/>
            </w:tcMar>
            <w:vAlign w:val="center"/>
          </w:tcPr>
          <w:p>
            <w:pPr>
              <w:pStyle w:val="TableContents"/>
              <w:bidi w:val="0"/>
              <w:spacing w:before="0" w:after="283"/>
              <w:jc w:val="left"/>
              <w:rPr/>
            </w:pPr>
            <w:hyperlink w:anchor="ea030862401ex10-1.htm">
              <w:r>
                <w:rPr>
                  <w:rStyle w:val="InternetLink"/>
                  <w:rFonts w:ascii="Times New Roman;Times;Serif" w:hAnsi="Times New Roman;Times;Serif"/>
                  <w:b w:val="false"/>
                  <w:i w:val="false"/>
                  <w:caps w:val="false"/>
                  <w:smallCaps w:val="false"/>
                  <w:sz w:val="20"/>
                </w:rPr>
                <w:t>Amendment No. 2 to Trademark and Recipe License Agreement, dated October 13, 2026, by and between VCP IP Holdings, LLC and GTI Core, LLC</w:t>
              </w:r>
            </w:hyperlink>
          </w:p>
        </w:tc>
      </w:tr>
      <w:tr>
        <w:trPr/>
        <w:tc>
          <w:tcPr>
            <w:tcW w:w="9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925"/>
        <w:gridCol w:w="320"/>
        <w:gridCol w:w="189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Brad Asher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 Asher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7200" w:right="0" w:hanging="0"/>
        <w:jc w:val="left"/>
        <w:rPr>
          <w:caps w:val="false"/>
          <w:smallCaps w:val="false"/>
        </w:rPr>
      </w:pPr>
      <w:r>
        <w:rPr>
          <w:caps w:val="false"/>
          <w:smallCaps w:val="false"/>
        </w:rPr>
        <w:t> </w:t>
      </w:r>
    </w:p>
    <w:p>
      <w:pPr>
        <w:pStyle w:val="TextBody"/>
        <w:bidi w:val="0"/>
        <w:spacing w:before="0" w:after="0"/>
        <w:ind w:left="72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862401ex10-1.htm"/>
      <w:bookmarkStart w:id="25" w:name="ksea030862401ex101"/>
      <w:bookmarkEnd w:id="24"/>
      <w:bookmarkEnd w:id="25"/>
      <w:r>
        <w:rPr>
          <w:rFonts w:ascii="Times New Roman;Times;Serif" w:hAnsi="Times New Roman;Times;Serif"/>
          <w:b/>
          <w:i w:val="false"/>
          <w:caps w:val="false"/>
          <w:smallCaps w:val="false"/>
          <w:sz w:val="20"/>
        </w:rPr>
        <w:t>Exhibit 10.1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AND RECIPE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TRADEMARK AND RECIPE LICENSE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dated as of October 13, 2026, by and between VCP IP Holdings, LLC, a Delaware limited liability company (the “</w:t>
      </w:r>
      <w:r>
        <w:rPr>
          <w:rFonts w:ascii="Times New Roman;Times;Serif" w:hAnsi="Times New Roman;Times;Serif"/>
          <w:b/>
          <w:i w:val="false"/>
          <w:caps w:val="false"/>
          <w:smallCaps w:val="false"/>
          <w:sz w:val="20"/>
        </w:rPr>
        <w:t>Licensor</w:t>
      </w:r>
      <w:r>
        <w:rPr>
          <w:rFonts w:ascii="Times New Roman;Times;Serif" w:hAnsi="Times New Roman;Times;Serif"/>
          <w:b w:val="false"/>
          <w:i w:val="false"/>
          <w:caps w:val="false"/>
          <w:smallCaps w:val="false"/>
          <w:sz w:val="20"/>
        </w:rPr>
        <w:t>”), and GTI Core, LLC, a Delaware limited liability company (the “</w:t>
      </w:r>
      <w:r>
        <w:rPr>
          <w:rFonts w:ascii="Times New Roman;Times;Serif" w:hAnsi="Times New Roman;Times;Serif"/>
          <w:b/>
          <w:i w:val="false"/>
          <w:caps w:val="false"/>
          <w:smallCaps w:val="false"/>
          <w:sz w:val="20"/>
        </w:rPr>
        <w:t>Licensee</w:t>
      </w:r>
      <w:r>
        <w:rPr>
          <w:rFonts w:ascii="Times New Roman;Times;Serif" w:hAnsi="Times New Roman;Times;Serif"/>
          <w:b w:val="false"/>
          <w:i w:val="false"/>
          <w:caps w:val="false"/>
          <w:smallCaps w:val="false"/>
          <w:sz w:val="20"/>
        </w:rPr>
        <w:t>”). Terms used but not otherwise defined herein shall have the respective meanings ascribed to them in the License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Licensor and Licensee are parties to that certain Trademark and Recipe License Agreement dated as of August 27, 2025, as amended by that certain Amendment No. 1 to Trademark and Recipe License Agreement and as may be further amended and/or restated from time to time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8.5 of the License Agreement, the License Agreement may only be amended pursuant to a written instrument signed by Licensor and Licensee;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Licensor and Licensee wish to amend the terms of the License Agreement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Amendments to License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Parties hereby agree that, effective as of October 13, 2026, the License Agreement shall be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shall be added after the third sentence in Section 1.1 to the License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Notwithstanding anything to the contrary herein, (i) solely with respect to Trademarks and Recipes related to Señorita (“</w:t>
      </w:r>
      <w:r>
        <w:rPr>
          <w:rFonts w:ascii="Times New Roman;Times;Serif" w:hAnsi="Times New Roman;Times;Serif"/>
          <w:b/>
          <w:i w:val="false"/>
          <w:caps w:val="false"/>
          <w:smallCaps w:val="false"/>
          <w:sz w:val="20"/>
        </w:rPr>
        <w:t>Señorita IP</w:t>
      </w:r>
      <w:r>
        <w:rPr>
          <w:rFonts w:ascii="Times New Roman;Times;Serif" w:hAnsi="Times New Roman;Times;Serif"/>
          <w:b w:val="false"/>
          <w:i w:val="false"/>
          <w:caps w:val="false"/>
          <w:smallCaps w:val="false"/>
          <w:sz w:val="20"/>
        </w:rPr>
        <w:t>”), the definition of “Licensed Services” shall not include clause (b), (ii) the definition of “Locations” shall include licensed retail locations, and (iii) to the extent Licensor and/or its affiliates, under applicable law, and consistent with applicable Nasdaq listing standards, are or become permitted to provide any Licensed Services related to the Señorita IP outside of state regulated dispensary channels (“</w:t>
      </w:r>
      <w:r>
        <w:rPr>
          <w:rFonts w:ascii="Times New Roman;Times;Serif" w:hAnsi="Times New Roman;Times;Serif"/>
          <w:b/>
          <w:i w:val="false"/>
          <w:caps w:val="false"/>
          <w:smallCaps w:val="false"/>
          <w:sz w:val="20"/>
        </w:rPr>
        <w:t>State Regulated Channels</w:t>
      </w:r>
      <w:r>
        <w:rPr>
          <w:rFonts w:ascii="Times New Roman;Times;Serif" w:hAnsi="Times New Roman;Times;Serif"/>
          <w:b w:val="false"/>
          <w:i w:val="false"/>
          <w:caps w:val="false"/>
          <w:smallCaps w:val="false"/>
          <w:sz w:val="20"/>
        </w:rPr>
        <w:t>”), Licensor and its affiliates shall have the exclusive right to provide such Licensed Services except in State Regulated Channels, and Licensee’s license granted hereunder shall be limited such that Licensee shall only have the right to provide the Licensed Services within State Regulated Channels.”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to the License Agreement shall be amended by adding the “Trademarks” included on the table attached as Attachment 1 hereto.</w:t>
      </w:r>
    </w:p>
    <w:p>
      <w:pPr>
        <w:pStyle w:val="TextBody"/>
        <w:bidi w:val="0"/>
        <w:spacing w:before="0" w:after="0"/>
        <w:ind w:left="810" w:right="0" w:firstLine="63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second sentence in Section (a)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to the License Agreement shall be deleted in its entirety and replaced with the following: “Commencing on October 13, 2026, the Annual Fee for calendar year 2026 shall be $64,250,000, payable in monthly installments of $5,354,166.67.”</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second sentence in Section (b)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to the License Agreement shall be deleted in its entirety and replaced with the following: “For example, for calendar year 2027, if the applicable Published CPI Rate is 2.4%, the CPI Adjustment Rate shall be 4.8% and the Annual Fee for 2027 shall be increased by an amount equal to $3,084,000, resulting in an Annual Fee of $67,334,000, payable in monthly installments.”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expressly set forth herein, the License Agreement shall remain in full force and effect. Section 8 of the License Agreement is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710"/>
        <w:gridCol w:w="1790"/>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b/>
              </w:rPr>
              <w:t>LICENSOR</w:t>
            </w:r>
            <w:r>
              <w:rPr/>
              <w: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rPr>
            </w:pPr>
            <w:r>
              <w:rPr>
                <w:b/>
              </w:rPr>
              <w:t>VCP IP Holdings,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pPr>
            <w:r>
              <w:rPr/>
              <w:t>/s/ Brad Asher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790" w:type="dxa"/>
            <w:tcBorders/>
            <w:vAlign w:val="center"/>
          </w:tcPr>
          <w:p>
            <w:pPr>
              <w:pStyle w:val="TableContents"/>
              <w:bidi w:val="0"/>
              <w:spacing w:before="0" w:after="283"/>
              <w:jc w:val="left"/>
              <w:rPr>
                <w:sz w:val="20"/>
              </w:rPr>
            </w:pPr>
            <w:r>
              <w:rPr>
                <w:sz w:val="20"/>
              </w:rPr>
              <w:t>Brad Asher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590"/>
        <w:gridCol w:w="1985"/>
      </w:tblGrid>
      <w:tr>
        <w:trPr/>
        <w:tc>
          <w:tcPr>
            <w:tcW w:w="75"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LICENSEE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GTI Core,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Anthony Georgiaidis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Georgiadis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Trademark and Recipe License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1340</Words>
  <Characters>7343</Characters>
  <CharactersWithSpaces>8700</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