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27, 2021</w:t>
      </w:r>
    </w:p>
    <w:p>
      <w:pPr>
        <w:spacing w:after="0" w:line="31" w:lineRule="exact"/>
        <w:rPr>
          <w:sz w:val="24"/>
          <w:szCs w:val="24"/>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90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8742</w:t>
            </w:r>
          </w:p>
        </w:tc>
        <w:tc>
          <w:tcPr>
            <w:tcW w:w="450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b w:val="1"/>
                <w:bCs w:val="1"/>
                <w:color w:val="auto"/>
              </w:rPr>
              <w:t>30-0943453</w:t>
            </w:r>
          </w:p>
        </w:tc>
        <w:tc>
          <w:tcPr>
            <w:tcW w:w="0" w:type="dxa"/>
            <w:vAlign w:val="bottom"/>
          </w:tcPr>
          <w:p>
            <w:pPr>
              <w:spacing w:after="0"/>
              <w:rPr>
                <w:sz w:val="1"/>
                <w:szCs w:val="1"/>
                <w:color w:val="auto"/>
              </w:rPr>
            </w:pPr>
          </w:p>
        </w:tc>
      </w:tr>
      <w:tr>
        <w:trPr>
          <w:trHeight w:val="198"/>
        </w:trPr>
        <w:tc>
          <w:tcPr>
            <w:tcW w:w="3620" w:type="dxa"/>
            <w:vAlign w:val="bottom"/>
            <w:tcBorders>
              <w:top w:val="single" w:sz="8" w:color="auto"/>
            </w:tcBorders>
          </w:tcPr>
          <w:p>
            <w:pPr>
              <w:ind w:left="74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2900" w:type="dxa"/>
            <w:vAlign w:val="bottom"/>
            <w:tcBorders>
              <w:top w:val="single" w:sz="8" w:color="auto"/>
            </w:tcBorders>
          </w:tcPr>
          <w:p>
            <w:pPr>
              <w:jc w:val="center"/>
              <w:ind w:left="550"/>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3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9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identification number)</w:t>
            </w:r>
          </w:p>
        </w:tc>
        <w:tc>
          <w:tcPr>
            <w:tcW w:w="0" w:type="dxa"/>
            <w:vAlign w:val="bottom"/>
          </w:tcPr>
          <w:p>
            <w:pPr>
              <w:spacing w:after="0"/>
              <w:rPr>
                <w:sz w:val="1"/>
                <w:szCs w:val="1"/>
                <w:color w:val="auto"/>
              </w:rPr>
            </w:pPr>
          </w:p>
        </w:tc>
      </w:tr>
      <w:tr>
        <w:trPr>
          <w:trHeight w:val="32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101 Middlesex Turnpike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Suite 6, PMB 326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Burlington, MA 01803</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(617) 896-5243</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_________________</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0" w:type="dxa"/>
            <w:vAlign w:val="bottom"/>
            <w:gridSpan w:val="4"/>
          </w:tcPr>
          <w:p>
            <w:pPr>
              <w:jc w:val="center"/>
              <w:ind w:right="3750"/>
              <w:spacing w:after="0"/>
              <w:rPr>
                <w:sz w:val="20"/>
                <w:szCs w:val="20"/>
                <w:color w:val="auto"/>
              </w:rPr>
            </w:pPr>
            <w:r>
              <w:rPr>
                <w:rFonts w:ascii="Times New Roman" w:cs="Times New Roman" w:eastAsia="Times New Roman" w:hAnsi="Times New Roman"/>
                <w:sz w:val="18"/>
                <w:szCs w:val="18"/>
                <w:b w:val="1"/>
                <w:bCs w:val="1"/>
                <w:color w:val="auto"/>
                <w:w w:val="99"/>
              </w:rPr>
              <w:t>Raymond Chang, Chief Executive Officer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101 Middlesex Turnpike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Suite 6, PMB 326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Burlington, MA 01803</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(617) 896-5243</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(Name, address, including zip code, and telephone number, including area code, of agent for service)</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_________________</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840" w:type="dxa"/>
            <w:vAlign w:val="bottom"/>
            <w:gridSpan w:val="2"/>
            <w:vMerge w:val="restart"/>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Mitchell S. Nussbaum, Esq.</w:t>
            </w:r>
          </w:p>
        </w:tc>
        <w:tc>
          <w:tcPr>
            <w:tcW w:w="29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Copies to:</w:t>
            </w:r>
          </w:p>
        </w:tc>
        <w:tc>
          <w:tcPr>
            <w:tcW w:w="700" w:type="dxa"/>
            <w:vAlign w:val="bottom"/>
          </w:tcPr>
          <w:p>
            <w:pPr>
              <w:spacing w:after="0"/>
              <w:rPr>
                <w:sz w:val="24"/>
                <w:szCs w:val="24"/>
                <w:color w:val="auto"/>
              </w:rPr>
            </w:pPr>
          </w:p>
        </w:tc>
        <w:tc>
          <w:tcPr>
            <w:tcW w:w="3800" w:type="dxa"/>
            <w:vAlign w:val="bottom"/>
            <w:gridSpan w:val="2"/>
            <w:vMerge w:val="restart"/>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Barry I. Grossman, Esq.</w:t>
            </w:r>
          </w:p>
        </w:tc>
        <w:tc>
          <w:tcPr>
            <w:tcW w:w="0" w:type="dxa"/>
            <w:vAlign w:val="bottom"/>
          </w:tcPr>
          <w:p>
            <w:pPr>
              <w:spacing w:after="0"/>
              <w:rPr>
                <w:sz w:val="1"/>
                <w:szCs w:val="1"/>
                <w:color w:val="auto"/>
              </w:rPr>
            </w:pPr>
          </w:p>
        </w:tc>
      </w:tr>
      <w:tr>
        <w:trPr>
          <w:trHeight w:val="194"/>
        </w:trPr>
        <w:tc>
          <w:tcPr>
            <w:tcW w:w="3840" w:type="dxa"/>
            <w:vAlign w:val="bottom"/>
            <w:gridSpan w:val="2"/>
            <w:vMerge w:val="continue"/>
          </w:tcPr>
          <w:p>
            <w:pPr>
              <w:spacing w:after="0"/>
              <w:rPr>
                <w:sz w:val="16"/>
                <w:szCs w:val="16"/>
                <w:color w:val="auto"/>
              </w:rPr>
            </w:pPr>
          </w:p>
        </w:tc>
        <w:tc>
          <w:tcPr>
            <w:tcW w:w="2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David J. Levine, Esq.</w:t>
            </w:r>
          </w:p>
        </w:tc>
        <w:tc>
          <w:tcPr>
            <w:tcW w:w="2900" w:type="dxa"/>
            <w:vAlign w:val="bottom"/>
          </w:tcPr>
          <w:p>
            <w:pPr>
              <w:spacing w:after="0"/>
              <w:rPr>
                <w:sz w:val="18"/>
                <w:szCs w:val="18"/>
                <w:color w:val="auto"/>
              </w:rPr>
            </w:pPr>
          </w:p>
        </w:tc>
        <w:tc>
          <w:tcPr>
            <w:tcW w:w="4500" w:type="dxa"/>
            <w:vAlign w:val="bottom"/>
            <w:gridSpan w:val="3"/>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Lawrence A. Rosenbloom, Esq.</w:t>
            </w:r>
          </w:p>
        </w:tc>
        <w:tc>
          <w:tcPr>
            <w:tcW w:w="0" w:type="dxa"/>
            <w:vAlign w:val="bottom"/>
          </w:tcPr>
          <w:p>
            <w:pPr>
              <w:spacing w:after="0"/>
              <w:rPr>
                <w:sz w:val="1"/>
                <w:szCs w:val="1"/>
                <w:color w:val="auto"/>
              </w:rPr>
            </w:pPr>
          </w:p>
        </w:tc>
      </w:tr>
      <w:tr>
        <w:trPr>
          <w:trHeight w:val="216"/>
        </w:trPr>
        <w:tc>
          <w:tcPr>
            <w:tcW w:w="384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rPr>
              <w:t>Loeb &amp; Loeb LLP</w:t>
            </w:r>
          </w:p>
        </w:tc>
        <w:tc>
          <w:tcPr>
            <w:tcW w:w="2900" w:type="dxa"/>
            <w:vAlign w:val="bottom"/>
          </w:tcPr>
          <w:p>
            <w:pPr>
              <w:spacing w:after="0"/>
              <w:rPr>
                <w:sz w:val="18"/>
                <w:szCs w:val="18"/>
                <w:color w:val="auto"/>
              </w:rPr>
            </w:pPr>
          </w:p>
        </w:tc>
        <w:tc>
          <w:tcPr>
            <w:tcW w:w="4500" w:type="dxa"/>
            <w:vAlign w:val="bottom"/>
            <w:gridSpan w:val="3"/>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Ellenoff Grossman &amp; Schole LLP</w:t>
            </w:r>
          </w:p>
        </w:tc>
        <w:tc>
          <w:tcPr>
            <w:tcW w:w="0" w:type="dxa"/>
            <w:vAlign w:val="bottom"/>
          </w:tcPr>
          <w:p>
            <w:pPr>
              <w:spacing w:after="0"/>
              <w:rPr>
                <w:sz w:val="1"/>
                <w:szCs w:val="1"/>
                <w:color w:val="auto"/>
              </w:rPr>
            </w:pPr>
          </w:p>
        </w:tc>
      </w:tr>
      <w:tr>
        <w:trPr>
          <w:trHeight w:val="225"/>
        </w:trPr>
        <w:tc>
          <w:tcPr>
            <w:tcW w:w="384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345 Park Avenue</w:t>
            </w:r>
          </w:p>
        </w:tc>
        <w:tc>
          <w:tcPr>
            <w:tcW w:w="2900" w:type="dxa"/>
            <w:vAlign w:val="bottom"/>
          </w:tcPr>
          <w:p>
            <w:pPr>
              <w:spacing w:after="0"/>
              <w:rPr>
                <w:sz w:val="19"/>
                <w:szCs w:val="19"/>
                <w:color w:val="auto"/>
              </w:rPr>
            </w:pPr>
          </w:p>
        </w:tc>
        <w:tc>
          <w:tcPr>
            <w:tcW w:w="4500" w:type="dxa"/>
            <w:vAlign w:val="bottom"/>
            <w:gridSpan w:val="3"/>
          </w:tcPr>
          <w:p>
            <w:pPr>
              <w:jc w:val="center"/>
              <w:ind w:right="1130"/>
              <w:spacing w:after="0" w:line="225" w:lineRule="exact"/>
              <w:rPr>
                <w:sz w:val="20"/>
                <w:szCs w:val="20"/>
                <w:color w:val="auto"/>
              </w:rPr>
            </w:pPr>
            <w:r>
              <w:rPr>
                <w:rFonts w:ascii="Times New Roman" w:cs="Times New Roman" w:eastAsia="Times New Roman" w:hAnsi="Times New Roman"/>
                <w:sz w:val="16"/>
                <w:szCs w:val="16"/>
                <w:b w:val="1"/>
                <w:bCs w:val="1"/>
                <w:color w:val="auto"/>
              </w:rPr>
              <w:t>1345 Avenue of the Americas, 11</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tc>
        <w:tc>
          <w:tcPr>
            <w:tcW w:w="0" w:type="dxa"/>
            <w:vAlign w:val="bottom"/>
          </w:tcPr>
          <w:p>
            <w:pPr>
              <w:spacing w:after="0"/>
              <w:rPr>
                <w:sz w:val="1"/>
                <w:szCs w:val="1"/>
                <w:color w:val="auto"/>
              </w:rPr>
            </w:pPr>
          </w:p>
        </w:tc>
      </w:tr>
      <w:tr>
        <w:trPr>
          <w:trHeight w:val="216"/>
        </w:trPr>
        <w:tc>
          <w:tcPr>
            <w:tcW w:w="384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New York, NY 10154</w:t>
            </w:r>
          </w:p>
        </w:tc>
        <w:tc>
          <w:tcPr>
            <w:tcW w:w="2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New York, NY 10105</w:t>
            </w:r>
          </w:p>
        </w:tc>
        <w:tc>
          <w:tcPr>
            <w:tcW w:w="0" w:type="dxa"/>
            <w:vAlign w:val="bottom"/>
          </w:tcPr>
          <w:p>
            <w:pPr>
              <w:spacing w:after="0"/>
              <w:rPr>
                <w:sz w:val="1"/>
                <w:szCs w:val="1"/>
                <w:color w:val="auto"/>
              </w:rPr>
            </w:pPr>
          </w:p>
        </w:tc>
      </w:tr>
      <w:tr>
        <w:trPr>
          <w:trHeight w:val="216"/>
        </w:trPr>
        <w:tc>
          <w:tcPr>
            <w:tcW w:w="384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Tel: (212) 407-4000</w:t>
            </w:r>
          </w:p>
        </w:tc>
        <w:tc>
          <w:tcPr>
            <w:tcW w:w="2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0" w:type="dxa"/>
            <w:vAlign w:val="bottom"/>
            <w:gridSpan w:val="2"/>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Tel: (212) 370-1300</w:t>
            </w:r>
          </w:p>
        </w:tc>
        <w:tc>
          <w:tcPr>
            <w:tcW w:w="0" w:type="dxa"/>
            <w:vAlign w:val="bottom"/>
          </w:tcPr>
          <w:p>
            <w:pPr>
              <w:spacing w:after="0"/>
              <w:rPr>
                <w:sz w:val="1"/>
                <w:szCs w:val="1"/>
                <w:color w:val="auto"/>
              </w:rPr>
            </w:pPr>
          </w:p>
        </w:tc>
      </w:tr>
      <w:tr>
        <w:trPr>
          <w:trHeight w:val="270"/>
        </w:trPr>
        <w:tc>
          <w:tcPr>
            <w:tcW w:w="384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Fax: (212) 937-3943</w:t>
            </w:r>
          </w:p>
        </w:tc>
        <w:tc>
          <w:tcPr>
            <w:tcW w:w="2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Fax: (212) 370-7889</w:t>
            </w:r>
          </w:p>
        </w:tc>
        <w:tc>
          <w:tcPr>
            <w:tcW w:w="0" w:type="dxa"/>
            <w:vAlign w:val="bottom"/>
          </w:tcPr>
          <w:p>
            <w:pPr>
              <w:spacing w:after="0"/>
              <w:rPr>
                <w:sz w:val="1"/>
                <w:szCs w:val="1"/>
                <w:color w:val="auto"/>
              </w:rPr>
            </w:pPr>
          </w:p>
        </w:tc>
      </w:tr>
    </w:tbl>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2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9" w:lineRule="exact"/>
        <w:rPr>
          <w:sz w:val="24"/>
          <w:szCs w:val="24"/>
          <w:color w:val="auto"/>
        </w:rPr>
      </w:pPr>
    </w:p>
    <w:p>
      <w:pPr>
        <w:jc w:val="both"/>
        <w:ind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432"/>
        <w:spacing w:after="0" w:line="22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Registration No. 333-251616</w:t>
      </w:r>
    </w:p>
    <w:p>
      <w:pPr>
        <w:spacing w:after="0" w:line="199" w:lineRule="exact"/>
        <w:rPr>
          <w:sz w:val="24"/>
          <w:szCs w:val="24"/>
          <w:color w:val="auto"/>
        </w:rPr>
      </w:pPr>
    </w:p>
    <w:p>
      <w:pPr>
        <w:jc w:val="both"/>
        <w:ind w:right="20"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320" w:top="225" w:right="339" w:bottom="1009" w:gutter="0" w:footer="0" w:header="0"/>
        </w:sectPr>
      </w:pPr>
    </w:p>
    <w:p>
      <w:pPr>
        <w:spacing w:after="0" w:line="17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40" w:space="720"/>
            <w:col w:w="5380"/>
          </w:cols>
          <w:pgMar w:left="320" w:top="225" w:right="339" w:bottom="1009" w:gutter="0" w:footer="0" w:header="0"/>
          <w:type w:val="continuous"/>
        </w:sectPr>
      </w:pPr>
    </w:p>
    <w:p>
      <w:pPr>
        <w:spacing w:after="0" w:line="17" w:lineRule="exact"/>
        <w:rPr>
          <w:sz w:val="24"/>
          <w:szCs w:val="24"/>
          <w:color w:val="auto"/>
        </w:rPr>
      </w:pPr>
    </w:p>
    <w:p>
      <w:pPr>
        <w:ind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00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8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Each Class of Security Being Registered</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77"/>
        </w:trPr>
        <w:tc>
          <w:tcPr>
            <w:tcW w:w="85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line="269" w:lineRule="exact"/>
              <w:rPr>
                <w:sz w:val="20"/>
                <w:szCs w:val="20"/>
                <w:color w:val="auto"/>
              </w:rPr>
            </w:pPr>
            <w:r>
              <w:rPr>
                <w:rFonts w:ascii="Times New Roman" w:cs="Times New Roman" w:eastAsia="Times New Roman" w:hAnsi="Times New Roman"/>
                <w:sz w:val="31"/>
                <w:szCs w:val="31"/>
                <w:b w:val="1"/>
                <w:bCs w:val="1"/>
                <w:color w:val="auto"/>
                <w:w w:val="96"/>
                <w:vertAlign w:val="subscript"/>
              </w:rPr>
              <w:t>Price</w:t>
            </w:r>
            <w:r>
              <w:rPr>
                <w:rFonts w:ascii="Times New Roman" w:cs="Times New Roman" w:eastAsia="Times New Roman" w:hAnsi="Times New Roman"/>
                <w:sz w:val="14"/>
                <w:szCs w:val="14"/>
                <w:b w:val="1"/>
                <w:bCs w:val="1"/>
                <w:color w:val="auto"/>
                <w:w w:val="96"/>
              </w:rPr>
              <w:t>(2)(3)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5"/>
        </w:trPr>
        <w:tc>
          <w:tcPr>
            <w:tcW w:w="8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Common stock, $0.001 par value</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10,350,000</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1,129.19</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8560" w:type="dxa"/>
            <w:vAlign w:val="bottom"/>
            <w:gridSpan w:val="2"/>
          </w:tcPr>
          <w:p>
            <w:pPr>
              <w:spacing w:after="0" w:line="19" w:lineRule="exact"/>
              <w:rPr>
                <w:sz w:val="20"/>
                <w:szCs w:val="20"/>
                <w:color w:val="auto"/>
              </w:rPr>
            </w:pPr>
            <w:r>
              <w:rPr>
                <w:rFonts w:ascii="Times New Roman" w:cs="Times New Roman" w:eastAsia="Times New Roman" w:hAnsi="Times New Roman"/>
                <w:sz w:val="2"/>
                <w:szCs w:val="2"/>
                <w:color w:val="auto"/>
              </w:rPr>
              <w:t>Representative’s warrants to purchase common stock</w:t>
            </w:r>
          </w:p>
        </w:tc>
        <w:tc>
          <w:tcPr>
            <w:tcW w:w="120" w:type="dxa"/>
            <w:vAlign w:val="bottom"/>
          </w:tcPr>
          <w:p>
            <w:pPr>
              <w:spacing w:after="0" w:line="20" w:lineRule="exact"/>
              <w:rPr>
                <w:sz w:val="1"/>
                <w:szCs w:val="1"/>
                <w:color w:val="auto"/>
              </w:rPr>
            </w:pPr>
          </w:p>
        </w:tc>
        <w:tc>
          <w:tcPr>
            <w:tcW w:w="1220" w:type="dxa"/>
            <w:vAlign w:val="bottom"/>
            <w:gridSpan w:val="2"/>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jc w:val="right"/>
              <w:ind w:right="180"/>
              <w:spacing w:after="0" w:line="19"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97"/>
        </w:trPr>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20"/>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underlying Representative’s warrants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569,250</w:t>
            </w:r>
            <w:r>
              <w:rPr>
                <w:rFonts w:ascii="Times New Roman" w:cs="Times New Roman" w:eastAsia="Times New Roman" w:hAnsi="Times New Roman"/>
                <w:sz w:val="14"/>
                <w:szCs w:val="14"/>
                <w:color w:val="auto"/>
              </w:rPr>
              <w:t>(6)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10,919,250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5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registered shares of its common stock with a maximum aggregate offering price not to exceed $54,596,250 on a Registration Statement on Form S-1 (File No. 333-251616), which was declared effective by the Securities and Exchange Commission on January 27, 2021. In accordance with Rule 462(b) under the Securities Act, an additional amount of securities having a proposed maximum aggregate offering price of $10,919,250 are hereby registered.</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only the additional proposed aggregate offering price of common stock being registered. Does not include the securities that the registrant previously registered on the Registration Statement on Form S-1 (Registration No. 333-251616).</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457(o) under the Securities Act of 1933, as amended.</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additional $1,350,000 aggregate offering price of common stock issuable upon exercise of a 45-day option granted to the underwriters to cover over-allotments, if any.</w:t>
      </w:r>
    </w:p>
    <w:p>
      <w:pPr>
        <w:ind w:left="3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457(g) under the Securities Act, because the shares of the registrant’s common stock underlying the Representative’s warrants are registered hereby, no separate registration fee is required with respect to the warrants registered hereby.</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only the additional proposed aggregate offering price of Representative’s warrants.</w:t>
      </w:r>
    </w:p>
    <w:p>
      <w:pPr>
        <w:spacing w:after="0" w:line="203"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become effective upon filing with the Securities and Exchange Commission in accordance with Rule 462(b)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 AND 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S-1 (this “Registration Statement”) is being filed pursuant to Rule 462(b) under the Securities Act of 1933, as amended, for the sole purpose of increasing the aggregate offering price of common stock offered by Agrify Corporation (the “Registrant”) by $10,919,250, which includes (a) $1,350,000 subject to purchase upon exercise of the underwriters’ option to purchase additional shares of the Registrant’s common stock to cover over-allotments, if any, and (b) $569,250 subject to additional shares of the Registrant’s common stock underlying Representative’s warrants. The additional securities that are being registered for sale are in an amount and at a price that together represent no more than 20% of the maximum aggregate offering price set forth in the Calculation of Registration Fee table contained in the Registration Statement on Form S-1, as amended (File No. 333-251616) (the “Prior Registration Statement”), which was declared effective by the Securities and Exchange Commission on January 27, 2021. The information set forth in the Prior Registration Statement and all exhibits thereto are hereby incorporated by reference in this filing.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required opinion and consents are listed on the Exhibit Index attached hereto and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 authorized, in Burlington, Massachusetts, on January 27, 2021.</w:t>
      </w:r>
    </w:p>
    <w:p>
      <w:pPr>
        <w:spacing w:after="0" w:line="17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7" w:lineRule="exact"/>
        <w:rPr>
          <w:sz w:val="20"/>
          <w:szCs w:val="20"/>
          <w:color w:val="auto"/>
        </w:rPr>
      </w:pPr>
    </w:p>
    <w:p>
      <w:pPr>
        <w:ind w:left="67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Name:Raymond Chang</w:t>
      </w:r>
    </w:p>
    <w:p>
      <w:pPr>
        <w:spacing w:after="0" w:line="3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Raymond Chang</w:t>
            </w:r>
          </w:p>
        </w:tc>
        <w:tc>
          <w:tcPr>
            <w:tcW w:w="1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2021</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Niv Krikov</w:t>
            </w:r>
          </w:p>
        </w:tc>
        <w:tc>
          <w:tcPr>
            <w:tcW w:w="1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2021</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Niv Krikov</w:t>
            </w:r>
          </w:p>
        </w:tc>
        <w:tc>
          <w:tcPr>
            <w:tcW w:w="1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/s/ Thomas Massie</w:t>
            </w:r>
          </w:p>
        </w:tc>
        <w:tc>
          <w:tcPr>
            <w:tcW w:w="1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2021</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/s/ Guichao Hua</w:t>
            </w:r>
          </w:p>
        </w:tc>
        <w:tc>
          <w:tcPr>
            <w:tcW w:w="1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2021</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/s/ Krishnan Varier</w:t>
            </w:r>
          </w:p>
        </w:tc>
        <w:tc>
          <w:tcPr>
            <w:tcW w:w="1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2021</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/s/ Timothy Oakes</w:t>
            </w:r>
          </w:p>
        </w:tc>
        <w:tc>
          <w:tcPr>
            <w:tcW w:w="1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2021</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/s/ Timothy Mahoney</w:t>
            </w:r>
          </w:p>
        </w:tc>
        <w:tc>
          <w:tcPr>
            <w:tcW w:w="1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2021</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Matthew Kressy</w:t>
            </w:r>
          </w:p>
        </w:tc>
        <w:tc>
          <w:tcPr>
            <w:tcW w:w="1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2021</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Matthew Kressy</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*By: /s/ Niv Krikov</w:t>
            </w: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Niv Krikov</w:t>
            </w:r>
          </w:p>
        </w:tc>
        <w:tc>
          <w:tcPr>
            <w:tcW w:w="1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55"/>
        </w:trPr>
        <w:tc>
          <w:tcPr>
            <w:tcW w:w="31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jc w:val="right"/>
              <w:ind w:right="28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auto"/>
            </w:tcBorders>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Opinion of Loeb &amp; Loeb LLP</w:t>
              </w:r>
            </w:hyperlink>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Consent of Marcum LLP</w:t>
              </w:r>
            </w:hyperlink>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Consent of Loeb &amp; Loeb LLP (included in Exhibit 5.1)</w:t>
              </w:r>
            </w:hyperlink>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
            <w:shd w:val="clear" w:color="auto" w:fill="CCEEFF"/>
          </w:tcPr>
          <w:p>
            <w:pPr>
              <w:ind w:left="20"/>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Power of Attorney (incorporated by reference to the Registration Statement on Form S-1, File No. 333-251616, which was originally filed</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with the Securities and Exchange Commission on December 22, 2020)</w:t>
              </w:r>
            </w:hyperlink>
          </w:p>
        </w:tc>
      </w:tr>
      <w:tr>
        <w:trPr>
          <w:trHeight w:val="871"/>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100" w:type="dxa"/>
            <w:vAlign w:val="bottom"/>
            <w:tcBorders>
              <w:top w:val="single" w:sz="8" w:color="0000EE"/>
              <w:bottom w:val="single" w:sz="8" w:color="auto"/>
            </w:tcBorders>
          </w:tcPr>
          <w:p>
            <w:pPr>
              <w:ind w:left="4340"/>
              <w:spacing w:after="0"/>
              <w:rPr>
                <w:sz w:val="20"/>
                <w:szCs w:val="20"/>
                <w:color w:val="auto"/>
              </w:rPr>
            </w:pPr>
            <w:r>
              <w:rPr>
                <w:rFonts w:ascii="Times New Roman" w:cs="Times New Roman" w:eastAsia="Times New Roman" w:hAnsi="Times New Roman"/>
                <w:sz w:val="18"/>
                <w:szCs w:val="18"/>
                <w:color w:val="auto"/>
              </w:rPr>
              <w:t>3</w:t>
            </w:r>
          </w:p>
        </w:tc>
        <w:tc>
          <w:tcPr>
            <w:tcW w:w="4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942975" cy="934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94297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345 Park Avenue</w:t>
            </w: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Main </w:t>
            </w:r>
            <w:r>
              <w:rPr>
                <w:rFonts w:ascii="Times New Roman" w:cs="Times New Roman" w:eastAsia="Times New Roman" w:hAnsi="Times New Roman"/>
                <w:sz w:val="18"/>
                <w:szCs w:val="18"/>
                <w:color w:val="auto"/>
              </w:rPr>
              <w:t>212.407.4000</w:t>
            </w:r>
          </w:p>
        </w:tc>
        <w:tc>
          <w:tcPr>
            <w:tcW w:w="0" w:type="dxa"/>
            <w:vAlign w:val="bottom"/>
          </w:tcPr>
          <w:p>
            <w:pPr>
              <w:spacing w:after="0"/>
              <w:rPr>
                <w:sz w:val="1"/>
                <w:szCs w:val="1"/>
                <w:color w:val="auto"/>
              </w:rPr>
            </w:pPr>
          </w:p>
        </w:tc>
      </w:tr>
      <w:tr>
        <w:trPr>
          <w:trHeight w:val="207"/>
        </w:trPr>
        <w:tc>
          <w:tcPr>
            <w:tcW w:w="2120" w:type="dxa"/>
            <w:vAlign w:val="bottom"/>
            <w:vMerge w:val="continue"/>
          </w:tcPr>
          <w:p>
            <w:pPr>
              <w:spacing w:after="0"/>
              <w:rPr>
                <w:sz w:val="17"/>
                <w:szCs w:val="17"/>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Fax   </w:t>
            </w:r>
            <w:r>
              <w:rPr>
                <w:rFonts w:ascii="Times New Roman" w:cs="Times New Roman" w:eastAsia="Times New Roman" w:hAnsi="Times New Roman"/>
                <w:sz w:val="18"/>
                <w:szCs w:val="18"/>
                <w:color w:val="auto"/>
              </w:rPr>
              <w:t>212.407.4990</w:t>
            </w:r>
          </w:p>
        </w:tc>
        <w:tc>
          <w:tcPr>
            <w:tcW w:w="0" w:type="dxa"/>
            <w:vAlign w:val="bottom"/>
          </w:tcPr>
          <w:p>
            <w:pPr>
              <w:spacing w:after="0"/>
              <w:rPr>
                <w:sz w:val="1"/>
                <w:szCs w:val="1"/>
                <w:color w:val="auto"/>
              </w:rPr>
            </w:pPr>
          </w:p>
        </w:tc>
      </w:tr>
      <w:tr>
        <w:trPr>
          <w:trHeight w:val="24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10154-1895</w:t>
            </w: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www.loeb.com</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Middlesex Turnpike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 PMB 326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acted as counsel to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Statement on Form S-1 (File No. 333-251616), as amended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and a registration statement relating to the Initial Registration Statement filed pursuant to Rule 462(b)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Additional Registration Statement</w:t>
      </w:r>
      <w:r>
        <w:rPr>
          <w:rFonts w:ascii="Times New Roman" w:cs="Times New Roman" w:eastAsia="Times New Roman" w:hAnsi="Times New Roman"/>
          <w:sz w:val="18"/>
          <w:szCs w:val="18"/>
          <w:color w:val="auto"/>
        </w:rPr>
        <w:t>” and, together with the Initial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Registration Statement relates to the proposed underwritten initial public offering and sale by the Company of (i) up to $54,000,000 aggregate public offering price of a number of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including up to an additional $8,100,000 of a number of shares of Common Stock issuable upon exercise of the underwriter over-allotment option (the “</w:t>
      </w:r>
      <w:r>
        <w:rPr>
          <w:rFonts w:ascii="Times New Roman" w:cs="Times New Roman" w:eastAsia="Times New Roman" w:hAnsi="Times New Roman"/>
          <w:sz w:val="18"/>
          <w:szCs w:val="18"/>
          <w:u w:val="single" w:color="auto"/>
          <w:color w:val="auto"/>
        </w:rPr>
        <w:t>Over-Allotment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(ii) representative warrants to purchase up to $3,415,500 of a number of shares of Common Stock equal to five percent (5%) of the number of shares of Common Stock sold pursuant to the Registration Statement, including shares issued pursuant to the exercise of the over-allotment option, substantially in the form filed as an exhibit to the Registration Statement (the “</w:t>
      </w:r>
      <w:r>
        <w:rPr>
          <w:rFonts w:ascii="Times New Roman" w:cs="Times New Roman" w:eastAsia="Times New Roman" w:hAnsi="Times New Roman"/>
          <w:sz w:val="18"/>
          <w:szCs w:val="18"/>
          <w:u w:val="single" w:color="auto"/>
          <w:color w:val="auto"/>
        </w:rPr>
        <w:t>Representative Warrants</w:t>
      </w:r>
      <w:r>
        <w:rPr>
          <w:rFonts w:ascii="Times New Roman" w:cs="Times New Roman" w:eastAsia="Times New Roman" w:hAnsi="Times New Roman"/>
          <w:sz w:val="18"/>
          <w:szCs w:val="18"/>
          <w:color w:val="auto"/>
        </w:rPr>
        <w:t>”), and (iii) up to $3,415,000 of shares of Common Stock issuable upon exercise of the Representative Warrants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Shares, the Over-Allotment Shares, the Representative Warrants and the Warrant Shares shall be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We understand that (a) the Shares are proposed to be sold for sale to the public and</w:t>
      </w:r>
    </w:p>
    <w:p>
      <w:pPr>
        <w:spacing w:after="0" w:line="1" w:lineRule="exact"/>
        <w:rPr>
          <w:sz w:val="20"/>
          <w:szCs w:val="20"/>
          <w:color w:val="auto"/>
        </w:rPr>
      </w:pPr>
    </w:p>
    <w:p>
      <w:pPr>
        <w:jc w:val="both"/>
        <w:ind w:firstLine="8"/>
        <w:spacing w:after="0" w:line="255" w:lineRule="auto"/>
        <w:tabs>
          <w:tab w:leader="none" w:pos="2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Warrants are proposed to be issued to the representative of the underwriters (or its permitted assignees), as described in the Registration Statement and pursuant to an underwriting agreement, substantially in the form filed as an exhibit to the Registration Statement, to be entered into by the Company and the representative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27, 2021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examined originals or copies, certified or otherwise identified to our satisfaction, of such corporate records of the Company and other certificates and documents of officials of the Company, public officials and others as we have deemed appropriate for purposes of this letter. We have assumed the genuineness of all signatures, the authenticity of all documents submitted to us as originals, and the conformity to authentic original documents of all copies submitted to us as conformed and certified or reproduced copies.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exceptions, qualifications and limitations set forth hereinafter, we are of the opinion that:</w:t>
      </w:r>
    </w:p>
    <w:p>
      <w:pPr>
        <w:spacing w:after="0" w:line="225" w:lineRule="exact"/>
        <w:rPr>
          <w:sz w:val="20"/>
          <w:szCs w:val="20"/>
          <w:color w:val="auto"/>
        </w:rPr>
      </w:pPr>
    </w:p>
    <w:p>
      <w:pPr>
        <w:ind w:right="20" w:firstLine="8"/>
        <w:spacing w:after="0" w:line="282" w:lineRule="auto"/>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the Over-Allotment Shares have been duly authorized and, when issued, delivered and paid for in accordance with the terms of the Underwriting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Warrants have been duly authorized by the Company and, when executed by the Company and delivered to the purchasers thereof against payment therefor in accordance with the terms of the Underwriting Agreement, will constitute valid and binding obligations of the Company, enforceable against the Company in accordance with their terms.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if, as, and when the Warrant Shares are issued and delivered by the Company upon exercise of the Representative Warrants in accordance with the terms thereof, including, without limitation, the payment in full of applicable consideration, the Warrant Shares will be validly issued, fully paid and non-assessable.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 we express in paragraph 2, above, is based upon a review only of those laws, statutes, rules, ordinances and regulations which, in our experience, a securities lawyer who is a member of the bar of the State of New York and practicing before the Commission exercising customary professional diligence would reasonably recognize as being applicable to the foregoing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opinion set forth in paragraph 2, above, is subject to (i) the effect of any applicable bankruptcy, insolvency, reorganization, moratorium or similar law relating to or affecting creditors’ rights generally (including, without limitation, fraudulent conveyance laws) and (ii) the effect of general principles of equity, including, without limitation, concepts of materiality, reasonableness, good faith and fair dealing and the possible unavailability of specific performance or injunctive relief, regardless whether considered in a proceeding in equity or at law.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express no opinion as to the enforceability of (i) provisions that relate to choice of law, forum selection or submission to jurisdiction (including, without limitation, any express or implied waiver of any objection to venue in any court or of any objection that a court is an inconvenient forum) to the extent that the validity, binding effector enforceability of any such provision is to be determined by any court other than a state court of the State of New York or (ii) waivers by the Company of any statutory or constitutional rights or remedies. We draw your attention to the fact that, under certain circumstances, the enforceability of terms to the effect that provisions may not be waived or modified except in writing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27, 2021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rendering the foregoing opinions, we have assumed that: (i) the Registration Statement, and any amendments thereto, shall have become effective under the Securities Act and will remain effective at the time of issuance of the Shares, the Over-Allotment Shares and the Warrant Shares thereunder; (ii) the Company will issue and deliver the Securities in the manner contemplated by the final prospectus; and (iii) all Securities will be issued in compliance with applicable federal and state securities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opinions we express herein are limited to matters involving the internal laws of the State of New York and applicable statutory provisions of the Nevada Private Corporations Chapter of the Nevada Revised Statutes, Nev. Rev. Stat. 78, including interpretations thereof in published decisions of the Nevada courts, and applicable provisions of the Nevada Constitution. We express no opinion with respect to any other laws.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furnishing this opinion in connection with the filing of the Registration Statement, and this opinion is not to be relied upon for any other purpose without our prior written consent. 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Loeb &amp; Loeb LLP</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Agrify Corporation on Form S-1 (File No. 333- ) of our report dated March 19, 2020 (except for Note 13, as to which is dated January 12, 2021), which includes an explanatory paragraph as to the Company’s ability to continue as a going concern, with respect to our audits of the consolidated financial statements of Agrify Corporation and Subsidiary as of December 31, 2019 and December 31, 2018 and for the two years in the period ended December 31, 2019, which report appears in the Prospectus, which is part of this Registration Statement. We also consent to the reference to our Firm under the heading “Experts” in such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2021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8" Type="http://schemas.openxmlformats.org/officeDocument/2006/relationships/hyperlink" Target="http://www.sec.gov/Archives/edgar/data/1800637/000121390020044121/fs12020_agrifycorporation.htm#T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2021-01-27T18:39:42Z</dcterms:created>
  <dcterms:modified xsi:type="dcterms:W3CDTF">2021-01-27T18:39:42Z</dcterms:modified>
</cp:coreProperties>
</file>