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307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3074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93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Holtzman Max</w:t>
              </w:r>
            </w:hyperlink>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2220 HICKS ROAD</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05/23/2025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2"/>
                <w:szCs w:val="12"/>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05/23/2025</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0000FF"/>
                <w:w w:val="99"/>
              </w:rPr>
              <w:t>7,096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320" w:type="dxa"/>
            <w:vAlign w:val="bottom"/>
            <w:gridSpan w:val="3"/>
          </w:tcPr>
          <w:p>
            <w:pPr>
              <w:jc w:val="center"/>
              <w:ind w:left="78"/>
              <w:spacing w:after="0"/>
              <w:rPr>
                <w:sz w:val="20"/>
                <w:szCs w:val="20"/>
                <w:color w:val="auto"/>
              </w:rPr>
            </w:pPr>
            <w:r>
              <w:rPr>
                <w:rFonts w:ascii="Times New Roman" w:cs="Times New Roman" w:eastAsia="Times New Roman" w:hAnsi="Times New Roman"/>
                <w:sz w:val="17"/>
                <w:szCs w:val="17"/>
                <w:color w:val="0000FF"/>
                <w:w w:val="99"/>
              </w:rPr>
              <w:t>7,096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05/27/2025</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2"/>
                <w:szCs w:val="22"/>
                <w:color w:val="auto"/>
              </w:rPr>
            </w:pPr>
          </w:p>
        </w:tc>
        <w:tc>
          <w:tcPr>
            <w:tcW w:w="58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0000FF"/>
                <w:w w:val="99"/>
              </w:rPr>
              <w:t>6,996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gridSpan w:val="2"/>
          </w:tcPr>
          <w:p>
            <w:pPr>
              <w:jc w:val="center"/>
              <w:ind w:left="191"/>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jc w:val="center"/>
              <w:ind w:right="416"/>
              <w:spacing w:after="0"/>
              <w:rPr>
                <w:sz w:val="20"/>
                <w:szCs w:val="20"/>
                <w:color w:val="auto"/>
              </w:rPr>
            </w:pPr>
            <w:r>
              <w:rPr>
                <w:rFonts w:ascii="Times New Roman" w:cs="Times New Roman" w:eastAsia="Times New Roman" w:hAnsi="Times New Roman"/>
                <w:sz w:val="17"/>
                <w:szCs w:val="17"/>
                <w:color w:val="0000FF"/>
                <w:w w:val="93"/>
              </w:rPr>
              <w:t>100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05/27/2025</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2"/>
                <w:szCs w:val="22"/>
                <w:color w:val="auto"/>
              </w:rPr>
            </w:pPr>
          </w:p>
        </w:tc>
        <w:tc>
          <w:tcPr>
            <w:tcW w:w="5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0000FF"/>
                <w:w w:val="93"/>
              </w:rPr>
              <w:t>100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26.59</w:t>
            </w:r>
          </w:p>
        </w:tc>
        <w:tc>
          <w:tcPr>
            <w:tcW w:w="460" w:type="dxa"/>
            <w:vAlign w:val="bottom"/>
          </w:tcPr>
          <w:p>
            <w:pPr>
              <w:spacing w:after="0"/>
              <w:rPr>
                <w:sz w:val="22"/>
                <w:szCs w:val="22"/>
                <w:color w:val="auto"/>
              </w:rPr>
            </w:pPr>
          </w:p>
        </w:tc>
        <w:tc>
          <w:tcPr>
            <w:tcW w:w="720" w:type="dxa"/>
            <w:vAlign w:val="bottom"/>
          </w:tcPr>
          <w:p>
            <w:pPr>
              <w:jc w:val="center"/>
              <w:ind w:right="416"/>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20"/>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05/23/2025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6"/>
                <w:szCs w:val="6"/>
                <w:color w:val="auto"/>
              </w:rPr>
            </w:pPr>
          </w:p>
        </w:tc>
        <w:tc>
          <w:tcPr>
            <w:tcW w:w="800" w:type="dxa"/>
            <w:vAlign w:val="bottom"/>
            <w:gridSpan w:val="2"/>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w w:val="91"/>
              </w:rPr>
              <w:t>18</w:t>
            </w: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720" w:type="dxa"/>
            <w:vAlign w:val="bottom"/>
            <w:vMerge w:val="restart"/>
          </w:tcPr>
          <w:p>
            <w:pPr>
              <w:ind w:left="5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3,509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05/23/2025</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gridSpan w:val="2"/>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3,509</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720" w:type="dxa"/>
            <w:vAlign w:val="bottom"/>
          </w:tcPr>
          <w:p>
            <w:pPr>
              <w:ind w:left="5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gridSpan w:val="3"/>
            <w:vMerge w:val="continue"/>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3,569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05/23/2025</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gridSpan w:val="2"/>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3,569</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720" w:type="dxa"/>
            <w:vAlign w:val="bottom"/>
          </w:tcPr>
          <w:p>
            <w:pPr>
              <w:ind w:left="5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3"/>
            <w:vMerge w:val="continue"/>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-2868295</wp:posOffset>
            </wp:positionV>
            <wp:extent cx="29210" cy="2873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73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settlement of restricted stock units on May 23,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18 restricted stock units on July 14, 2022, 3,509 restricted stock units on November 28, 2023, and 3,569 restricted stock units on April 24, 2024, in each case under the Agrify Corporation 2022 Omnibus Equity Incentive Plan. All of the restricted stock units settled on May 23, 2025.</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Max Holtzman</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05/28/2025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892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2025-05-28T17:24:15Z</dcterms:created>
  <dcterms:modified xsi:type="dcterms:W3CDTF">2025-05-28T17:24:15Z</dcterms:modified>
</cp:coreProperties>
</file>