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Vakili Armon</w:t>
              </w:r>
            </w:hyperlink>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RYTHM,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RYM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00" w:type="dxa"/>
            <w:vAlign w:val="bottom"/>
            <w:tcBorders>
              <w:bottom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vMerge w:val="restart"/>
          </w:tcPr>
          <w:p>
            <w:pPr>
              <w:spacing w:after="0"/>
              <w:rPr>
                <w:sz w:val="9"/>
                <w:szCs w:val="9"/>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20" w:type="dxa"/>
            <w:vAlign w:val="bottom"/>
            <w:tcBorders>
              <w:top w:val="single" w:sz="8" w:color="EEEEEE"/>
            </w:tcBorders>
          </w:tcPr>
          <w:p>
            <w:pPr>
              <w:spacing w:after="0"/>
              <w:rPr>
                <w:sz w:val="4"/>
                <w:szCs w:val="4"/>
                <w:color w:val="auto"/>
              </w:rPr>
            </w:pPr>
          </w:p>
        </w:tc>
        <w:tc>
          <w:tcPr>
            <w:tcW w:w="26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2220 HICKS ROAD</w:t>
            </w: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09/09/2025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SUITE 210</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ROLLING</w:t>
            </w: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60008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MEADOWS</w:t>
            </w:r>
          </w:p>
        </w:tc>
        <w:tc>
          <w:tcPr>
            <w:tcW w:w="26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4"/>
          </w:tcPr>
          <w:p>
            <w:pPr>
              <w:ind w:left="2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09/09/2025</w:t>
            </w:r>
          </w:p>
        </w:tc>
        <w:tc>
          <w:tcPr>
            <w:tcW w:w="6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1,900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38.2277</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8,100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$38.00 to $38.50, inclusive. The reporting person hereby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Kathryn A. Lloyd,</w:t>
            </w:r>
          </w:p>
        </w:tc>
        <w:tc>
          <w:tcPr>
            <w:tcW w:w="5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09/10/2025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4319"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2025-09-10T17:36:46Z</dcterms:created>
  <dcterms:modified xsi:type="dcterms:W3CDTF">2025-09-10T17:36:46Z</dcterms:modified>
</cp:coreProperties>
</file>