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19,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AGRIFY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001-39946</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00" w:type="dxa"/>
            <w:vAlign w:val="bottom"/>
            <w:gridSpan w:val="3"/>
          </w:tcPr>
          <w:p>
            <w:pPr>
              <w:jc w:val="center"/>
              <w:ind w:right="780"/>
              <w:spacing w:after="0"/>
              <w:rPr>
                <w:sz w:val="20"/>
                <w:szCs w:val="20"/>
                <w:color w:val="auto"/>
              </w:rPr>
            </w:pPr>
            <w:r>
              <w:rPr>
                <w:rFonts w:ascii="Arial" w:cs="Arial" w:eastAsia="Arial" w:hAnsi="Arial"/>
                <w:sz w:val="18"/>
                <w:szCs w:val="18"/>
                <w:color w:val="auto"/>
                <w:w w:val="93"/>
              </w:rPr>
              <w:t>of incorporation)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76 Treble Cove Rd.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Building 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3"/>
              </w:rPr>
              <w:t>Billerica, MA 01862</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0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19, 2023, Agrify Corporation (the “Company”) received a notice from The Nasdaq Stock Market LLC (“Nasdaq”) indicating that the Company has regained compliance with the minimum bid price requirement under Nasdaq Listing Rule 5550(a)(2).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reported, the Company received notices from Nasdaq on April 24, 2023 and on May 17, 2023 relating to the Company’s non-compliance with Nasdaq Listing Rule 5250(c)(1) as a result of the Company’s failure to timely file its Annual Report on Form 10-K for the fiscal year ended December 31, 2022 and its Quarterly Report on Form 10-Q for the quarter ended March 31, 2023, respectively. There can be no assurance that the Company will be able to regain compliance with Nasdaq Listing Rule 5250(c)(1) within the prescribed timelines or that the Company will otherwise remain in compliance with the other listing standards of Nasdaq.</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0"/>
        <w:spacing w:after="0"/>
        <w:tabs>
          <w:tab w:leader="none" w:pos="6720" w:val="left"/>
          <w:tab w:leader="none" w:pos="7180" w:val="left"/>
        </w:tabs>
        <w:rPr>
          <w:sz w:val="20"/>
          <w:szCs w:val="20"/>
          <w:color w:val="auto"/>
        </w:rPr>
      </w:pPr>
      <w:r>
        <w:rPr>
          <w:rFonts w:ascii="Arial" w:cs="Arial" w:eastAsia="Arial" w:hAnsi="Arial"/>
          <w:sz w:val="18"/>
          <w:szCs w:val="18"/>
          <w:color w:val="auto"/>
        </w:rPr>
        <w:t>Date: July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2023-07-21T06:05:23Z</dcterms:created>
  <dcterms:modified xsi:type="dcterms:W3CDTF">2023-07-21T06:05:23Z</dcterms:modified>
</cp:coreProperties>
</file>