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12, 2025</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333-290785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Illinois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Kovler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Illinois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A. Petitt,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Blank Rome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415-1200</w:t>
      </w:r>
    </w:p>
    <w:p>
      <w:pPr>
        <w:spacing w:after="0" w:line="12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determined by the registrant.</w:t>
      </w:r>
    </w:p>
    <w:p>
      <w:pPr>
        <w:spacing w:after="0" w:line="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551"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12,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114300</wp:posOffset>
            </wp:positionV>
            <wp:extent cx="1628775" cy="1440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$100,000,000 in aggregate principal amount of our common stock, preferred stock, debt securities, warrants, and/or units. We may offer these securities separately or together in units.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We will provide the specific terms of the securities offered in one or more supplements to this prospectus. The prospectus supplements will also describe the specific manner in which these securities will be offered. We may also authorize one or more free writing prospectuses to be provided to you in connection with these offerings. The prospectus supplement and any related free writing prospectus may add, update or change information contained in this prospectus. Please read carefully this prospectus, the applicable prospectus supplement, any related free writing prospectus, and the documents incorporated by reference before you invest in any of our securities. This prospectus may not be used to offer or sell any securities unless accompanied by the applicable prospectus supplement.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“RYM”. On December 11, 2025, the last reported sale price of our common stock was $16.11 per share. The applicable prospectus supplement will contain information, where applicable, as to any other listing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12, 2025, the aggregate market value of our outstanding common stock held by non-affiliates, or public float, was approximately $63,877,675, based on 1,363,742 shares of common stock held by non-affiliates and a per share price of $46.84 based on the closing sale price of our common stock on the Nasdaq Capital Market on October 15, 2025, which was the highest closing price of our common stock within the last 60 days prior to the date of this filing. Pursuant to General Instruction I.B.6 of Form S-3, in no event will we sell securities registered on this registration statement, of which any prospectus supplement forms a part, in a public primary offering with a value exceeding more than one-third of our public float in any 12-month period so long as our public float remains below $75.0 million. During the 12 calendar months prior to and including the date of this prospectus, we have not offered or sold any securities pursuant to General Instruction I.B.6 of Form S-3.</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7 and any applicable prospectus supplement, and under similar headings in the other documents that are incorporated by reference into this prospectus.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For additional information on the methods of sale, please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dealers or agents and any applicable commissions or discounts will be set forth in a prospectus supplement. The price to the public of such securities and the net proceeds we expect to receive from such sale will also be set forth in a prospectus supplement.</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7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61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014"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offer and sell any combination of the securities described in this prospectus, in one or more offerings, for an aggregate initial offering price of up to $100 million.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 PROSPECTUS SUPPLEMENT.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a particular offering. The prospectus supplement and any related free writing prospectus may also add, update or change information contained in this prospectus or in any documents that we have incorporated by reference into this prospectus. To the extent there is a conflict between any statement contained in this prospectus, any applicable prospectus supplement, any related free writing prospectus or any document incorporated by reference into this prospectus, the statement in the document having the later date modifies or supersedes the earlier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prospectus supplement or any related free writing prospectus is accurate only as of their respective dates, and any information we have incorporated by reference is accurate only as of the date of the document incorporated by reference, regardless of the time of delivery of this prospectus, any applicable prospectus supplement or any related free writing prospectus, or the time of any sale of a security. Our business, financial condition, results of operations and prospects may have changed materially since those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rely only on the information contained in, or incorporated by reference into, this prospectus and any applicable prospectus supplement, or the information contained in any free writing prospectus we have authorized for use in connection with a specific offering. We have not authorized anyone to provide you with different or additional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any prospectus supplement or any related free writing prospectus does not constitute an offer to sell or the solicitation of an offer to buy any securities other than the securities described in this prospectus or an applicable prospectus supplement or an offer to sell or the solicitation of an offer to buy such securities in any circumstances or in any jurisdictions where it is unlawful to do so.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This prospectus also contains summaries of certain provisions of the documents described herein, but all summaries are qualified in their entirety by reference to the actual documents. You may read the registration statement and the other reports we file with the SEC, and you may obtain copies of the actual documents summarized herein (if and when filed with the SEC), at the SEC’s website or at its offices described in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forms a part or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013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840" cy="601345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into this prospectus. This summary may not contain all the information that you should consider before investing in our securities. Before making an investment decision, please carefully read this entire prospectus and the documents incorporated by reference into this prospectus, especially the “Risk Factors” section of this prospectus and our financial statements and the related notes incorporated by reference into this prospectus. See “Special Note Regarding Forward-Looking Statements.” In this prospectus, unless the context otherwise requires, the terms “RYTHM,” “the Company,” “we,” “us” and “our” refer to RYTHM, Inc. together with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RYTHM,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deliver well-being to customers through our portfolio of hemp-derived THC products and iconic licensed brands. Our portfolio of consumer-packaged goods brands includes RYTHM, incredibles, Dogwalkers, Beboe, &amp;Shine, Doctor Solomon’s and Good Green, in addition to our Señorita brand which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fifteen U.S. states and Canada including at top retailers such as Total Wine, ABC Fine Wine &amp; Spirits, and Binny’s. Other hemp-derived products, including incredibles and Beboe edible products, are primarily sold online and through direct-to-retail partnerships. In addition to the sale of hemp-derived products, we license our brands to be manufactured and distributed in exchange for a licensing fee.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hemp-derived products, we have also historically been a leading provider of innovative cultivation and extraction solutions for the cannabis industry (the “Extraction Business”). Prior to our exit of the Extraction Business on March 30, 2025, our comprehensive extraction product line, which includes hydrocarbon, alcohol, solventless, post-processing, and lab equipment, empowered producers to maximize the quantity and quality of extract required for premium concentrates. Additionally, prior to its sale on December 31, 2024, our proprietary micro-environment-controlled Vertical Farming Units (“VFUs”) enabled cultivators to produce high quality products for the cannabis industry (the “Cultivation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Brands and Royalties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20, 2025, we acquired MC Brands, LLC from Green Thumb Industries Inc. (“Green Thumb”), a related party, the assets of which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Concurrent with the MC Brands acquisition, we entered a license agreement with GTI Core, LLC, a subsidiary of Green Thumb,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license agreement grants GTI Core, LLC the rights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businesses. The consideration payable by GTI Core for the license rights consists of a monthly license fee, payable in cash, based on sales of product using the licensed intellectual property. Benjamin Kovler, our Chairman and Interim Chief Executive Officer, is the Chairman and Chief Executive Officer on Green Thumb, and Armon Vakili, a member of our Board of Directors, is an employee of Green Thumb. Green Thumb, through its subsidiaries, currently holds approximately 35% of our outstanding shares of common stock and beneficially owns 49.99% of our common stock, taking into account beneficial ownership limitations contained in the warrants and convertible notes held by subsidiaries of Green Thumb</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5739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1840" cy="5739130"/>
                    </a:xfrm>
                    <a:prstGeom prst="rect">
                      <a:avLst/>
                    </a:prstGeom>
                    <a:noFill/>
                  </pic:spPr>
                </pic:pic>
              </a:graphicData>
            </a:graphic>
          </wp:anchor>
        </w:drawing>
        <w:t xml:space="preserve">On August 27, 2025, we acquired VCP IP Holdings, LLC from Green Thumb, the assets of which consist primarily of intellectual property rights to the </w:t>
      </w:r>
      <w:r>
        <w:rPr>
          <w:rFonts w:ascii="Times New Roman" w:cs="Times New Roman" w:eastAsia="Times New Roman" w:hAnsi="Times New Roman"/>
          <w:sz w:val="18"/>
          <w:szCs w:val="18"/>
          <w:i w:val="1"/>
          <w:iCs w:val="1"/>
          <w:color w:val="auto"/>
        </w:rPr>
        <w:t>RYTHM, Beboe, Dogwalkers, Doctor Solomon’s, &amp;Shine, and Good Green</w:t>
      </w:r>
      <w:r>
        <w:rPr>
          <w:rFonts w:ascii="Times New Roman" w:cs="Times New Roman" w:eastAsia="Times New Roman" w:hAnsi="Times New Roman"/>
          <w:sz w:val="18"/>
          <w:szCs w:val="18"/>
          <w:color w:val="auto"/>
        </w:rPr>
        <w:t xml:space="preserve"> brands. Concurrent with the acquisition, we entered a license agreement with GTI Core, LLC to use certain intellectual property related to the acquired brand. The license agreement grants GTI Core, LLC the rights to use certain intellectual property related to the </w:t>
      </w:r>
      <w:r>
        <w:rPr>
          <w:rFonts w:ascii="Times New Roman" w:cs="Times New Roman" w:eastAsia="Times New Roman" w:hAnsi="Times New Roman"/>
          <w:sz w:val="18"/>
          <w:szCs w:val="18"/>
          <w:i w:val="1"/>
          <w:iCs w:val="1"/>
          <w:color w:val="auto"/>
        </w:rPr>
        <w:t>RYTHM, Beboe, Dogwalkers, Doctor Solomon’s, &amp;Shine, and Good Green</w:t>
      </w:r>
      <w:r>
        <w:rPr>
          <w:rFonts w:ascii="Times New Roman" w:cs="Times New Roman" w:eastAsia="Times New Roman" w:hAnsi="Times New Roman"/>
          <w:sz w:val="18"/>
          <w:szCs w:val="18"/>
          <w:color w:val="auto"/>
        </w:rPr>
        <w:t xml:space="preserve"> brands in connection with GTI Core’s existing businesses. The consideration payable by GTI Core for the license rights consists of a monthly license fee, payable in cash, based on sales of product using the licensed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Hemp-Derived 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RYTHM team.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fifteen U.S. states and Canada. Products are also available for direct-to-consumer purchase where permissible under state law at senoritadrinks.com.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Co-Manufacturing Arrangements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half of 2025, we continued to expand distribution of our hemp-derived beverage products in our domestic markets. We have entered into agreements with various distributors providing for the distribution of certain of our hemp-derived beverage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287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1840" cy="6287770"/>
                    </a:xfrm>
                    <a:prstGeom prst="rect">
                      <a:avLst/>
                    </a:prstGeom>
                    <a:noFill/>
                  </pic:spPr>
                </pic:pic>
              </a:graphicData>
            </a:graphic>
          </wp:anchor>
        </w:drawing>
        <w:t>Regulatory Landscape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landscape for products infused with hemp-derived delta-9 tetrahydrocannabinol and other cannabinoids with impairing or intoxicating effects (collectively “hemp-derived THC”) is a source of material risk for the Company. While the Agricultural Improvement Act of 2018 (the “2018 Farm Bill”) both defined and legalized hemp under federal law, the subsequent use of hemp to make THC consumer products was reportedly not anticipated by legislators. Those products are similar in composition to certain state-legal and federally illegal cannabis consumer products, but are federally legal and thus can be shipped via interstate commerce. Their legal status at the federal level also means that they do not fall under the same state regulatory schemes or have the same heavy tax burdens that state legal cannabis products do. As the industry expanded, lawmakers at the state level have begun to expressly regulate such products, including with age limits and manufacturing standards; however, federal, state, and local lawmakers have also raised concerns about minors’ easy access to some of these products, inadequate testing, and the need for more consistent regulations governing the manufacturing, marketing, testing, sale, and transportation of hemp-derived THC products. As a result, some states have passed laws regulating, restricting or prohibiting hemp-derived THC products. Most recently, the Continuing Appropriations and Extensions Act of 2026 (H.R. 5371) (the “2026 Appropriations Act”), enacted on November 12, 2025, includes a provision (section 781) to amend the definition of hemp in the 2018 Farm Bill to effectively eliminate the currently commercialized hemp-derived THC products, including the Company’s products, although the change does not become effective for 365 days from the date of enactment. Efforts are underway to repeal, replace, or delay this amendment, but whether any change will occur is uncertain. All of this creates significant uncertainty for our business of selling hemp-derived THC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cannabis and cannabis-related industries are, and are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 products. Any inability or unwillingness of law enforcement authorities to enforce existing laws prohibiting the unlicensed production and sale of cannabis or hemp products could result in increased competition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562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1840" cy="656209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Following our acquisition of VCP IP Holdings, LLC and the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brand, we changed our name from Agrify Corporation to RYTHM, Inc. effective as of September 2, 2025, and changed our ticker symbol on the Nasdaq Capital Market from AGFY to RYM effective as of the market open on that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20, 2025, we entered into an Amended and Restated Shared Services Agreement (the “Services Agreement”) with Vision Management Services, LLC (“VMS”), an indirect wholly-owned subsidiary of Green Thumb, a related party.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 year terms unless terminated by either party at least thirty days prior to the end of the applicable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our Chief Financial Officer provides his services.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Issuances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with an original principal amount of $10.0 million to RSLGH, LLC (“RSLGH”), a subsidiary of Green Thumb, a related party. The November 2024 Note will mature on November 5, 2025 and is convertible into shares of common stock or, at the holder’s election, pre-funded warrants, at a conversion price of $3.158, subject to a 49.99% beneficial ownership limitation and any required approval of stockholders under Nasdaq listing rules.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(the “May 2025 Notes”) to RSLGH and to certain other accredited investors. The May 2025 Notes will mature on November 22, 2026 and are convertible into shares of common stock or, at the holder’s election, pre-funded warrants, at a conversion price of $23.53, subject to a 49.99% beneficial ownership limitation for RSLGH, a 4.99% beneficial ownership limitation for the other holders, and any required approval of stockholders under Nasdaq listing rules.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(the “August 2025 Notes” and, collectively with the November 2024 Note and the May 2025 Notes, the “Notes”) to RSLGH and to certain other accredited investors. The August 2025 Notes will mature on February 25, 2027 and are convertible into shares of common stock or, at the holder’s election, pre-funded warrants, at a conversion price of $29.475, subject to a 49.99% beneficial ownership limitation for RSLGH, a 4.99% beneficial ownership limitation for the other holders, and any required approval of stockholders under Nasdaq listing rules.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973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1840" cy="6973570"/>
                    </a:xfrm>
                    <a:prstGeom prst="rect">
                      <a:avLst/>
                    </a:prstGeom>
                    <a:noFill/>
                  </pic:spPr>
                </pic:pic>
              </a:graphicData>
            </a:graphic>
          </wp:anchor>
        </w:drawing>
        <w:t>Each Note is a secured obligation and ranks senior to all of our indebtedness except for the other Notes. Each Note accrues interest at a 10.0% annualized rate, with interest to be paid on the first calendar day of each September and March while the Note is outstanding, which may be paid in the form of pre-funded warrants or, in the case of the August 2025 Notes and at the election of the holders of a majority of the August 2025 Notes, cash or common stock, subject to any applicable Nasdaq restrictions. The principal amount of each Note will be payable on its applicable maturity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impose certain customary affirmative and negative covenants upon us. If an event of default under a Note occurs, the holder can elect to redeem the Note for cash equal to the then-outstanding principal amount of the Note (or such lesser principal amount accelerated by the Investor), plus accrued and unpaid interest, including default interest, which accrues at a rate per annum equal to 14% from the date of a default or event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2024, as described under the caption “Incorporation of Documents by Reference” on page 33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RYTHM, Inc. was incorporated in the state of Nevada on June 6, 2016, originally incorporated as Agrinamics, Inc. (or Agrinamics). On September 16, 2019, Agrinamics amended its articles of incorporation to reflect a name change to Agrify Corporation. On September 2, 2025, Agrify Corporation amended its articles of incorporation to reflect a name change to RYTHM, Inc. Our executive offices are located at 2220 Hicks Road, Suite 210, Rolling Meadows, Illinois 60008. Our telephone number at our executive offices is (855) 420-0020. Our website address is </w:t>
      </w:r>
      <w:r>
        <w:rPr>
          <w:rFonts w:ascii="Times New Roman" w:cs="Times New Roman" w:eastAsia="Times New Roman" w:hAnsi="Times New Roman"/>
          <w:sz w:val="18"/>
          <w:szCs w:val="18"/>
          <w:i w:val="1"/>
          <w:iCs w:val="1"/>
          <w:color w:val="auto"/>
        </w:rPr>
        <w:t>www.rythminc.com.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website as soon as reasonably practicable after we electronically file such material with, or furnish it to,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market value of our voting and non-voting common stock held by non-affiliates was less than $700 million measured on the last business day of our second fiscal quarter and our annual revenue was less than $100 million during the most recently completed fiscal year prior to such date, we qualify as a “smaller reporting company” as defined in the Securities Exchange Act of 1934, as amended, or the Exchange Act. We may continue to be a smaller reporting company if either (i) the market value of our shares held by non-affiliates is less than $250 million or (ii) the market value of our shares held by non-affiliates is less than $700 million and our annual revenue was less than $100 million during the most recently completed fiscal year prior to the determination date. As a smaller reporting company, we may provide less public disclosure than larger public companies, including the inclusion of only two years of audited financial statements and only two years of related management’s discussion and analysis of financial condition and results of operations disclosure. While we are a smaller reporting company, we are also not required to comply with the auditor attestation requirements of Section 404 of the Sarbanes-Oxley Act as long as we are considered a non-accelerated filer or our annual revenues are less than $100 million. As a result, the information that we provide to our stockholders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7247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1840" cy="7247890"/>
                    </a:xfrm>
                    <a:prstGeom prst="rect">
                      <a:avLst/>
                    </a:prstGeom>
                    <a:noFill/>
                  </pic:spPr>
                </pic:pic>
              </a:graphicData>
            </a:graphic>
          </wp:anchor>
        </w:drawing>
        <w:t>The Securities We May Offer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or rights to purchase any of such securities, either individually or as units in combination, up to a total aggregate offering price of $100,000,000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225"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United States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76" w:lineRule="exact"/>
        <w:rPr>
          <w:sz w:val="20"/>
          <w:szCs w:val="20"/>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2024, which was filed with the SEC on March 21, 2025 and amended on March 28, 2025, and is incorporated herein by reference, (ii) our Quarterly Reports on Form 10-Q for the fiscal quarters ended March 31, 2025. June 30, 2025 and September 30, 2025, which were filed with the SEC on May 9, 2025, August 8, 2025, and November 7, 2025, respectively, and are incorporated herein by reference, and (iii) other documents we file with the SEC that are deemed incorporated by reference into this prospectus.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2018 Farm Bill, which federally legalized hemp and hemp products, was amended in a way that would severely restrict or prohibit the Company’s hemp-derived THC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Farm Bill, which is the legal basis for our entry into the hemp-derived THC product market, legally defined hemp as Cannabis Sativa L. containing less than 0.3% delta-9-THC on a dry weight basis, effectively legalizing hemp in the United States. Most recently, the 2026 Appropriations Act), enacted on November 12, 2025, includes a provision (section 781) to amend the definition of hemp in the 2018 Farm Bill to effectively eliminate currently commercialized hemp-derived THC products, including our products, although the change does not become effective for 365 days from the date of enactment. Efforts are underway to repeal, replace, or delay this amendment, but whether any change will occur is uncertain. This creates significant uncertainty for our business of selling hemp-derived THC products. It is unclear, for example, if states that have expressly allowed the commercialization of such products will continue to do so in spite of the changes to federal law. If the 365-day grace period expires without a legislative change, it will have a material adverse effect on us, including our business, financial condition, and results of operations. In that event, the market price of our common stock could decline.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States are passing their own laws regulating, restricting, or prohibiting hemp-derived THC products, creating a difficult regulatory patchwork within which to operate.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and local authorities have been active over the last few years, implementing their own laws regulating the cultivation, manufacturing, testing, marketing, and sale of both intoxicating and non-intoxicating hemp products. Some states ban these products altogether. Other state laws permit hemp-derived THC products but impose new regulatory frameworks containing licensing and labeling requirements, age gates, amount and potency restrictions, allowable types of products, and restrictions on where the products may be sold. The varied state regulatory framework for hemp products poses risks to manufacturing, marketing, selling, and shipping hemp-derived THC products around the country, whether wholesale or direct to consumers via online or brick-and-mortar retail locations. Additionally, hemp legislation is pending at the state level around the country, creating additional risk to the sale and transport of products already produced under existing laws. Unforeseen regulatory obstacles or compliance costs related to state laws may hinder our ability to successfully compete in some markets for such products. Further, states in which we currently sell our hemp-derived THC products could decide in the future to ban these products altogether, particularly given the 2026 Appropriations Act. If these regulatory changes occur, the revenue streams we expect to receive from our businesses and assets would be at risk and, as a result, such changes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are not permitted under the Federal Food, Drug, and Cosmetic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Food and Drug Administration (“FDA”) has taken the position that ingestible products over which it has jurisdiction, including foods, beverages, and dietary supplements, that contain cannabinoids such as THC, including hemp-derived delta-9-THC, are not permitted under the Federal Food, Drug, and Cosmetic Act (“FDCA”). The FDA has not evaluated THC as a food ingredient, and therefore does not consider it to be GRAS (Generally Recognized as Safe) for use in foods, including beverages. The FDA has also found that because THC is in certain drugs approved by the FDA, it cannot be used in foods/beverages or dietary supplements. The FDA has articulated its intention to focus enforcement on products claiming to prevent, diagnose, mitigate, treat, or cure diseases, and/or manufacturers who target products toward children. The FDA has issued warnings about products that resemble candy or other items appealing to children, emphasizing that such products could pose a risk of unintentional ingestion and potential harm due to the presence of cannabinoids. Thus far, such enforcement has been limited to sending warning letters to a relatively small number of companies. The FDA may decide in the future to increase enforcement activities, regardless of whether a company has made health claims related to its products or markets to children, which could impact the Company’s offering of hemp-derived THC beverages and materially impact operations and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could issue new regulations that prohibit or strictly limit the sale of hemp-derived THC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previously declined to issue regulations for the manufacture and sale of hemp-derived THC products. For example, in 2023, the FDA denied three citizen petitions asking the FDA to conduct rulemaking to allow the marketing of cannabidiol (“CBD”), another hemp-derived cannabinoid, as dietary supplements. In conjunction with these denials, the FDA has publicly stated that a new regulatory pathway should be created by Congress to regulate CBD and other cannabinoid products. Legislation passed on November 12, 2025 directs the FDA to create and maintain lists of allowable and prohibited cannabinoids and other regulations further defining what items will qualify as a container for purposes of measuring cannabinoid content. The FDA could also decide to further regulate hemp products based on this new directive. New FDA regulations could materially and negatively impact our operations and revenue. New FDA regulations could also require us to make financial investments in additional compliance mechanisms which could impact our profitability and the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agencies may take enforcement actions against companies selling hemp-derived THC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Federal Trade Commission (“FTC”) and FDA frequently collaborate on enforcement where their jurisdictions overlap, particularly in regulating the advertising, labeling, and promotion of food, cosmetics, medical devices, and over-the-counter drugs. In the CBD market, the FTC has joined the FDA in issuing warning letters to companies who lacked competent and reliable scientific evidence supporting their advertisements, thereby violating the FTC Act, 15 U.S.C. § 41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FTC has also independently issued warning letters to CBD companies for making exaggerated or misleading claims without sufficient scientific backing. While FTC enforcement actions related to CBD were historically limited to warnings, in December 2020, the agency initiated its first formal enforcement action against six CBD companies for allegedly making unsupported health claims, leading to settlement agreements that required those companies to cease such claims and pay monetary judgments. In 2023 and 2024, the FTC sent cease and desist letters to companies marketing hemp-derived THC products that it determined appealed to children. Although we do not intend to make any unsubstantiated claims regarding its products, the FTC may disagree with our assessment of our claims. The regulatory landscape and potential for future FTC enforcement actions could pose an ongoing risk to our offering of hemp-derived THC products, especially if our products are targeted by the FTC, or the FTC and FDA together, in the future for any reason.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are federally illegal if they exceed 0.3% delta-9-THC on a dry weight basis.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Hemp-derived THC products which exceed a delta-9-THC concentration of 0.3% on a dry weight basis are federally illegal under the Controlled Substances Act (the “CSA”). The CSA classifies cannabis as an illegal Schedule I drug, meaning it is considered to have a high potential for abuse and no accepted medical use.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failure by us or our partners to keep the delta-9-THC in our hemp-derived THC products below 0.3% on a dry weight basis, either in the manufacturing process or in the final product, could subject us to action by regulatory authorities and/or to lawsuits by consumers. In addition, the approval of medical and recreational marijuana by many states has created a situation in which it may be difficult or impossible for regulators and courts to determine whether the delta-9-THC levels reflected in consumers’ blood tests are the result of hemp-derived THC products or marijuana products. This may result in regulatory actions or lawsuits. Certain hemp-derived THC products may, over time, gradually increase their delta-9-THC or total THC concentration, and this may ultimately cause such products to exceed the applicable concentration level, making such products illegal in certain jurisdictions. If any of these situations occur, we may be subject to regulatory action or lawsuits that could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regulations that could impact its ability to sell our product internationally.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sell certain of our products in Canada and may conduct sales in other international markets in the future. Doing so would subject us to the laws, regulations, and international treaties of the countries where we operate or engage in trade. Failure to adhere to existing or evolving regulations in any jurisdiction could materially impact our business. There is also a risk that authorities in these jurisdictions may determine that we were or are not in compliance with local laws. If our past or present activities are found to violate such laws or regulations, we could face enforcement actions, including civil or criminal penalties, fines, damages, operational restrictions or restructuring, asset seizures, and the denial of regulatory approvals.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with whom we do business may perceive themselves as being exposed to reputational risk because of their relationship with us due to our hemp- and limited cannabis-related licensing activities and may, as a result, refuse to do business with 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parties with whom we do business may perceive that they are exposed to reputational risk because of our hemp- or limited cannabis-related business activities. Any third-party service provider could suspend or withdraw its services if it perceives that the potential risks exceed the potential benefits of providing such services to us. Specifically, while we have banking relationships and believe that the services we rely on can be procured from other institutions, we may, in the future, have difficulty maintaining existing or securing new bank accounts or clearing services. Our failure to establish or maintain business relationships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larger competitors and licensed medical and adult-use cannabis dispensaries.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cannabis and hemp industries are, and are expected to continue to be, competitive. A number of other companies engage in, and may in the future engage in, cannabis or hemp-related businesses, operate businesses in competition with us, and purchase businesses and assets or make investments that we will also seek to purchase or make. We face and expect to continue to face competition from state-licensed medical and adult-use dispensaries as well as the illicit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THC industry could strategically acquire competitors or invest in creating their own brands. In doing so, these larger competitors could produce and sell competing products at a lower price and establish a larger brand presence than we have. We may not have the personnel, products, marketing, and distribution capabilities, and/or financial resources to compete effectively against such larger competitors.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 products. Any inability or unwillingness of law enforcement authorities to enforce existing laws prohibiting the unlicensed production and sale of cannabis or hemp products could result in increased competition for us. Additionally, illicit products may be unsafe, and negative press caused by such products could impact our products with consumers who may not distinguish between responsible suppliers like the Company and illicit operators. Any or all these events could have a material adverse effect on our business, financial condition, and results of operations.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Inconsistent public opinion and perception of the cannabis and hemp industries may hinder market growth and state regulation, which would adversely impact our growth plans and current operations and result in an adverse effect on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opinion and support for cannabis and hemp-derived THC products has traditionally been inconsistent and varies from state to state. While public opinion and support has historically been increasing in the U.S. for legalizing cannabis and for continued access to hemp-derived THC products, it remains a controversial issue subject to differing opinions surrounding the level of legalization. Inconsistent public opinion and perception of cannabis and hemp hinders growth of the cannabis and hemp industries, which could have a material adverse effect on our business plans, financial condition, and results of operations.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perception of our products may be significantly influenced by scientific research or findings, regulatory investigations, litigation, media attention, and other publicity regarding the consumption of cannabis and hemp-derived THC products. There can be no assurance that future scientific research, findings, regulatory proceedings, litigation, media attention, or other research findings or publicity will be favorable to the cannabis or hemp markets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or hemp-derived THC products in general, or our products specifically, or associating the consumption of cannabis or hemp-derived THC products with illness or other negative effects or events, could have such a material adverse effect. A failure or alleged failure of quality control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may be shown to have negative health and/or safety impacts upon consumers.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impacts of hemp-derived THC products have not yet been established via traditional scientific and/or clinical studies. The FDA appears to believe that certain hemp-derived THC products may have significant adverse health impacts upon human beings, especially in regard to potential liver toxicity or liver damage. If the FDA, scientific research and/or clinical studies ultimately demonstrate negative health and/or safety impacts of hemp-derived THC products upon consumers, then our business and the trading price of our Common Stock may be materially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and our reputation may be negatively impacted by improper conduct by our business partners, employees, or agents.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 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including Green Thumb, in violation of U.S. federal or state or local laws.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relatively few operators in the hemp-derived beverage industry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our common stock to the extent that investors may lose their entire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and hemp industries could face strong opposition from other industries.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and hemp industries. Cannabis and hemp may be seen by companies in other industries as an attractive alternative to their products, such as alcohol, and as an alternative to various commercial pharmaceuticals. Many industries that could view the emerging cannabis and hemp industries as economic threats are well established, with vast economic and federal and state lobbying resources. It is reported that companies within these industries may have played a role in the recent federal legislation to reverse the 2018 Farm Bill’s legalization of certain hemp products, and it is possible these industries play similar roles in anti-cannabis efforts. Any inroads these companies make in halting or impeding legislative initiatives that would be beneficial to the cannabis and hemp industries could have a detrimental impact on some of our customers and, in turn, on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customers to operate their businesses will be obtained, retained, or renewed. If a licensing body were to determine that a customer of ours had violated applicable rules and regulations, there is a risk the license granted to that customer could be revoked, which could adversely affect our revenue streams from such clients. There can be no assurance that our existing customers will be able to retain their licenses going forward, or that we would be able to acquire new customers to sell our products in those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particularly given changes to federal law under the 2026 Appropriations Act. Insurance coverage may not continue to be available or may not be adequate to cover any resulting liability. Moreover, insurance against certain hazards encountered in our operations may not be generally available on acceptable terms. We might also become subject to liability for pollution or other hazards which we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hemp and cannabis industries are still new industries, and many aspects of these industries’ development and evolution cannot be accurately predicted. While we have attempted to identify many risks specific to the hemp and cannabis industries, you should carefully consider that there are other risks that cannot be foreseen or are not described in this report, which could materially and adversely affect our business and financial performance. We expect that the hemp and cannabis markets and our business will continue to evolve in ways that are difficult to predict. Our long-term success may depend on our ability to successfully adjust our strategy to meet the changing market dynamics. If we are unable to successfully adapt to changes in the hemp and cannabis industries, our operations could be adversely affected.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any applicable prospectus supplement, any related free writing prospectus, and the information incorporated by reference herein and therein contain statements that are not historical facts and are considered forward-looking within the meaning of Section 27A of the Securities Act and Section 21E of the Exchange Act. These forward-looking statements contain projections of our future results of operations or of our financial position or state other forward-looking information. In some cases, you can identify these statements by forward-looking words such as “may,” “will,” “could,” “should,” “would,” “expect,” “intend,” “plan,” “anticipate,” “believe,” “estimate,” “predict,” “project,” “potential,” “continue,” or the negative of such words or other similar words or phrases. 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subsequent quarterly reports on Form 10-Q and other filings we make with the SEC pursuant to Section 13(a), 13(c), 14 or 15(d) of the Exchange Act, and the section of any accompanying prospectus supplement entitled “Risk Factors.” Accordingly, there are or will be important factors that could cause actual outcomes or results to differ materially from those indicated in these statements. We believe these factors include, but are not limited to, those described under “Risk Factors” and include, among other things: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These forward-looking statements speak only as of the date on which the statements were made and are not guarantees of future performance. Except as may be required by applicable law, we do not undertake or intend to update any forward-looking statements after the date of this prospectus or the respective dates of documents incorporated by reference herein that include forward-looking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also contains estimates, projections and other information concerning our industry, our business and the markets for our products.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 We may also use a portion of the net proceeds from this offering for acquisitions or strategic investments in complementary businesses or technologies. We do not currently have any plans for any such acquisitions or investments. We have not allocated specific amounts of net proceeds for any of these purposes.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investment-grade, interest-bearing instruments and U.S. government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as amended, and amended and restated bylaws, which are exhibits to the registration statement of which this prospectus forms a part, and by applicable law. The terms of our common stock and preferred stock may also be affected by Nevada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December 12, 2025, there were 2,149,128 shares of common stock outstanding, warrants outstanding to purchase 10,892,115 shares of our common stock (including 10,852,037 pre-funded warrants), 75 shares of common stock subject to outstanding stock options, 126,750 shares of common stock subject to unvested restricted stock units, and 3,382,451 shares of common stock underlying convertible notes, account for interest through maturity.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“RYM.” On December 11, 2025, the closing price for our common stock, as reported on The Nasdaq Capital Market was $16.11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prior to the date the interested stockholder obtained such status; or the combination is approved by the Board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53" w:gutter="0" w:footer="0" w:header="0"/>
        </w:sectPr>
      </w:pPr>
    </w:p>
    <w:bookmarkStart w:id="23" w:name="page24"/>
    <w:bookmarkEnd w:id="23"/>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7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2"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“—Merger, Consolidation or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applicable indenture to this “—Description of Debt Securities” or any other similarly titled section in any prospectus supplement or other offering document relating to a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a particular series of units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 Will Not Be Qualified under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 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76"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83"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Capital Market or such other securities exchanges or quotation or trading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(“FINRA”).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Fennemore Craig P.C., Las Vegas, Nevada. Blank Rome LLP has acted as securities counsel to RYTHM, Inc. In connection with particular offerings of securities in the future, and if stated in the applicable prospectus supplement, Blank Rome LLP, Boston, Massachusetts may pass upon certain legal matters relating to the debt securities, warrants and units offered thereby.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balance sheet of Agrify Corporation (now known as RYTHM, Inc.) and subsidiaries as of December 31, 2024, and the related consolidated statements of operations, stockholders’ equity (deficit), and cash flows for the year then ended, the retrospective adjustments to our 2024 consolidated financial statements described in Note 6 thereto and the retrospective adjustments to our 2023 consolidated financial statements described in Notes 1 and 6 thereto, have been audited by GuzmanGray, our independent registered public accounting firm, as stated in their report which is incorporated by reference in this prospectus and elsewhere in the registration statement. Such financial statements have been included herein in reliance on the report of such firm given upon their authority as experts in accounting and auditing.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sheets of Double or Nothing LLC as of December 31, 2023 and 2022, and the related statements of operations, changes in members’ equity, and cash flows for the years then ended, have been audited by GuzmanGray, our independent registered public accounting firm, as stated in their report which is incorporated by reference in this prospectus and elsewhere in the registration statement. Such financial statements have been included herein in reliance on the report of such firm given upon their authority as experts in accounting and auditing.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balance sheet of RYTHM, Inc. (formerly Agrify Corporation) and subsidiaries as of December 31, 2023, and the related consolidated statements of operations, stockholders’ equity (deficit), and cash flows for the year then ended, excluding the retrospective adjustments described in Notes 1 and 6 thereto, have been audited by Marcum LLP, our former independent registered public accounting firm, as stated in their report which is incorporated by reference in this prospectus and elsewhere in the registration statement, which includes an explanatory paragraph relating to our ability to continue as a going concern. Such financial statements have been included herein in reliance 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SEC filings are also available on our website, </w:t>
      </w:r>
      <w:r>
        <w:rPr>
          <w:rFonts w:ascii="Times New Roman" w:cs="Times New Roman" w:eastAsia="Times New Roman" w:hAnsi="Times New Roman"/>
          <w:sz w:val="18"/>
          <w:szCs w:val="18"/>
          <w:i w:val="1"/>
          <w:iCs w:val="1"/>
          <w:color w:val="auto"/>
        </w:rPr>
        <w:t>ir.rythminc.com</w:t>
      </w:r>
      <w:r>
        <w:rPr>
          <w:rFonts w:ascii="Times New Roman" w:cs="Times New Roman" w:eastAsia="Times New Roman" w:hAnsi="Times New Roman"/>
          <w:sz w:val="18"/>
          <w:szCs w:val="18"/>
          <w:color w:val="auto"/>
        </w:rPr>
        <w:t xml:space="preserve"> under the heading “SEC Filings.” The reference to our website is an inactive textual reference only, the information contained in, and that can be accessed through our website, is not incorporated into and is not a part of this prospectus. We make available on our website our SEC filings as soon as reasonably practicable after those reports are filed with the SEC.</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88"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56">
        <w:r>
          <w:rPr>
            <w:rFonts w:ascii="Times New Roman" w:cs="Times New Roman" w:eastAsia="Times New Roman" w:hAnsi="Times New Roman"/>
            <w:sz w:val="18"/>
            <w:szCs w:val="18"/>
            <w:u w:val="single" w:color="auto"/>
            <w:color w:val="0000EE"/>
          </w:rPr>
          <w:t>March 21,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amendment thereto filed with the SEC on </w:t>
      </w:r>
      <w:hyperlink r:id="rId57">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7 and 8 from such Annual Report have been recast to retrospectively reflect discontinued operations as reflected in the Current Report on Form 8-K filed with the SEC on </w:t>
      </w:r>
      <w:hyperlink r:id="rId58">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from our definitive proxy statement on </w:t>
      </w:r>
      <w:hyperlink r:id="rId5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60">
        <w:r>
          <w:rPr>
            <w:rFonts w:ascii="Times New Roman" w:cs="Times New Roman" w:eastAsia="Times New Roman" w:hAnsi="Times New Roman"/>
            <w:sz w:val="18"/>
            <w:szCs w:val="18"/>
            <w:u w:val="single" w:color="auto"/>
            <w:color w:val="0000EE"/>
          </w:rPr>
          <w:t>May 9, 2025</w:t>
        </w:r>
      </w:hyperlink>
      <w:r>
        <w:rPr>
          <w:rFonts w:ascii="Times New Roman" w:cs="Times New Roman" w:eastAsia="Times New Roman" w:hAnsi="Times New Roman"/>
          <w:sz w:val="18"/>
          <w:szCs w:val="18"/>
          <w:color w:val="auto"/>
        </w:rPr>
        <w:t xml:space="preserve">, for the quarter ended June 30, 2025, filed with the SEC on </w:t>
      </w:r>
      <w:hyperlink r:id="rId61">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auto"/>
        </w:rPr>
        <w:t xml:space="preserve">, and for the quarter ended September 30, 2025, filed with the SEC on </w:t>
      </w:r>
      <w:hyperlink r:id="rId62">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December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7,</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February 5,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March 21,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March 31,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May 22,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June 13, 2025</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 xml:space="preserve">August 27, 2025 </w:t>
        </w:r>
      </w:hyperlink>
      <w:hyperlink r:id="rId6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October 8, 2025</w:t>
        </w:r>
      </w:hyperlink>
      <w:hyperlink r:id="rId63">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70">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w:t>
      </w:r>
      <w:hyperlink r:id="rId7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April 2, 2021,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Rolling Meadows, Illinois 60008</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420-0020</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of 1933, as amended,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3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586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232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457200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902970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ind w:left="3140"/>
        <w:spacing w:after="0"/>
        <w:rPr>
          <w:sz w:val="20"/>
          <w:szCs w:val="20"/>
          <w:color w:val="auto"/>
        </w:rPr>
      </w:pPr>
      <w:r>
        <w:rPr>
          <w:rFonts w:ascii="Times New Roman" w:cs="Times New Roman" w:eastAsia="Times New Roman" w:hAnsi="Times New Roman"/>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expenses payable by RYTHM, Inc. (the “Registrant” or the “Company”) in connection with the issuance and distribution of the securities being registered (other than underwriting discounts and commissions, if any) are set forth below. Each item listed is estimated, except for the SEC registration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29,310</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Estimated expenses not presently known.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60" w:hanging="220"/>
        <w:spacing w:after="0"/>
        <w:tabs>
          <w:tab w:leader="none" w:pos="1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440"/>
        <w:spacing w:after="0" w:line="255" w:lineRule="auto"/>
        <w:tabs>
          <w:tab w:leader="none" w:pos="1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firstLine="1440"/>
        <w:spacing w:after="0" w:line="258" w:lineRule="auto"/>
        <w:tabs>
          <w:tab w:leader="none" w:pos="17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(a)(l)(i), (a)(l)(ii) and (a)(l)(iii)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440"/>
        <w:spacing w:after="0" w:line="282" w:lineRule="auto"/>
        <w:tabs>
          <w:tab w:leader="none" w:pos="1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440"/>
        <w:spacing w:after="0" w:line="253" w:lineRule="auto"/>
        <w:tabs>
          <w:tab w:leader="none" w:pos="17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889"/>
        <w:spacing w:after="0" w:line="258" w:lineRule="auto"/>
        <w:tabs>
          <w:tab w:leader="none" w:pos="11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680" w:hanging="240"/>
        <w:spacing w:after="0"/>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firstLine="1440"/>
        <w:spacing w:after="0" w:line="282" w:lineRule="auto"/>
        <w:tabs>
          <w:tab w:leader="none" w:pos="16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7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89"/>
        <w:spacing w:after="0" w:line="258" w:lineRule="auto"/>
        <w:tabs>
          <w:tab w:leader="none" w:pos="11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right="20" w:firstLine="889"/>
        <w:spacing w:after="0" w:line="266" w:lineRule="auto"/>
        <w:tabs>
          <w:tab w:leader="none" w:pos="11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2" w:lineRule="exact"/>
        <w:rPr>
          <w:sz w:val="20"/>
          <w:szCs w:val="20"/>
          <w:color w:val="auto"/>
        </w:rPr>
      </w:pPr>
    </w:p>
    <w:p>
      <w:pPr>
        <w:jc w:val="both"/>
        <w:ind w:firstLine="926"/>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Rolling Hills, State of Illinois, on December 12,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Brad Asher</w:t>
            </w: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Asher</w:t>
            </w: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4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Kovler</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8"/>
        </w:trPr>
        <w:tc>
          <w:tcPr>
            <w:tcW w:w="460" w:type="dxa"/>
            <w:vAlign w:val="bottom"/>
          </w:tcPr>
          <w:p>
            <w:pPr>
              <w:spacing w:after="0"/>
              <w:rPr>
                <w:sz w:val="17"/>
                <w:szCs w:val="17"/>
                <w:color w:val="auto"/>
              </w:rPr>
            </w:pPr>
          </w:p>
        </w:tc>
        <w:tc>
          <w:tcPr>
            <w:tcW w:w="3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gridSpan w:val="12"/>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2"/>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Asset Purchase Agreement, dated as of December 12, 2024, among the Registrant, Double or Nothing LLC, Joel Gott, and Charles Bieler</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to Exhibit 2.1 to the Registrant’s Current Report on Form 8-K filed with the Securities and Exchange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Commission on December 16,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Registration Statement on Form S-1 filed with the Securities and Exchange 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to the Registrant’s Current Report filed with the Securities and Exchange Commission on March 3,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Certificate of Change to Articles of Incorporation of the Registrant, filed June 30, 2023 (incorporated by reference to Exhibit 3.1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Registrant’s Current Report on Form 8-K filed with the Securities and Exchange Commission on July 3,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Articles of Amendment to Articles of Incorporation of the Registrant, filed October 3, 2024 (incorporated by reference to Exhibit 3.1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Registrant’s Current Report on Form 8-K filed with the Securities and Exchange Commission on October 4,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Articles of Amendment to Articles of Incorporation of the Registrant, filed August 27, 2025 (incorporated by reference to Exhibit 3.1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Registrant’s Current Report on Form 8-K filed with the Securities and Exchange Commission on August 27,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Third Amended and Restated Bylaws of the Registrant (incorporated by reference to Exhibit 3.2 to Registrant’s Current Report on Form 8-</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K filed with the Securities and Exchange Commission on August 27,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40" w:type="dxa"/>
            <w:vAlign w:val="bottom"/>
            <w:tcBorders>
              <w:right w:val="single" w:sz="8" w:color="CCEEFF"/>
            </w:tcBorders>
            <w:gridSpan w:val="9"/>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indenture for senior debt securities and the related form of senior debt security</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indenture for subordinated debt securities and the related form of subordinated debt security</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certificate of designation with respect to any preferred stock issued hereunder and the related form of preferred stock</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warrant agreement with respect to each particular series of warrants issued hereunder</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unit agreement with respect to any unit issued hereunder</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the Securities and Exchange Commission on April 2,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Opinion of Fennemore Craig, P.C.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Opinion of Blank Rome LLP</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Consents of GuzmanGray,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Consent of Fennemore Craig, P.C. (included in Exhibit 5.1)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Consent of Blank Rome LLP (included in Exhibit 5.2)</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Power of Attorney (included in signature page)</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senior indenture under the Trust Indenture Act of 1939</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25.2**</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subordinated indenture under the Trust Indenture Act of 1939</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Calculation of Filing Fees Table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62" w:lineRule="exact"/>
        <w:rPr>
          <w:sz w:val="20"/>
          <w:szCs w:val="20"/>
          <w:color w:val="auto"/>
        </w:rPr>
      </w:pPr>
    </w:p>
    <w:p>
      <w:pPr>
        <w:ind w:right="4300" w:firstLine="8"/>
        <w:spacing w:after="0" w:line="500" w:lineRule="auto"/>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pursuant to Section 305(b)(2) of the Trust Indenture Act of 1939.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or similar attachments have been omitted from this exhibit in reliance upon Item 601(a)(5) of Regulation S-K.</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Registration Statement on Form S-3 of RYTHM, Inc. (formerly known as Agrify Corporation) of our report, dated March 21, 2025, relating to the consolidated financial statements of Agrify Corporation as of December 31, 2024 and for the year then ended, and the retrospective adjustments to the 2023 consolidated financial statements described in Notes 1 and 6, except for the retroactive impact of the reverse stock split on October 8, 2024, as to which the date is March 27, 2025, and for the retrospective adjustments related to the discontinued operations of the Extraction Business described in Notes 1 and 6, as to which the date is October 8, 2025, which appears in RYTHM, Inc.’s Current Report on Form 8-K dated October 8, 2025. We also consent to the reference to us under the heading “Experts” in this Amendment No. 1 to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Consent of Independent Auditors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Registration Statement on Form S-3 of RYTHM, Inc. (formerly known as Agrify Corporation) of our report, dated February 21, 2025, relating to the financial statements of Double or Nothing, LLC as of December 31, 2023 and 2022 and for the years then ended appearing in the Amended Current Report on Form 8-K/A of Agrify Corporation filed on February 25, 2025. We also consent to the reference to us under the heading “Experts” in this Amendment No 1. to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Amendment No.1 to Form S-3 of RYTHM, Inc. (formerly known as Agrify Corporation) of our report dated April 15, 2024, which included an explanatory paragraph as to Agrify Corporation and Subsidiaries ability to continue as a going concern, with respect to our audit of the consolidated financial statements of Agrify Corporation and Subsidiaries as of December 31, 2023 and for the year ended December 31, 2023, incorporated by reference in this prospectus. We also consent to the reference to our firm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South Service Road Suite 300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855"/>
    </w:lvl>
  </w:abstractNum>
  <w:abstractNum w:abstractNumId="26">
    <w:nsid w:val="2901D82"/>
    <w:multiLevelType w:val="hybridMultilevel"/>
    <w:lvl w:ilvl="0">
      <w:lvlJc w:val="left"/>
      <w:lvlText w:val="(%1)"/>
      <w:numFmt w:val="decimal"/>
      <w:start w:val="1"/>
    </w:lvl>
    <w:lvl w:ilvl="1">
      <w:lvlJc w:val="left"/>
      <w:lvlText w:val="(%2)"/>
      <w:numFmt w:val="lowerRoman"/>
      <w:start w:val="1"/>
    </w:lvl>
  </w:abstractNum>
  <w:abstractNum w:abstractNumId="27">
    <w:nsid w:val="3A95F874"/>
    <w:multiLevelType w:val="hybridMultilevel"/>
    <w:lvl w:ilvl="0">
      <w:lvlJc w:val="left"/>
      <w:lvlText w:val="(%1)"/>
      <w:numFmt w:val="decimal"/>
      <w:start w:val="5"/>
    </w:lvl>
    <w:lvl w:ilvl="1">
      <w:lvlJc w:val="left"/>
      <w:lvlText w:val="(%2)"/>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99"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56" Type="http://schemas.openxmlformats.org/officeDocument/2006/relationships/hyperlink" Target="http://www.sec.gov/Archives/edgar/data/1800637/000101376225000918/ea0234402-10k_agrify.htm" TargetMode="External"/><Relationship Id="rId57" Type="http://schemas.openxmlformats.org/officeDocument/2006/relationships/hyperlink" Target="https://www.sec.gov/Archives/edgar/data/1800637/000101376225003503/ea0235289-10ka1_agrify.htm" TargetMode="External"/><Relationship Id="rId58" Type="http://schemas.openxmlformats.org/officeDocument/2006/relationships/hyperlink" Target="https://www.sec.gov/Archives/edgar/data/1800637/000121390025097503/ea0260588-8k_rythm.htm" TargetMode="External"/><Relationship Id="rId59" Type="http://schemas.openxmlformats.org/officeDocument/2006/relationships/hyperlink" Target="http://www.sec.gov/Archives/edgar/data/1800637/000121390025037070/ea0239594-01.htm" TargetMode="External"/><Relationship Id="rId60" Type="http://schemas.openxmlformats.org/officeDocument/2006/relationships/hyperlink" Target="http://www.sec.gov/Archives/edgar/data/1800637/000121390025041201/ea0239435-10q_agrify.htm" TargetMode="External"/><Relationship Id="rId61" Type="http://schemas.openxmlformats.org/officeDocument/2006/relationships/hyperlink" Target="https://www.sec.gov/Archives/edgar/data/1800637/000121390025073302/ea0249858-10q_agrify.htm" TargetMode="External"/><Relationship Id="rId62" Type="http://schemas.openxmlformats.org/officeDocument/2006/relationships/hyperlink" Target="http://www.sec.gov/Archives/edgar/data/1800637/000121390025107368/ea0263013-10q_rythm.htm" TargetMode="External"/><Relationship Id="rId63" Type="http://schemas.openxmlformats.org/officeDocument/2006/relationships/hyperlink" Target="http://www.sec.gov/Archives/edgar/data/1800637/000121390025001659/ea022695801-8k_agrify.htm" TargetMode="External"/><Relationship Id="rId64" Type="http://schemas.openxmlformats.org/officeDocument/2006/relationships/hyperlink" Target="http://www.sec.gov/Archives/edgar/data/1800637/000121390025010247/ea0229986-8k_agrify.htm" TargetMode="External"/><Relationship Id="rId65" Type="http://schemas.openxmlformats.org/officeDocument/2006/relationships/hyperlink" Target="http://www.sec.gov/Archives/edgar/data/1800637/000121390025025727/ea0235055-8k_agrify.htm" TargetMode="External"/><Relationship Id="rId66" Type="http://schemas.openxmlformats.org/officeDocument/2006/relationships/hyperlink" Target="http://www.sec.gov/Archives/edgar/data/1800637/000121390025026300/ea0236388-8k_agrify.htm" TargetMode="External"/><Relationship Id="rId67" Type="http://schemas.openxmlformats.org/officeDocument/2006/relationships/hyperlink" Target="http://www.sec.gov/Archives/edgar/data/1800637/000121390025046875/ea0243186-8k_agrify.htm" TargetMode="External"/><Relationship Id="rId68" Type="http://schemas.openxmlformats.org/officeDocument/2006/relationships/hyperlink" Target="http://www.sec.gov/Archives/edgar/data/1800637/000121390025054017/ea0245634-8k_agrify.htm" TargetMode="External"/><Relationship Id="rId69" Type="http://schemas.openxmlformats.org/officeDocument/2006/relationships/hyperlink" Target="http://www.sec.gov/Archives/edgar/data/1800637/000121390025081148/ea0254695-8k_agrify.htm" TargetMode="External"/><Relationship Id="rId70" Type="http://schemas.openxmlformats.org/officeDocument/2006/relationships/hyperlink" Target="http://www.sec.gov/Archives/edgar/data/1800637/000121390021019992/f10k2020ex4-5_agrifycorp.htm" TargetMode="External"/><Relationship Id="rId71" Type="http://schemas.openxmlformats.org/officeDocument/2006/relationships/hyperlink" Target="http://www.sec.gov/Archives/edgar/data/1800637/000121390021019992/f10k2020_agrifycorporation.htm" TargetMode="External"/><Relationship Id="rId86" Type="http://schemas.openxmlformats.org/officeDocument/2006/relationships/hyperlink" Target="http://www.sec.gov/Archives/edgar/data/1800637/000121390024109028/ea022484701ex2-1_agrify.htm" TargetMode="External"/><Relationship Id="rId87" Type="http://schemas.openxmlformats.org/officeDocument/2006/relationships/hyperlink" Target="http://www.sec.gov/Archives/edgar/data/1800637/000121390021001799/fs12020a1ex3-1_agrify.htm" TargetMode="External"/><Relationship Id="rId88" Type="http://schemas.openxmlformats.org/officeDocument/2006/relationships/hyperlink" Target="http://www.sec.gov/Archives/edgar/data/1800637/000121390022039420/ea162872ex3-1_agrify.htm" TargetMode="External"/><Relationship Id="rId89" Type="http://schemas.openxmlformats.org/officeDocument/2006/relationships/hyperlink" Target="http://www.sec.gov/Archives/edgar/data/1800637/000121390022064269/ea167213ex3-1agrifycorp.htm" TargetMode="External"/><Relationship Id="rId90" Type="http://schemas.openxmlformats.org/officeDocument/2006/relationships/hyperlink" Target="http://www.sec.gov/Archives/edgar/data/1800637/000121390023017011/ea174612ex3-1_agrifycorp.htm" TargetMode="External"/><Relationship Id="rId91" Type="http://schemas.openxmlformats.org/officeDocument/2006/relationships/hyperlink" Target="http://www.sec.gov/Archives/edgar/data/1800637/000121390023053790/ea181262ex3-1_agrify.htm" TargetMode="External"/><Relationship Id="rId92" Type="http://schemas.openxmlformats.org/officeDocument/2006/relationships/hyperlink" Target="http://www.sec.gov/Archives/edgar/data/1800637/000121390024006275/ea192155ex3-1_agrify.htm" TargetMode="External"/><Relationship Id="rId93" Type="http://schemas.openxmlformats.org/officeDocument/2006/relationships/hyperlink" Target="http://www.sec.gov/Archives/edgar/data/1800637/000121390024085199/ea021670501ex3-1_agrify.htm" TargetMode="External"/><Relationship Id="rId94" Type="http://schemas.openxmlformats.org/officeDocument/2006/relationships/hyperlink" Target="http://www.sec.gov/Archives/edgar/data/1800637/000121390025081148/ea025469501ex3-1_agrify.htm" TargetMode="External"/><Relationship Id="rId95" Type="http://schemas.openxmlformats.org/officeDocument/2006/relationships/hyperlink" Target="http://www.sec.gov/Archives/edgar/data/1800637/000121390025081148/ea025469501ex3-2_agrify.htm" TargetMode="External"/><Relationship Id="rId96" Type="http://schemas.openxmlformats.org/officeDocument/2006/relationships/hyperlink" Target="http://www.sec.gov/Archives/edgar/data/1800637/000121390021001799/fs12020a1ex3-2_agrify.htm" TargetMode="External"/><Relationship Id="rId97" Type="http://schemas.openxmlformats.org/officeDocument/2006/relationships/hyperlink" Target="http://www.sec.gov/Archives/edgar/data/1800637/000121390025097550/ea026062701ex4-1_rythminc.htm" TargetMode="External"/><Relationship Id="rId98" Type="http://schemas.openxmlformats.org/officeDocument/2006/relationships/hyperlink" Target="http://www.sec.gov/Archives/edgar/data/1800637/000121390025097550/ea026062701ex4-2_rythminc.htm" TargetMode="External"/><Relationship Id="rId100" Type="http://schemas.openxmlformats.org/officeDocument/2006/relationships/hyperlink" Target="http://www.sec.gov/Archives/edgar/data/1800637/000121390025097550/ea026062701ex5-1_rythminc.htm" TargetMode="External"/><Relationship Id="rId101" Type="http://schemas.openxmlformats.org/officeDocument/2006/relationships/hyperlink" Target="http://www.sec.gov/Archives/edgar/data/1800637/000121390025097550/ea026062701ex5-2_rythminc.htm" TargetMode="External"/><Relationship Id="rId102" Type="http://schemas.openxmlformats.org/officeDocument/2006/relationships/hyperlink" Target="http://www.sec.gov/Archives/edgar/data/1800637/000121390025097550/ea0260627-s3_rythminc.htm#pow_016" TargetMode="External"/><Relationship Id="rId103" Type="http://schemas.openxmlformats.org/officeDocument/2006/relationships/hyperlink" Target="http://www.sec.gov/Archives/edgar/data/1800637/000121390025097550/ea026062701ex-fee_rythm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2025-12-12T16:02:13Z</dcterms:created>
  <dcterms:modified xsi:type="dcterms:W3CDTF">2025-12-12T16:02:13Z</dcterms:modified>
</cp:coreProperties>
</file>