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-603250</wp:posOffset>
            </wp:positionV>
            <wp:extent cx="57150" cy="616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640080</wp:posOffset>
            </wp:positionV>
            <wp:extent cx="7049135" cy="8164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164830"/>
                    </a:xfrm>
                    <a:prstGeom prst="rect">
                      <a:avLst/>
                    </a:prstGeom>
                    <a:noFill/>
                  </pic:spPr>
                </pic:pic>
              </a:graphicData>
            </a:graphic>
          </wp:anchor>
        </w:drawing>
      </w:r>
    </w:p>
    <w:p>
      <w:pPr>
        <w:spacing w:after="0" w:line="1021"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4"/>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Chang Raymond Nobu</w:t>
              </w:r>
            </w:hyperlink>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gridSpan w:val="5"/>
          </w:tcPr>
          <w:p>
            <w:pPr>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Agrify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8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7"/>
                <w:szCs w:val="7"/>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82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color w:val="auto"/>
              </w:rPr>
              <w:t>below)</w:t>
            </w: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AGRIFY CORPORATION</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0000FF"/>
              </w:rPr>
              <w:t>11/05/2024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2468 INDUSTRIAL ROW DRIVE</w:t>
            </w: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214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5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8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Pr>
          <w:p>
            <w:pPr>
              <w:spacing w:after="0"/>
              <w:rPr>
                <w:sz w:val="2"/>
                <w:szCs w:val="2"/>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20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filed by One Reporting Person</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TROY</w:t>
            </w:r>
          </w:p>
        </w:tc>
        <w:tc>
          <w:tcPr>
            <w:tcW w:w="18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6"/>
                <w:szCs w:val="16"/>
                <w:color w:val="0000FF"/>
              </w:rPr>
              <w:t>MI</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48084</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60" w:type="dxa"/>
            <w:vAlign w:val="bottom"/>
            <w:gridSpan w:val="8"/>
            <w:vMerge w:val="restart"/>
          </w:tcPr>
          <w:p>
            <w:pPr>
              <w:ind w:left="2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gridSpan w:val="2"/>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82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17"/>
          </w:tcPr>
          <w:p>
            <w:pPr>
              <w:ind w:left="4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6"/>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20"/>
              <w:spacing w:after="0" w:line="124" w:lineRule="exact"/>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80" w:type="dxa"/>
            <w:vAlign w:val="bottom"/>
            <w:gridSpan w:val="6"/>
          </w:tcPr>
          <w:p>
            <w:pPr>
              <w:ind w:left="820"/>
              <w:spacing w:after="0" w:line="124" w:lineRule="exact"/>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(Month/Day/Year)  8)</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(A) or</w:t>
            </w:r>
          </w:p>
        </w:tc>
        <w:tc>
          <w:tcPr>
            <w:tcW w:w="5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RTC3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gridSpan w:val="6"/>
            <w:vMerge w:val="restart"/>
          </w:tcPr>
          <w:p>
            <w:pPr>
              <w:ind w:left="900"/>
              <w:spacing w:after="0"/>
              <w:rPr>
                <w:sz w:val="20"/>
                <w:szCs w:val="20"/>
                <w:color w:val="auto"/>
              </w:rPr>
            </w:pPr>
            <w:r>
              <w:rPr>
                <w:rFonts w:ascii="Times New Roman" w:cs="Times New Roman" w:eastAsia="Times New Roman" w:hAnsi="Times New Roman"/>
                <w:sz w:val="16"/>
                <w:szCs w:val="16"/>
                <w:color w:val="0000FF"/>
              </w:rPr>
              <w:t>11/05/2024</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restart"/>
          </w:tcPr>
          <w:p>
            <w:pPr>
              <w:jc w:val="center"/>
              <w:ind w:right="266"/>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760" w:type="dxa"/>
            <w:vAlign w:val="bottom"/>
            <w:vMerge w:val="restart"/>
          </w:tcPr>
          <w:p>
            <w:pPr>
              <w:jc w:val="center"/>
              <w:ind w:left="18"/>
              <w:spacing w:after="0"/>
              <w:rPr>
                <w:sz w:val="20"/>
                <w:szCs w:val="20"/>
                <w:color w:val="auto"/>
              </w:rPr>
            </w:pPr>
            <w:r>
              <w:rPr>
                <w:rFonts w:ascii="Times New Roman" w:cs="Times New Roman" w:eastAsia="Times New Roman" w:hAnsi="Times New Roman"/>
                <w:sz w:val="16"/>
                <w:szCs w:val="16"/>
                <w:color w:val="0000FF"/>
                <w:w w:val="99"/>
              </w:rPr>
              <w:t>357,410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20" w:type="dxa"/>
            <w:vAlign w:val="bottom"/>
          </w:tcPr>
          <w:p>
            <w:pPr>
              <w:spacing w:after="0"/>
              <w:rPr>
                <w:sz w:val="17"/>
                <w:szCs w:val="17"/>
                <w:color w:val="auto"/>
              </w:rPr>
            </w:pPr>
          </w:p>
        </w:tc>
        <w:tc>
          <w:tcPr>
            <w:tcW w:w="700" w:type="dxa"/>
            <w:vAlign w:val="bottom"/>
            <w:vMerge w:val="restart"/>
          </w:tcPr>
          <w:p>
            <w:pPr>
              <w:jc w:val="center"/>
              <w:ind w:left="400"/>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restart"/>
          </w:tcPr>
          <w:p>
            <w:pPr>
              <w:jc w:val="center"/>
              <w:ind w:right="356"/>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6"/>
            <w:vMerge w:val="continue"/>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Irrevocable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gridSpan w:val="6"/>
            <w:vMerge w:val="restart"/>
          </w:tcPr>
          <w:p>
            <w:pPr>
              <w:ind w:left="900"/>
              <w:spacing w:after="0"/>
              <w:rPr>
                <w:sz w:val="20"/>
                <w:szCs w:val="20"/>
                <w:color w:val="auto"/>
              </w:rPr>
            </w:pPr>
            <w:r>
              <w:rPr>
                <w:rFonts w:ascii="Times New Roman" w:cs="Times New Roman" w:eastAsia="Times New Roman" w:hAnsi="Times New Roman"/>
                <w:sz w:val="16"/>
                <w:szCs w:val="16"/>
                <w:color w:val="0000FF"/>
              </w:rPr>
              <w:t>11/05/2024</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restart"/>
          </w:tcPr>
          <w:p>
            <w:pPr>
              <w:jc w:val="center"/>
              <w:ind w:right="266"/>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760" w:type="dxa"/>
            <w:vAlign w:val="bottom"/>
            <w:vMerge w:val="restart"/>
          </w:tcPr>
          <w:p>
            <w:pPr>
              <w:jc w:val="center"/>
              <w:ind w:left="18"/>
              <w:spacing w:after="0"/>
              <w:rPr>
                <w:sz w:val="20"/>
                <w:szCs w:val="20"/>
                <w:color w:val="auto"/>
              </w:rPr>
            </w:pPr>
            <w:r>
              <w:rPr>
                <w:rFonts w:ascii="Times New Roman" w:cs="Times New Roman" w:eastAsia="Times New Roman" w:hAnsi="Times New Roman"/>
                <w:sz w:val="16"/>
                <w:szCs w:val="16"/>
                <w:color w:val="0000FF"/>
                <w:w w:val="99"/>
              </w:rPr>
              <w:t>105,263</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20" w:type="dxa"/>
            <w:vAlign w:val="bottom"/>
          </w:tcPr>
          <w:p>
            <w:pPr>
              <w:spacing w:after="0"/>
              <w:rPr>
                <w:sz w:val="20"/>
                <w:szCs w:val="20"/>
                <w:color w:val="auto"/>
              </w:rPr>
            </w:pPr>
          </w:p>
        </w:tc>
        <w:tc>
          <w:tcPr>
            <w:tcW w:w="700" w:type="dxa"/>
            <w:vAlign w:val="bottom"/>
            <w:vMerge w:val="restart"/>
          </w:tcPr>
          <w:p>
            <w:pPr>
              <w:jc w:val="center"/>
              <w:ind w:left="400"/>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vMerge w:val="restart"/>
          </w:tcPr>
          <w:p>
            <w:pPr>
              <w:jc w:val="center"/>
              <w:ind w:right="356"/>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Chinwei</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Wang</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6"/>
          </w:tcPr>
          <w:p>
            <w:pPr>
              <w:ind w:left="900"/>
              <w:spacing w:after="0"/>
              <w:rPr>
                <w:sz w:val="20"/>
                <w:szCs w:val="20"/>
                <w:color w:val="auto"/>
              </w:rPr>
            </w:pPr>
            <w:r>
              <w:rPr>
                <w:rFonts w:ascii="Times New Roman" w:cs="Times New Roman" w:eastAsia="Times New Roman" w:hAnsi="Times New Roman"/>
                <w:sz w:val="16"/>
                <w:szCs w:val="16"/>
                <w:color w:val="0000FF"/>
              </w:rPr>
              <w:t>11/05/2024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76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6"/>
                <w:szCs w:val="16"/>
                <w:color w:val="0000FF"/>
                <w:w w:val="99"/>
              </w:rPr>
              <w:t>38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400"/>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6"/>
              <w:spacing w:after="0"/>
              <w:rPr>
                <w:sz w:val="20"/>
                <w:szCs w:val="20"/>
                <w:color w:val="auto"/>
              </w:rPr>
            </w:pPr>
            <w:r>
              <w:rPr>
                <w:rFonts w:ascii="Times New Roman" w:cs="Times New Roman" w:eastAsia="Times New Roman" w:hAnsi="Times New Roman"/>
                <w:sz w:val="16"/>
                <w:szCs w:val="16"/>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NXT3J</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0000FF"/>
                <w:w w:val="99"/>
              </w:rPr>
              <w:t>648</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center"/>
              <w:ind w:right="356"/>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306"/>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20" w:type="dxa"/>
            <w:vAlign w:val="bottom"/>
            <w:gridSpan w:val="16"/>
          </w:tcPr>
          <w:p>
            <w:pPr>
              <w:jc w:val="center"/>
              <w:ind w:righ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15"/>
          </w:tcPr>
          <w:p>
            <w:pPr>
              <w:jc w:val="center"/>
              <w:ind w:left="49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6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w w:val="99"/>
              </w:rPr>
              <w:t>Expiration Date</w:t>
            </w:r>
          </w:p>
        </w:tc>
        <w:tc>
          <w:tcPr>
            <w:tcW w:w="760" w:type="dxa"/>
            <w:vAlign w:val="bottom"/>
          </w:tcPr>
          <w:p>
            <w:pPr>
              <w:spacing w:after="0"/>
              <w:rPr>
                <w:sz w:val="10"/>
                <w:szCs w:val="10"/>
                <w:color w:val="auto"/>
              </w:rPr>
            </w:pPr>
          </w:p>
        </w:tc>
        <w:tc>
          <w:tcPr>
            <w:tcW w:w="11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6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7"/>
              </w:rPr>
              <w:t>Underlying</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7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0"/>
                <w:szCs w:val="10"/>
                <w:color w:val="auto"/>
              </w:rPr>
            </w:pPr>
          </w:p>
        </w:tc>
        <w:tc>
          <w:tcPr>
            <w:tcW w:w="7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Funded</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vMerge w:val="restart"/>
          </w:tcPr>
          <w:p>
            <w:pPr>
              <w:ind w:left="60"/>
              <w:spacing w:after="0" w:line="262"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Warrants</w:t>
            </w: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11/05/2024</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940" w:type="dxa"/>
            <w:vAlign w:val="bottom"/>
            <w:gridSpan w:val="2"/>
            <w:vMerge w:val="restart"/>
          </w:tcPr>
          <w:p>
            <w:pPr>
              <w:jc w:val="center"/>
              <w:ind w:left="222"/>
              <w:spacing w:after="0" w:line="137" w:lineRule="exact"/>
              <w:rPr>
                <w:sz w:val="20"/>
                <w:szCs w:val="20"/>
                <w:color w:val="auto"/>
              </w:rPr>
            </w:pPr>
            <w:r>
              <w:rPr>
                <w:rFonts w:ascii="Times New Roman" w:cs="Times New Roman" w:eastAsia="Times New Roman" w:hAnsi="Times New Roman"/>
                <w:sz w:val="12"/>
                <w:szCs w:val="12"/>
                <w:color w:val="0000FF"/>
              </w:rPr>
              <w:t>5,069,162</w:t>
            </w:r>
          </w:p>
        </w:tc>
        <w:tc>
          <w:tcPr>
            <w:tcW w:w="860" w:type="dxa"/>
            <w:vAlign w:val="bottom"/>
            <w:gridSpan w:val="2"/>
            <w:vMerge w:val="restart"/>
          </w:tcPr>
          <w:p>
            <w:pPr>
              <w:jc w:val="center"/>
              <w:ind w:right="46"/>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ind w:right="18"/>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continue"/>
          </w:tcPr>
          <w:p>
            <w:pPr>
              <w:spacing w:after="0"/>
              <w:rPr>
                <w:sz w:val="6"/>
                <w:szCs w:val="6"/>
                <w:color w:val="auto"/>
              </w:rPr>
            </w:pP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6"/>
                <w:szCs w:val="6"/>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6"/>
                <w:szCs w:val="6"/>
                <w:color w:val="auto"/>
              </w:rPr>
            </w:pPr>
          </w:p>
        </w:tc>
        <w:tc>
          <w:tcPr>
            <w:tcW w:w="6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60" w:type="dxa"/>
            <w:vAlign w:val="bottom"/>
          </w:tcPr>
          <w:p>
            <w:pPr>
              <w:spacing w:after="0"/>
              <w:rPr>
                <w:sz w:val="6"/>
                <w:szCs w:val="6"/>
                <w:color w:val="auto"/>
              </w:rPr>
            </w:pPr>
          </w:p>
        </w:tc>
        <w:tc>
          <w:tcPr>
            <w:tcW w:w="780" w:type="dxa"/>
            <w:vAlign w:val="bottom"/>
            <w:gridSpan w:val="3"/>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1"/>
                <w:szCs w:val="11"/>
                <w:color w:val="0000FF"/>
              </w:rPr>
              <w:t>LLC</w:t>
            </w:r>
            <w:r>
              <w:rPr>
                <w:rFonts w:ascii="Times New Roman" w:cs="Times New Roman" w:eastAsia="Times New Roman" w:hAnsi="Times New Roman"/>
                <w:sz w:val="17"/>
                <w:szCs w:val="17"/>
                <w:color w:val="008000"/>
                <w:vertAlign w:val="superscript"/>
              </w:rPr>
              <w:t>(5)</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By GIC</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Funded</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vMerge w:val="restart"/>
          </w:tcPr>
          <w:p>
            <w:pPr>
              <w:ind w:left="60"/>
              <w:spacing w:after="0" w:line="262"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Warrants</w:t>
            </w: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11/05/2024</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940" w:type="dxa"/>
            <w:vAlign w:val="bottom"/>
            <w:gridSpan w:val="2"/>
            <w:vMerge w:val="restart"/>
          </w:tcPr>
          <w:p>
            <w:pPr>
              <w:jc w:val="center"/>
              <w:ind w:left="222"/>
              <w:spacing w:after="0" w:line="137" w:lineRule="exact"/>
              <w:rPr>
                <w:sz w:val="20"/>
                <w:szCs w:val="20"/>
                <w:color w:val="auto"/>
              </w:rPr>
            </w:pPr>
            <w:r>
              <w:rPr>
                <w:rFonts w:ascii="Times New Roman" w:cs="Times New Roman" w:eastAsia="Times New Roman" w:hAnsi="Times New Roman"/>
                <w:sz w:val="12"/>
                <w:szCs w:val="12"/>
                <w:color w:val="0000FF"/>
              </w:rPr>
              <w:t>1,085,123</w:t>
            </w:r>
          </w:p>
        </w:tc>
        <w:tc>
          <w:tcPr>
            <w:tcW w:w="860" w:type="dxa"/>
            <w:vAlign w:val="bottom"/>
            <w:gridSpan w:val="2"/>
            <w:vMerge w:val="restart"/>
          </w:tcPr>
          <w:p>
            <w:pPr>
              <w:jc w:val="center"/>
              <w:ind w:right="46"/>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ind w:right="18"/>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continue"/>
          </w:tcPr>
          <w:p>
            <w:pPr>
              <w:spacing w:after="0"/>
              <w:rPr>
                <w:sz w:val="6"/>
                <w:szCs w:val="6"/>
                <w:color w:val="auto"/>
              </w:rPr>
            </w:pP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6"/>
                <w:szCs w:val="6"/>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6"/>
                <w:szCs w:val="6"/>
                <w:color w:val="auto"/>
              </w:rPr>
            </w:pPr>
          </w:p>
        </w:tc>
        <w:tc>
          <w:tcPr>
            <w:tcW w:w="6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60" w:type="dxa"/>
            <w:vAlign w:val="bottom"/>
          </w:tcPr>
          <w:p>
            <w:pPr>
              <w:spacing w:after="0"/>
              <w:rPr>
                <w:sz w:val="6"/>
                <w:szCs w:val="6"/>
                <w:color w:val="auto"/>
              </w:rPr>
            </w:pPr>
          </w:p>
        </w:tc>
        <w:tc>
          <w:tcPr>
            <w:tcW w:w="780" w:type="dxa"/>
            <w:vAlign w:val="bottom"/>
            <w:gridSpan w:val="3"/>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Acquisition,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1"/>
                <w:szCs w:val="11"/>
                <w:color w:val="0000FF"/>
              </w:rPr>
              <w:t>LLC</w:t>
            </w:r>
            <w:r>
              <w:rPr>
                <w:rFonts w:ascii="Times New Roman" w:cs="Times New Roman" w:eastAsia="Times New Roman" w:hAnsi="Times New Roman"/>
                <w:sz w:val="17"/>
                <w:szCs w:val="17"/>
                <w:color w:val="008000"/>
                <w:vertAlign w:val="superscript"/>
              </w:rPr>
              <w:t>(6)</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0000FF"/>
              </w:rPr>
              <w:t>By RTC3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Warrants</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vMerge w:val="restart"/>
          </w:tcPr>
          <w:p>
            <w:pPr>
              <w:ind w:left="60"/>
              <w:spacing w:after="0" w:line="27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15,385</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0000FF"/>
              </w:rPr>
              <w:t>2020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9.75</w:t>
            </w:r>
          </w:p>
        </w:tc>
        <w:tc>
          <w:tcPr>
            <w:tcW w:w="10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11/05/2024</w:t>
            </w: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940" w:type="dxa"/>
            <w:vAlign w:val="bottom"/>
            <w:gridSpan w:val="2"/>
          </w:tcPr>
          <w:p>
            <w:pPr>
              <w:jc w:val="center"/>
              <w:ind w:left="222"/>
              <w:spacing w:after="0" w:line="137" w:lineRule="exact"/>
              <w:rPr>
                <w:sz w:val="20"/>
                <w:szCs w:val="20"/>
                <w:color w:val="auto"/>
              </w:rPr>
            </w:pPr>
            <w:r>
              <w:rPr>
                <w:rFonts w:ascii="Times New Roman" w:cs="Times New Roman" w:eastAsia="Times New Roman" w:hAnsi="Times New Roman"/>
                <w:sz w:val="12"/>
                <w:szCs w:val="12"/>
                <w:color w:val="0000FF"/>
              </w:rPr>
              <w:t>15,385</w:t>
            </w:r>
          </w:p>
        </w:tc>
        <w:tc>
          <w:tcPr>
            <w:tcW w:w="860" w:type="dxa"/>
            <w:vAlign w:val="bottom"/>
            <w:gridSpan w:val="2"/>
          </w:tcPr>
          <w:p>
            <w:pPr>
              <w:jc w:val="center"/>
              <w:ind w:right="46"/>
              <w:spacing w:after="0"/>
              <w:rPr>
                <w:sz w:val="20"/>
                <w:szCs w:val="20"/>
                <w:color w:val="auto"/>
              </w:rPr>
            </w:pPr>
            <w:r>
              <w:rPr>
                <w:rFonts w:ascii="Times New Roman" w:cs="Times New Roman" w:eastAsia="Times New Roman" w:hAnsi="Times New Roman"/>
                <w:sz w:val="10"/>
                <w:szCs w:val="10"/>
                <w:color w:val="008000"/>
              </w:rPr>
              <w:t>(8)</w:t>
            </w:r>
          </w:p>
        </w:tc>
        <w:tc>
          <w:tcPr>
            <w:tcW w:w="760" w:type="dxa"/>
            <w:vAlign w:val="bottom"/>
          </w:tcPr>
          <w:p>
            <w:pPr>
              <w:jc w:val="center"/>
              <w:ind w:right="18"/>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tcPr>
          <w:p>
            <w:pPr>
              <w:ind w:left="360"/>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11"/>
                <w:szCs w:val="11"/>
                <w:color w:val="auto"/>
              </w:rPr>
            </w:pPr>
          </w:p>
        </w:tc>
        <w:tc>
          <w:tcPr>
            <w:tcW w:w="600" w:type="dxa"/>
            <w:vAlign w:val="bottom"/>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60" w:type="dxa"/>
            <w:vAlign w:val="bottom"/>
          </w:tcPr>
          <w:p>
            <w:pPr>
              <w:spacing w:after="0"/>
              <w:rPr>
                <w:sz w:val="11"/>
                <w:szCs w:val="11"/>
                <w:color w:val="auto"/>
              </w:rPr>
            </w:pPr>
          </w:p>
        </w:tc>
        <w:tc>
          <w:tcPr>
            <w:tcW w:w="78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2"/>
                <w:szCs w:val="12"/>
                <w:color w:val="0000FF"/>
              </w:rPr>
              <w:t>Irrevocable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2"/>
                <w:szCs w:val="12"/>
                <w:color w:val="0000FF"/>
              </w:rPr>
              <w:t>Family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gridSpan w:val="3"/>
          </w:tcPr>
          <w:p>
            <w:pPr>
              <w:ind w:left="40"/>
              <w:spacing w:after="0" w:line="224" w:lineRule="exact"/>
              <w:rPr>
                <w:sz w:val="20"/>
                <w:szCs w:val="20"/>
                <w:color w:val="auto"/>
              </w:rPr>
            </w:pPr>
            <w:r>
              <w:rPr>
                <w:rFonts w:ascii="Times New Roman" w:cs="Times New Roman" w:eastAsia="Times New Roman" w:hAnsi="Times New Roman"/>
                <w:sz w:val="12"/>
                <w:szCs w:val="12"/>
                <w:color w:val="0000FF"/>
              </w:rPr>
              <w:t>Trust</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0000FF"/>
              </w:rPr>
              <w:t>By RTC3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Warrants</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2"/>
                <w:szCs w:val="12"/>
                <w:color w:val="0000FF"/>
                <w:w w:val="99"/>
              </w:rPr>
              <w:t>09/18/2020</w:t>
            </w:r>
            <w:r>
              <w:rPr>
                <w:rFonts w:ascii="Times New Roman" w:cs="Times New Roman" w:eastAsia="Times New Roman" w:hAnsi="Times New Roman"/>
                <w:sz w:val="20"/>
                <w:szCs w:val="20"/>
                <w:color w:val="008000"/>
                <w:w w:val="99"/>
                <w:vertAlign w:val="superscript"/>
              </w:rPr>
              <w:t>(8)</w:t>
            </w:r>
          </w:p>
        </w:tc>
        <w:tc>
          <w:tcPr>
            <w:tcW w:w="76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0000FF"/>
                <w:w w:val="96"/>
              </w:rPr>
              <w:t>09/18/2025</w:t>
            </w:r>
            <w:r>
              <w:rPr>
                <w:rFonts w:ascii="Times New Roman" w:cs="Times New Roman" w:eastAsia="Times New Roman" w:hAnsi="Times New Roman"/>
                <w:sz w:val="20"/>
                <w:szCs w:val="20"/>
                <w:color w:val="008000"/>
                <w:w w:val="96"/>
                <w:vertAlign w:val="superscript"/>
              </w:rPr>
              <w:t>(8)</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0000FF"/>
              </w:rPr>
              <w:t>2020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0.3</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11/05/2024</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940" w:type="dxa"/>
            <w:vAlign w:val="bottom"/>
            <w:gridSpan w:val="2"/>
            <w:vMerge w:val="restart"/>
          </w:tcPr>
          <w:p>
            <w:pPr>
              <w:jc w:val="center"/>
              <w:ind w:left="222"/>
              <w:spacing w:after="0"/>
              <w:rPr>
                <w:sz w:val="20"/>
                <w:szCs w:val="20"/>
                <w:color w:val="auto"/>
              </w:rPr>
            </w:pPr>
            <w:r>
              <w:rPr>
                <w:rFonts w:ascii="Times New Roman" w:cs="Times New Roman" w:eastAsia="Times New Roman" w:hAnsi="Times New Roman"/>
                <w:sz w:val="12"/>
                <w:szCs w:val="12"/>
                <w:color w:val="0000FF"/>
              </w:rPr>
              <w:t>22</w:t>
            </w:r>
          </w:p>
        </w:tc>
        <w:tc>
          <w:tcPr>
            <w:tcW w:w="8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6"/>
                <w:szCs w:val="6"/>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60" w:type="dxa"/>
            <w:vAlign w:val="bottom"/>
          </w:tcPr>
          <w:p>
            <w:pPr>
              <w:spacing w:after="0"/>
              <w:rPr>
                <w:sz w:val="6"/>
                <w:szCs w:val="6"/>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Irrevocable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3"/>
            <w:vMerge w:val="restart"/>
          </w:tcPr>
          <w:p>
            <w:pPr>
              <w:ind w:left="40"/>
              <w:spacing w:after="0" w:line="124" w:lineRule="exact"/>
              <w:rPr>
                <w:sz w:val="20"/>
                <w:szCs w:val="20"/>
                <w:color w:val="auto"/>
              </w:rPr>
            </w:pPr>
            <w:r>
              <w:rPr>
                <w:rFonts w:ascii="Times New Roman" w:cs="Times New Roman" w:eastAsia="Times New Roman" w:hAnsi="Times New Roman"/>
                <w:sz w:val="12"/>
                <w:szCs w:val="12"/>
                <w:color w:val="0000FF"/>
              </w:rPr>
              <w:t>Family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gridSpan w:val="3"/>
          </w:tcPr>
          <w:p>
            <w:pPr>
              <w:ind w:left="40"/>
              <w:spacing w:after="0" w:line="224" w:lineRule="exact"/>
              <w:rPr>
                <w:sz w:val="20"/>
                <w:szCs w:val="20"/>
                <w:color w:val="auto"/>
              </w:rPr>
            </w:pPr>
            <w:r>
              <w:rPr>
                <w:rFonts w:ascii="Times New Roman" w:cs="Times New Roman" w:eastAsia="Times New Roman" w:hAnsi="Times New Roman"/>
                <w:sz w:val="12"/>
                <w:szCs w:val="12"/>
                <w:color w:val="0000FF"/>
              </w:rPr>
              <w:t>Trust</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0000FF"/>
              </w:rPr>
              <w:t>By RTC3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Warrants</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Times New Roman" w:cs="Times New Roman" w:eastAsia="Times New Roman" w:hAnsi="Times New Roman"/>
                <w:sz w:val="12"/>
                <w:szCs w:val="12"/>
                <w:color w:val="0000FF"/>
                <w:w w:val="93"/>
              </w:rPr>
              <w:t>7.48</w:t>
            </w:r>
            <w:r>
              <w:rPr>
                <w:rFonts w:ascii="Times New Roman" w:cs="Times New Roman" w:eastAsia="Times New Roman" w:hAnsi="Times New Roman"/>
                <w:sz w:val="20"/>
                <w:szCs w:val="20"/>
                <w:color w:val="008000"/>
                <w:w w:val="93"/>
                <w:vertAlign w:val="superscript"/>
              </w:rPr>
              <w:t>(8)</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2"/>
                <w:szCs w:val="12"/>
                <w:color w:val="0000FF"/>
                <w:w w:val="99"/>
              </w:rPr>
              <w:t>07/28/2022</w:t>
            </w:r>
            <w:r>
              <w:rPr>
                <w:rFonts w:ascii="Times New Roman" w:cs="Times New Roman" w:eastAsia="Times New Roman" w:hAnsi="Times New Roman"/>
                <w:sz w:val="20"/>
                <w:szCs w:val="20"/>
                <w:color w:val="008000"/>
                <w:w w:val="99"/>
                <w:vertAlign w:val="superscript"/>
              </w:rPr>
              <w:t>(8)</w:t>
            </w:r>
          </w:p>
        </w:tc>
        <w:tc>
          <w:tcPr>
            <w:tcW w:w="76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0000FF"/>
                <w:w w:val="96"/>
              </w:rPr>
              <w:t>07/28/2027</w:t>
            </w:r>
            <w:r>
              <w:rPr>
                <w:rFonts w:ascii="Times New Roman" w:cs="Times New Roman" w:eastAsia="Times New Roman" w:hAnsi="Times New Roman"/>
                <w:sz w:val="20"/>
                <w:szCs w:val="20"/>
                <w:color w:val="008000"/>
                <w:w w:val="96"/>
                <w:vertAlign w:val="superscript"/>
              </w:rPr>
              <w:t>(8)</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0000FF"/>
              </w:rPr>
              <w:t>2020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6"/>
                <w:szCs w:val="6"/>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11/05/2024</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940" w:type="dxa"/>
            <w:vAlign w:val="bottom"/>
            <w:gridSpan w:val="2"/>
            <w:vMerge w:val="restart"/>
          </w:tcPr>
          <w:p>
            <w:pPr>
              <w:jc w:val="center"/>
              <w:ind w:left="222"/>
              <w:spacing w:after="0"/>
              <w:rPr>
                <w:sz w:val="20"/>
                <w:szCs w:val="20"/>
                <w:color w:val="auto"/>
              </w:rPr>
            </w:pPr>
            <w:r>
              <w:rPr>
                <w:rFonts w:ascii="Times New Roman" w:cs="Times New Roman" w:eastAsia="Times New Roman" w:hAnsi="Times New Roman"/>
                <w:sz w:val="12"/>
                <w:szCs w:val="12"/>
                <w:color w:val="0000FF"/>
              </w:rPr>
              <w:t>10</w:t>
            </w:r>
          </w:p>
        </w:tc>
        <w:tc>
          <w:tcPr>
            <w:tcW w:w="8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6"/>
                <w:szCs w:val="6"/>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60" w:type="dxa"/>
            <w:vAlign w:val="bottom"/>
          </w:tcPr>
          <w:p>
            <w:pPr>
              <w:spacing w:after="0"/>
              <w:rPr>
                <w:sz w:val="6"/>
                <w:szCs w:val="6"/>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Irrevocable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3"/>
            <w:vMerge w:val="restart"/>
          </w:tcPr>
          <w:p>
            <w:pPr>
              <w:ind w:left="40"/>
              <w:spacing w:after="0" w:line="132" w:lineRule="exact"/>
              <w:rPr>
                <w:sz w:val="20"/>
                <w:szCs w:val="20"/>
                <w:color w:val="auto"/>
              </w:rPr>
            </w:pPr>
            <w:r>
              <w:rPr>
                <w:rFonts w:ascii="Times New Roman" w:cs="Times New Roman" w:eastAsia="Times New Roman" w:hAnsi="Times New Roman"/>
                <w:sz w:val="12"/>
                <w:szCs w:val="12"/>
                <w:color w:val="0000FF"/>
              </w:rPr>
              <w:t>Family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bl>
    <w:p>
      <w:pPr>
        <w:ind w:left="10340"/>
        <w:spacing w:after="0"/>
        <w:rPr>
          <w:sz w:val="20"/>
          <w:szCs w:val="20"/>
          <w:color w:val="auto"/>
        </w:rPr>
      </w:pPr>
      <w:r>
        <w:rPr>
          <w:rFonts w:ascii="Times New Roman" w:cs="Times New Roman" w:eastAsia="Times New Roman" w:hAnsi="Times New Roman"/>
          <w:sz w:val="12"/>
          <w:szCs w:val="12"/>
          <w:color w:val="0000FF"/>
        </w:rPr>
        <w:t>Trust</w:t>
      </w:r>
      <w:r>
        <w:rPr>
          <w:rFonts w:ascii="Times New Roman" w:cs="Times New Roman" w:eastAsia="Times New Roman" w:hAnsi="Times New Roman"/>
          <w:sz w:val="20"/>
          <w:szCs w:val="20"/>
          <w:color w:val="008000"/>
          <w:vertAlign w:val="superscript"/>
        </w:rPr>
        <w:t>(7)</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20" w:hanging="4"/>
        <w:spacing w:after="0" w:line="24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5, 2024, each of GIC Acquisition, LLC ("GIC"), RTC3 2020 Irrevocable Family Trust ("RTC3"), Chinwei Wang, the Reporting Person, and CP Acquisitions, LLC ("CP Acquisitions"), an entity affiliated with and controlled by the Reporting Person, Raymond Chang, the former Chairman and Chief Executive Officer of the Issuer and by I-Tseng Jenny Chan, a former member of the Issuer's Board of Directors, entered into a purchase agreement whereby CP Acquisitions sold all of its non-derivative and derivative securities in Issuer to a third party purchaser. In connection with this transaction, the Reporting Person resigned from the board of the Agrify Corporation (the "Issuer") and all officer positions, effective November 5, 2024. Pursuant to this transaction, each of CP Acquisitions, GIC, RTC3, Chinwei Wang, and the Reporting Person sold or otherwise disposed all of its pre-funded warrants and derivative securities in Issuer to a third party purchaser.</w:t>
      </w:r>
    </w:p>
    <w:p>
      <w:pPr>
        <w:sectPr>
          <w:pgSz w:w="11900" w:h="16838" w:orient="portrait"/>
          <w:cols w:equalWidth="0" w:num="1">
            <w:col w:w="11080"/>
          </w:cols>
          <w:pgMar w:left="460" w:top="214" w:right="359" w:bottom="0" w:gutter="0" w:footer="0" w:header="0"/>
          <w:type w:val="continuous"/>
        </w:sectPr>
      </w:pPr>
    </w:p>
    <w:bookmarkStart w:id="1" w:name="page2"/>
    <w:bookmarkEnd w:id="1"/>
    <w:p>
      <w:pPr>
        <w:jc w:val="both"/>
        <w:ind w:left="4" w:right="40" w:hanging="4"/>
        <w:spacing w:after="0" w:line="257"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RTC, of which the reporting person retains the authority to remove the independent trustee.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15"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There was no per share purchase price, and the assets included other consideration aside from the Reporting Person's equity. The total purchase price paid by the buyer to all sellers was $18,280,000.00.</w:t>
      </w:r>
    </w:p>
    <w:p>
      <w:pPr>
        <w:spacing w:after="0" w:line="48" w:lineRule="exact"/>
        <w:rPr>
          <w:rFonts w:ascii="Times New Roman" w:cs="Times New Roman" w:eastAsia="Times New Roman" w:hAnsi="Times New Roman"/>
          <w:sz w:val="12"/>
          <w:szCs w:val="12"/>
          <w:color w:val="008000"/>
        </w:rPr>
      </w:pPr>
    </w:p>
    <w:p>
      <w:pPr>
        <w:ind w:left="4" w:right="20" w:hanging="4"/>
        <w:spacing w:after="0" w:line="24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NXT3J Capital, LLC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w:t>
      </w:r>
    </w:p>
    <w:p>
      <w:pPr>
        <w:ind w:left="164" w:hanging="164"/>
        <w:spacing w:after="0"/>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of the Securities Exchange Act of 1934, as amended, or for any other purpose.</w:t>
      </w:r>
    </w:p>
    <w:p>
      <w:pPr>
        <w:spacing w:after="0" w:line="34" w:lineRule="exact"/>
        <w:rPr>
          <w:rFonts w:ascii="Times New Roman" w:cs="Times New Roman" w:eastAsia="Times New Roman" w:hAnsi="Times New Roman"/>
          <w:sz w:val="12"/>
          <w:szCs w:val="12"/>
          <w:color w:val="008000"/>
        </w:rPr>
      </w:pPr>
    </w:p>
    <w:p>
      <w:pPr>
        <w:ind w:left="4" w:right="20" w:hanging="4"/>
        <w:spacing w:after="0" w:line="249" w:lineRule="auto"/>
        <w:tabs>
          <w:tab w:leader="none" w:pos="128" w:val="left"/>
        </w:tabs>
        <w:numPr>
          <w:ilvl w:val="0"/>
          <w:numId w:val="4"/>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w:t>
      </w:r>
    </w:p>
    <w:p>
      <w:pPr>
        <w:ind w:left="164" w:hanging="164"/>
        <w:spacing w:after="0"/>
        <w:tabs>
          <w:tab w:leader="none" w:pos="164" w:val="left"/>
        </w:tabs>
        <w:numPr>
          <w:ilvl w:val="0"/>
          <w:numId w:val="5"/>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of the Securities Exchange Act of 1934, as amended, or for any other purpose.</w:t>
      </w:r>
    </w:p>
    <w:p>
      <w:pPr>
        <w:spacing w:after="0" w:line="34" w:lineRule="exact"/>
        <w:rPr>
          <w:rFonts w:ascii="Times New Roman" w:cs="Times New Roman" w:eastAsia="Times New Roman" w:hAnsi="Times New Roman"/>
          <w:sz w:val="12"/>
          <w:szCs w:val="12"/>
          <w:color w:val="008000"/>
        </w:rPr>
      </w:pPr>
    </w:p>
    <w:p>
      <w:pPr>
        <w:ind w:left="4" w:right="140" w:hanging="4"/>
        <w:spacing w:after="0" w:line="257" w:lineRule="auto"/>
        <w:tabs>
          <w:tab w:leader="none" w:pos="128" w:val="left"/>
        </w:tabs>
        <w:numPr>
          <w:ilvl w:val="0"/>
          <w:numId w:val="6"/>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GIC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15" w:lineRule="exact"/>
        <w:rPr>
          <w:rFonts w:ascii="Times New Roman" w:cs="Times New Roman" w:eastAsia="Times New Roman" w:hAnsi="Times New Roman"/>
          <w:sz w:val="12"/>
          <w:szCs w:val="12"/>
          <w:color w:val="008000"/>
        </w:rPr>
      </w:pPr>
    </w:p>
    <w:p>
      <w:pPr>
        <w:jc w:val="both"/>
        <w:ind w:left="4" w:hanging="4"/>
        <w:spacing w:after="0" w:line="257" w:lineRule="auto"/>
        <w:tabs>
          <w:tab w:leader="none" w:pos="128" w:val="left"/>
        </w:tabs>
        <w:numPr>
          <w:ilvl w:val="0"/>
          <w:numId w:val="6"/>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RTC3, of which the reporting person retains the authority to remove the independent trustee.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15"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6"/>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warrant will be exercisable during the period beginning on the date when approval for such exercise is obtained from the issuer's stockholders and ending five years thereafter, at an exercise price of $9.75 or</w:t>
      </w:r>
    </w:p>
    <w:p>
      <w:pPr>
        <w:spacing w:after="0" w:line="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008000"/>
        </w:rPr>
        <w:t>$7.48, as applicable, and subject to adjustment as provided under the warrant agreement, and the reverse stock splits of the Issuer's Common Stock effective on October 18, 2022, July 5, 2023, and October 8, 2024.</w:t>
      </w:r>
    </w:p>
    <w:p>
      <w:pPr>
        <w:spacing w:after="0" w:line="49"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Raymond Nobu Chang</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5"/>
              </w:rPr>
              <w:t>11/07/2024</w:t>
            </w:r>
          </w:p>
        </w:tc>
      </w:tr>
      <w:tr>
        <w:trPr>
          <w:trHeight w:val="20"/>
        </w:trPr>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9"/>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2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20" w:hanging="4"/>
        <w:spacing w:after="0" w:line="323" w:lineRule="auto"/>
        <w:tabs>
          <w:tab w:leader="none" w:pos="135"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4"/>
      </w:cols>
      <w:pgMar w:left="496"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16"/>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6"/>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140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2024-11-07T21:04:48Z</dcterms:created>
  <dcterms:modified xsi:type="dcterms:W3CDTF">2024-11-07T21:04:48Z</dcterms:modified>
</cp:coreProperties>
</file>