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June 24, 2021.</w:t>
      </w:r>
    </w:p>
    <w:p>
      <w:pPr>
        <w:spacing w:after="0" w:line="27" w:lineRule="exact"/>
        <w:rPr>
          <w:sz w:val="24"/>
          <w:szCs w:val="24"/>
          <w:color w:val="auto"/>
        </w:rPr>
      </w:pPr>
    </w:p>
    <w:p>
      <w:pPr>
        <w:ind w:left="920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142875</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142875</wp:posOffset>
            </wp:positionV>
            <wp:extent cx="3566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020" w:type="dxa"/>
            <w:vAlign w:val="bottom"/>
            <w:gridSpan w:val="2"/>
          </w:tcPr>
          <w:p>
            <w:pPr>
              <w:jc w:val="center"/>
              <w:ind w:left="1430"/>
              <w:spacing w:after="0"/>
              <w:rPr>
                <w:sz w:val="20"/>
                <w:szCs w:val="20"/>
                <w:color w:val="auto"/>
              </w:rPr>
            </w:pPr>
            <w:r>
              <w:rPr>
                <w:rFonts w:ascii="Arial" w:cs="Arial" w:eastAsia="Arial" w:hAnsi="Arial"/>
                <w:sz w:val="18"/>
                <w:szCs w:val="18"/>
                <w:b w:val="1"/>
                <w:bCs w:val="1"/>
                <w:color w:val="auto"/>
                <w:w w:val="90"/>
              </w:rPr>
              <w:t>Nevada</w:t>
            </w:r>
          </w:p>
        </w:tc>
        <w:tc>
          <w:tcPr>
            <w:tcW w:w="7220" w:type="dxa"/>
            <w:vAlign w:val="bottom"/>
            <w:gridSpan w:val="4"/>
          </w:tcPr>
          <w:p>
            <w:pPr>
              <w:jc w:val="center"/>
              <w:ind w:left="1630"/>
              <w:spacing w:after="0"/>
              <w:rPr>
                <w:sz w:val="20"/>
                <w:szCs w:val="20"/>
                <w:color w:val="auto"/>
              </w:rPr>
            </w:pPr>
            <w:r>
              <w:rPr>
                <w:rFonts w:ascii="Arial" w:cs="Arial" w:eastAsia="Arial" w:hAnsi="Arial"/>
                <w:sz w:val="18"/>
                <w:szCs w:val="18"/>
                <w:b w:val="1"/>
                <w:bCs w:val="1"/>
                <w:color w:val="auto"/>
                <w:w w:val="89"/>
              </w:rPr>
              <w:t>30-0943453</w:t>
            </w:r>
          </w:p>
        </w:tc>
      </w:tr>
      <w:tr>
        <w:trPr>
          <w:trHeight w:val="202"/>
        </w:trPr>
        <w:tc>
          <w:tcPr>
            <w:tcW w:w="4020" w:type="dxa"/>
            <w:vAlign w:val="bottom"/>
            <w:tcBorders>
              <w:top w:val="single" w:sz="8" w:color="auto"/>
            </w:tcBorders>
            <w:gridSpan w:val="2"/>
          </w:tcPr>
          <w:p>
            <w:pPr>
              <w:jc w:val="center"/>
              <w:ind w:left="1410"/>
              <w:spacing w:after="0" w:line="201" w:lineRule="exact"/>
              <w:rPr>
                <w:sz w:val="20"/>
                <w:szCs w:val="20"/>
                <w:color w:val="auto"/>
              </w:rPr>
            </w:pPr>
            <w:r>
              <w:rPr>
                <w:rFonts w:ascii="Arial" w:cs="Arial" w:eastAsia="Arial" w:hAnsi="Arial"/>
                <w:sz w:val="18"/>
                <w:szCs w:val="18"/>
                <w:color w:val="auto"/>
                <w:w w:val="92"/>
              </w:rPr>
              <w:t>(State or other jurisdiction of</w:t>
            </w:r>
          </w:p>
        </w:tc>
        <w:tc>
          <w:tcPr>
            <w:tcW w:w="15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50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020" w:type="dxa"/>
            <w:vAlign w:val="bottom"/>
            <w:gridSpan w:val="2"/>
          </w:tcPr>
          <w:p>
            <w:pPr>
              <w:jc w:val="center"/>
              <w:ind w:left="1410"/>
              <w:spacing w:after="0"/>
              <w:rPr>
                <w:sz w:val="20"/>
                <w:szCs w:val="20"/>
                <w:color w:val="auto"/>
              </w:rPr>
            </w:pPr>
            <w:r>
              <w:rPr>
                <w:rFonts w:ascii="Arial" w:cs="Arial" w:eastAsia="Arial" w:hAnsi="Arial"/>
                <w:sz w:val="18"/>
                <w:szCs w:val="18"/>
                <w:color w:val="auto"/>
                <w:w w:val="92"/>
              </w:rPr>
              <w:t>incorporation or organization)</w:t>
            </w: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gridSpan w:val="2"/>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20" w:type="dxa"/>
            <w:vAlign w:val="bottom"/>
            <w:gridSpan w:val="4"/>
          </w:tcPr>
          <w:p>
            <w:pPr>
              <w:jc w:val="center"/>
              <w:ind w:right="4020"/>
              <w:spacing w:after="0"/>
              <w:rPr>
                <w:sz w:val="20"/>
                <w:szCs w:val="20"/>
                <w:color w:val="auto"/>
              </w:rPr>
            </w:pPr>
            <w:r>
              <w:rPr>
                <w:rFonts w:ascii="Arial" w:cs="Arial" w:eastAsia="Arial" w:hAnsi="Arial"/>
                <w:sz w:val="18"/>
                <w:szCs w:val="18"/>
                <w:b w:val="1"/>
                <w:bCs w:val="1"/>
                <w:color w:val="auto"/>
                <w:w w:val="91"/>
              </w:rPr>
              <w:t>76 Treble Cove Rd.</w:t>
            </w:r>
          </w:p>
        </w:tc>
      </w:tr>
      <w:tr>
        <w:trPr>
          <w:trHeight w:val="216"/>
        </w:trPr>
        <w:tc>
          <w:tcPr>
            <w:tcW w:w="2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20" w:type="dxa"/>
            <w:vAlign w:val="bottom"/>
            <w:gridSpan w:val="4"/>
          </w:tcPr>
          <w:p>
            <w:pPr>
              <w:jc w:val="center"/>
              <w:ind w:right="4020"/>
              <w:spacing w:after="0"/>
              <w:rPr>
                <w:sz w:val="20"/>
                <w:szCs w:val="20"/>
                <w:color w:val="auto"/>
              </w:rPr>
            </w:pPr>
            <w:r>
              <w:rPr>
                <w:rFonts w:ascii="Arial" w:cs="Arial" w:eastAsia="Arial" w:hAnsi="Arial"/>
                <w:sz w:val="18"/>
                <w:szCs w:val="18"/>
                <w:b w:val="1"/>
                <w:bCs w:val="1"/>
                <w:color w:val="auto"/>
                <w:w w:val="91"/>
              </w:rPr>
              <w:t>Building 3</w:t>
            </w:r>
          </w:p>
        </w:tc>
      </w:tr>
      <w:tr>
        <w:trPr>
          <w:trHeight w:val="220"/>
        </w:trPr>
        <w:tc>
          <w:tcPr>
            <w:tcW w:w="28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220" w:type="dxa"/>
            <w:vAlign w:val="bottom"/>
            <w:gridSpan w:val="4"/>
          </w:tcPr>
          <w:p>
            <w:pPr>
              <w:jc w:val="center"/>
              <w:ind w:right="4000"/>
              <w:spacing w:after="0"/>
              <w:rPr>
                <w:sz w:val="20"/>
                <w:szCs w:val="20"/>
                <w:color w:val="auto"/>
              </w:rPr>
            </w:pPr>
            <w:r>
              <w:rPr>
                <w:rFonts w:ascii="Arial" w:cs="Arial" w:eastAsia="Arial" w:hAnsi="Arial"/>
                <w:sz w:val="18"/>
                <w:szCs w:val="18"/>
                <w:b w:val="1"/>
                <w:bCs w:val="1"/>
                <w:color w:val="auto"/>
                <w:w w:val="94"/>
              </w:rPr>
              <w:t>Billerica, MA 01862</w:t>
            </w:r>
          </w:p>
        </w:tc>
      </w:tr>
      <w:tr>
        <w:trPr>
          <w:trHeight w:val="230"/>
        </w:trPr>
        <w:tc>
          <w:tcPr>
            <w:tcW w:w="28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220" w:type="dxa"/>
            <w:vAlign w:val="bottom"/>
            <w:gridSpan w:val="4"/>
          </w:tcPr>
          <w:p>
            <w:pPr>
              <w:jc w:val="center"/>
              <w:ind w:right="4000"/>
              <w:spacing w:after="0"/>
              <w:rPr>
                <w:sz w:val="20"/>
                <w:szCs w:val="20"/>
                <w:color w:val="auto"/>
              </w:rPr>
            </w:pPr>
            <w:r>
              <w:rPr>
                <w:rFonts w:ascii="Arial" w:cs="Arial" w:eastAsia="Arial" w:hAnsi="Arial"/>
                <w:sz w:val="18"/>
                <w:szCs w:val="18"/>
                <w:color w:val="auto"/>
                <w:w w:val="92"/>
              </w:rPr>
              <w:t>(Address of principal executive offices)</w:t>
            </w:r>
          </w:p>
        </w:tc>
      </w:tr>
      <w:tr>
        <w:trPr>
          <w:trHeight w:val="223"/>
        </w:trPr>
        <w:tc>
          <w:tcPr>
            <w:tcW w:w="282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4420" w:type="dxa"/>
            <w:vAlign w:val="bottom"/>
            <w:tcBorders>
              <w:bottom w:val="single" w:sz="8" w:color="auto"/>
            </w:tcBorders>
            <w:gridSpan w:val="3"/>
          </w:tcPr>
          <w:p>
            <w:pPr>
              <w:spacing w:after="0"/>
              <w:rPr>
                <w:sz w:val="19"/>
                <w:szCs w:val="19"/>
                <w:color w:val="auto"/>
              </w:rPr>
            </w:pPr>
          </w:p>
        </w:tc>
        <w:tc>
          <w:tcPr>
            <w:tcW w:w="2800" w:type="dxa"/>
            <w:vAlign w:val="bottom"/>
          </w:tcPr>
          <w:p>
            <w:pPr>
              <w:spacing w:after="0"/>
              <w:rPr>
                <w:sz w:val="19"/>
                <w:szCs w:val="19"/>
                <w:color w:val="auto"/>
              </w:rPr>
            </w:pPr>
          </w:p>
        </w:tc>
      </w:tr>
      <w:tr>
        <w:trPr>
          <w:trHeight w:val="431"/>
        </w:trPr>
        <w:tc>
          <w:tcPr>
            <w:tcW w:w="2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220" w:type="dxa"/>
            <w:vAlign w:val="bottom"/>
            <w:gridSpan w:val="4"/>
          </w:tcPr>
          <w:p>
            <w:pPr>
              <w:jc w:val="center"/>
              <w:ind w:right="4020"/>
              <w:spacing w:after="0"/>
              <w:rPr>
                <w:sz w:val="20"/>
                <w:szCs w:val="20"/>
                <w:color w:val="auto"/>
              </w:rPr>
            </w:pPr>
            <w:r>
              <w:rPr>
                <w:rFonts w:ascii="Arial" w:cs="Arial" w:eastAsia="Arial" w:hAnsi="Arial"/>
                <w:sz w:val="18"/>
                <w:szCs w:val="18"/>
                <w:b w:val="1"/>
                <w:bCs w:val="1"/>
                <w:color w:val="auto"/>
                <w:w w:val="91"/>
              </w:rPr>
              <w:t>2020 Omnibus Equity Incentive Plan</w:t>
            </w:r>
          </w:p>
        </w:tc>
      </w:tr>
      <w:tr>
        <w:trPr>
          <w:trHeight w:val="230"/>
        </w:trPr>
        <w:tc>
          <w:tcPr>
            <w:tcW w:w="28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220" w:type="dxa"/>
            <w:vAlign w:val="bottom"/>
            <w:gridSpan w:val="4"/>
          </w:tcPr>
          <w:p>
            <w:pPr>
              <w:jc w:val="center"/>
              <w:ind w:right="4020"/>
              <w:spacing w:after="0"/>
              <w:rPr>
                <w:sz w:val="20"/>
                <w:szCs w:val="20"/>
                <w:color w:val="auto"/>
              </w:rPr>
            </w:pPr>
            <w:r>
              <w:rPr>
                <w:rFonts w:ascii="Arial" w:cs="Arial" w:eastAsia="Arial" w:hAnsi="Arial"/>
                <w:sz w:val="18"/>
                <w:szCs w:val="18"/>
                <w:color w:val="auto"/>
                <w:w w:val="94"/>
              </w:rPr>
              <w:t>(Full title of the Plan(s))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137160</wp:posOffset>
            </wp:positionV>
            <wp:extent cx="3566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Raymond Chang, Chief Executive Officer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76 Treble Cove Rd.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Building 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Billerica, MA 01862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896-5243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142875</wp:posOffset>
            </wp:positionV>
            <wp:extent cx="3566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Copy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Mitchell S. Nussbaum,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David J. Levine,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Loeb &amp; Loeb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345 Park Avenue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10154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(212) 407-4000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142875</wp:posOffset>
            </wp:positionV>
            <wp:extent cx="3566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8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240"/>
              <w:spacing w:after="0"/>
              <w:rPr>
                <w:sz w:val="20"/>
                <w:szCs w:val="20"/>
                <w:color w:val="auto"/>
              </w:rPr>
            </w:pPr>
            <w:r>
              <w:rPr>
                <w:rFonts w:ascii="Arial" w:cs="Arial" w:eastAsia="Arial" w:hAnsi="Arial"/>
                <w:sz w:val="18"/>
                <w:szCs w:val="18"/>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Non-accelerated filer</w:t>
            </w:r>
          </w:p>
        </w:tc>
        <w:tc>
          <w:tcPr>
            <w:tcW w:w="208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240"/>
              <w:spacing w:after="0"/>
              <w:rPr>
                <w:sz w:val="20"/>
                <w:szCs w:val="20"/>
                <w:color w:val="auto"/>
              </w:rPr>
            </w:pPr>
            <w:r>
              <w:rPr>
                <w:rFonts w:ascii="Arial" w:cs="Arial" w:eastAsia="Arial" w:hAnsi="Arial"/>
                <w:sz w:val="18"/>
                <w:szCs w:val="18"/>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20" w:type="dxa"/>
            <w:vAlign w:val="bottom"/>
          </w:tcPr>
          <w:p>
            <w:pPr>
              <w:ind w:left="1240"/>
              <w:spacing w:after="0"/>
              <w:rPr>
                <w:sz w:val="20"/>
                <w:szCs w:val="20"/>
                <w:color w:val="auto"/>
              </w:rPr>
            </w:pPr>
            <w:r>
              <w:rPr>
                <w:rFonts w:ascii="Arial" w:cs="Arial" w:eastAsia="Arial" w:hAnsi="Arial"/>
                <w:sz w:val="18"/>
                <w:szCs w:val="18"/>
                <w:color w:val="auto"/>
              </w:rPr>
              <w:t>Emerging growth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3860" w:type="dxa"/>
            <w:vAlign w:val="bottom"/>
            <w:gridSpan w:val="4"/>
          </w:tcPr>
          <w:p>
            <w:pPr>
              <w:jc w:val="right"/>
              <w:spacing w:after="0"/>
              <w:rPr>
                <w:sz w:val="20"/>
                <w:szCs w:val="20"/>
                <w:color w:val="auto"/>
              </w:rPr>
            </w:pPr>
            <w:r>
              <w:rPr>
                <w:rFonts w:ascii="Arial" w:cs="Arial" w:eastAsia="Arial" w:hAnsi="Arial"/>
                <w:sz w:val="18"/>
                <w:szCs w:val="18"/>
                <w:b w:val="1"/>
                <w:bCs w:val="1"/>
                <w:color w:val="auto"/>
              </w:rPr>
              <w:t>CALCULATION OF REGISTRATION FEE</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5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Proposed</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5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Proposed</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maximum</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30"/>
              <w:spacing w:after="0"/>
              <w:rPr>
                <w:sz w:val="20"/>
                <w:szCs w:val="20"/>
                <w:color w:val="auto"/>
              </w:rPr>
            </w:pPr>
            <w:r>
              <w:rPr>
                <w:rFonts w:ascii="Arial" w:cs="Arial" w:eastAsia="Arial" w:hAnsi="Arial"/>
                <w:sz w:val="18"/>
                <w:szCs w:val="18"/>
                <w:b w:val="1"/>
                <w:bCs w:val="1"/>
                <w:color w:val="auto"/>
                <w:w w:val="93"/>
              </w:rPr>
              <w:t>Amount to</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maximum</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aggregate</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Amount of</w:t>
            </w:r>
          </w:p>
        </w:tc>
      </w:tr>
      <w:tr>
        <w:trPr>
          <w:trHeight w:val="216"/>
        </w:trPr>
        <w:tc>
          <w:tcPr>
            <w:tcW w:w="35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210"/>
              <w:spacing w:after="0"/>
              <w:rPr>
                <w:sz w:val="20"/>
                <w:szCs w:val="20"/>
                <w:color w:val="auto"/>
              </w:rPr>
            </w:pPr>
            <w:r>
              <w:rPr>
                <w:rFonts w:ascii="Arial" w:cs="Arial" w:eastAsia="Arial" w:hAnsi="Arial"/>
                <w:sz w:val="18"/>
                <w:szCs w:val="18"/>
                <w:b w:val="1"/>
                <w:bCs w:val="1"/>
                <w:color w:val="auto"/>
                <w:w w:val="85"/>
              </w:rPr>
              <w:t>be</w:t>
            </w:r>
          </w:p>
        </w:tc>
        <w:tc>
          <w:tcPr>
            <w:tcW w:w="13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offering price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offering</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registration</w:t>
            </w:r>
          </w:p>
        </w:tc>
      </w:tr>
      <w:tr>
        <w:trPr>
          <w:trHeight w:val="241"/>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 of securities to be registered</w:t>
            </w:r>
          </w:p>
        </w:tc>
        <w:tc>
          <w:tcPr>
            <w:tcW w:w="23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registered (1)</w:t>
            </w:r>
          </w:p>
        </w:tc>
        <w:tc>
          <w:tcPr>
            <w:tcW w:w="3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per share (2)</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price (2)</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4"/>
              </w:rPr>
              <w:t>fee</w:t>
            </w:r>
          </w:p>
        </w:tc>
        <w:tc>
          <w:tcPr>
            <w:tcW w:w="100" w:type="dxa"/>
            <w:vAlign w:val="bottom"/>
            <w:tcBorders>
              <w:bottom w:val="single" w:sz="8" w:color="CCEEFF"/>
            </w:tcBorders>
          </w:tcPr>
          <w:p>
            <w:pPr>
              <w:spacing w:after="0"/>
              <w:rPr>
                <w:sz w:val="20"/>
                <w:szCs w:val="20"/>
                <w:color w:val="auto"/>
              </w:rPr>
            </w:pPr>
          </w:p>
        </w:tc>
      </w:tr>
      <w:tr>
        <w:trPr>
          <w:trHeight w:val="263"/>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Common Stock, par value $0.001 per share</w:t>
            </w:r>
          </w:p>
        </w:tc>
        <w:tc>
          <w:tcPr>
            <w:tcW w:w="2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4,533,732</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1"/>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10.30</w:t>
            </w:r>
          </w:p>
        </w:tc>
        <w:tc>
          <w:tcPr>
            <w:tcW w:w="13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   46,697,440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5,095</w:t>
            </w:r>
          </w:p>
        </w:tc>
      </w:tr>
      <w:tr>
        <w:trPr>
          <w:trHeight w:val="21"/>
        </w:trPr>
        <w:tc>
          <w:tcPr>
            <w:tcW w:w="352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63"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under the Securities Act of 1933, as amended (the “Securities Act”), this registration statement includes an indeterminate number of additional shares which may be offered and issued to prevent dilution resulting from stock splits, stock dividends or similar transactions as provided in the above-referenced plan.</w:t>
      </w:r>
    </w:p>
    <w:p>
      <w:pPr>
        <w:spacing w:after="0" w:line="183"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457(c) and Rule 457(h) under the Securities Act, the proposed maximum offering price per share and the proposed maximum aggregate offering price have been determined on the basis of the average of the high and low sales prices of the registrant’s common stock reported on Nasdaq on June 21, 2021.</w:t>
      </w:r>
    </w:p>
    <w:p>
      <w:pPr>
        <w:spacing w:after="0" w:line="183" w:lineRule="exact"/>
        <w:rPr>
          <w:rFonts w:ascii="Arial" w:cs="Arial" w:eastAsia="Arial" w:hAnsi="Arial"/>
          <w:sz w:val="18"/>
          <w:szCs w:val="18"/>
          <w:color w:val="auto"/>
        </w:rPr>
      </w:pPr>
    </w:p>
    <w:p>
      <w:pPr>
        <w:jc w:val="both"/>
        <w:ind w:left="340" w:hanging="332"/>
        <w:spacing w:after="0" w:line="291"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Shares of common stock reserved for issuance under the 2020 Omnibus Equity Incentive Plan (the “2020 Plan”) consists of (a) 1,580,474 shares of common stock reserved for issuance under the 2020 Plan and (b) 2,953,258 shares of common stock previously reserved but not issued or subject to outstanding awards under the registrant’s 2019 Stock Plan (the “2019 Plan”) that are now available for issuance under the 2020 Plan. In addition, any shares of common stock that (i) are subject to awards under the 2019 Plan that cease to be subject to such awards by forfeiture or otherwise, (ii) were or are issued under the 2019 Plan pursuant to the exercise of stock options that are forfeited, (iii) were or are issued under the 2019 Plan that are repurchased at the original issue price, and (iv) are subject to stock options or other awards under the 2019 Plan that are used to pay the exercise price of a stock option or withheld to satisfy tax withholding obligations, will be available for future grant and issuance under the 2020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documents containing the information specified in this Part I will be sent or given to participants as specified by Rule 428(b)(1) under the Securities Act of 1933, as amended (the “Securities Act”). In accordance with the rules and regulations of the Securities and Exchange Commission (the “Commission”) and the instructions to Form S-8, such documents are not being filed with the Commission either as part of this Registration Statement or as prospectuses or prospectus supplements pursuant to Rule 424 of the Securities Act. Such documents and the documents incorporated by reference in this Registration Statement pursuant to Item 3 of Part II hereof, taken together, constitute a prospectus that meets the requirements of Section 10(a) of the Securities Act.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rules of the Commission allow us to incorporate by reference into this Registration Statement the information we file with them, which means that we can disclose important information to you by referring you to those documents. The information incorporated by reference is considered to be part of this Registration Statement, and information that we file later with the Commission will automatically update and supersede this information. This Registration Statement incorporates by reference the documents listed below (other than portions of these documents that are deemed furnished under applicable Commission rules rather than filed and exhibits furnished in connection with such items):</w:t>
      </w:r>
    </w:p>
    <w:p>
      <w:pPr>
        <w:spacing w:after="0" w:line="176"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2020, filed with the Commission on April 2, 2021;</w:t>
      </w:r>
    </w:p>
    <w:p>
      <w:pPr>
        <w:spacing w:after="0" w:line="225"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All other reports filed by us pursuant to Section 13(a) or 15(d) of the Securities Exchange Act of 1934, as amended (the “Exchange Act”), since the end of the fiscal year covered by the Annual Report referred to in (a) above, except for any information furnished under Item 2.02 or Item 7.01 in any current report on Form 8-K, which is not deemed to be filed and not incorporated by reference herein; and</w:t>
      </w:r>
    </w:p>
    <w:p>
      <w:pPr>
        <w:spacing w:after="0" w:line="165"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our Common Stock contained Exhibit 4.5 filed with the Annual Report referred to in (a) above, including any amendment or report filed for the purpose of updating such description.</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All reports and other documents subsequently filed by us pursuant to Sections 13(a), 13(c), 14 and 15(d) of the Exchange Act, prior to the filing of a post-effective amendment to this Registration Statement which indicates that all securities offered hereby have been sold or which deregisters all securities remaining unsold, shall be deemed to be incorporated by reference in this Registration Statement and to be a part hereof from the date of filing of such reports and other documents; </w:t>
      </w:r>
      <w:r>
        <w:rPr>
          <w:rFonts w:ascii="Arial" w:cs="Arial" w:eastAsia="Arial" w:hAnsi="Arial"/>
          <w:sz w:val="17"/>
          <w:szCs w:val="17"/>
          <w:i w:val="1"/>
          <w:iCs w:val="1"/>
          <w:color w:val="auto"/>
        </w:rPr>
        <w:t>provided, however</w:t>
      </w:r>
      <w:r>
        <w:rPr>
          <w:rFonts w:ascii="Arial" w:cs="Arial" w:eastAsia="Arial" w:hAnsi="Arial"/>
          <w:sz w:val="17"/>
          <w:szCs w:val="17"/>
          <w:color w:val="auto"/>
        </w:rPr>
        <w:t>, that documents or information deemed to have been furnished and not filed in accordance with Commission rules shall not be deemed incorporated by reference into this Registration Statement.</w:t>
      </w:r>
    </w:p>
    <w:p>
      <w:pPr>
        <w:spacing w:after="0" w:line="17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the purposes of this Registration Statement, 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6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officers and directors are indemnified as provided by the Nevada Revised Statutes (“NRS”) and our articles of incorporation and bylaws.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both"/>
        <w:ind w:firstLine="648"/>
        <w:spacing w:after="0" w:line="254" w:lineRule="auto"/>
        <w:rPr>
          <w:sz w:val="20"/>
          <w:szCs w:val="20"/>
          <w:color w:val="auto"/>
        </w:rPr>
      </w:pPr>
      <w:r>
        <w:rPr>
          <w:rFonts w:ascii="Arial" w:cs="Arial" w:eastAsia="Arial" w:hAnsi="Arial"/>
          <w:sz w:val="18"/>
          <w:szCs w:val="18"/>
          <w:color w:val="auto"/>
        </w:rPr>
        <w:t>Under the NRS, officer and director immunity from liability to a company or its stockholders for monetary liabilities applies automatically unless it is specifically limited by a company’s articles of incorporation. The NRS provides that an officer or director will not be liable for acts or omissions unless it is proven that the officer’s or director’s acts or omissions constitute a breach of fiduciary duties and such breach involved intentional misconduct, fraud, or a knowing violation of law. Our articles of incorporation provide that no director shall be liable to the Company or its stockholders for monetary damages for breach of fiduciary duty as a director; provided that the director’s liability shall not be eliminated or limited for (i) breach of any duty of loyalty to the Company or its stockholders, (ii) acts or omissions not in good faith or that involve intentional misconduct or a knowing violation of law, (iii) any transaction from which the director derived an improper personal benefit, or (iv) an act or omission occurring before the person was a director of the Company.</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articles of incorporation and bylaws provide that we will indemnify our directors, officers, employees, and agents to the fullest extent permitted by the NRS. Our bylaws also provide that we may purchase and maintain liability insurance, or make other arrangements for such obligations or otherwise, to the extent permitted by the NRS.</w:t>
      </w:r>
    </w:p>
    <w:p>
      <w:pPr>
        <w:spacing w:after="0" w:line="1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NRS permits us to indemnify any person who was or is a party or is threatened to be made a party to any threatened, pending, or contemplated action, suit, or proceeding, whether civil, criminal, administrative, or investigative, including an action by or on behalf of the Company, by reason of the fact that such person is or was a director, officer, employee, or agent of the Company, or is or was servicing at the request of the Company as a director, officer, employee, or agent of another entity, against expenses, including attorneys’ fees actually and reasonably incurred by such person in connection with the defense or settlement of such action, suit, or proceeding if such person has exercised his powers in good faith and with a view to the interests of the Company; or acted in good faith and in a manner that such person reasonably believed to be in or not opposed to the best interest of the Company, and with respect to any criminal action or proceeding, had no reasonable cause to believe such conduct was unlawful.</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Indemnification under the NRS may not be made for any claim, issue, or matter as to which such person has been adjudged by a court of competent jurisdiction, after exhaustion of all appeals therefrom, to be liable to the Company or for amounts paid in settlement to the Company, unless and only to the extent that the court in which the action or suit was brought or other court of competent jurisdiction determines that, in view of all the circumstances of the case, the person is fairly and reasonably entitled to indemnity for such expenses as the court deems proper.</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NRS also provides that to the extent that a director, officer, employee, or agent of the Company has been successful on the merits or otherwise in defense of any action, suit, or proceeding for which the Company is permitted to provide indemnification, or in defense of any claim, issue, or matter therein, the Company is required to indemnify such person against expenses, including attorneys’ fees, actually and reasonably incurred in connection with the defense.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bylaws and the NRS require the Company to advance expenses of an officer or director as incurred in defending a civil or criminal action, suit, or proceeding upon receipt of an undertaking from the officer or director to repay the amounts advanced if it is ultimately determined by a court of competent jurisdiction that the officer or director is not entitled to such indemnification.</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have also entered, and intend to continue to enter, into separate indemnification agreements with our directors and executive officers, in addition to the indemnification provided for in our amended and restated bylaws. These agreements, among other things, require us to indemnify our directors and executive officers for certain expenses, including attorneys’ fees, judgments, penalties, fines and settlement amounts incurred by a director or executive officer in any action or proceeding arising out of their services as one of our directors or executive officers or as a director or executive officer of any other company or enterprise to which the person provides services at our request.</w:t>
      </w:r>
    </w:p>
    <w:p>
      <w:pPr>
        <w:spacing w:after="0" w:line="17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 w:name="page6"/>
    <w:bookmarkEnd w:id="5"/>
    <w:p>
      <w:pPr>
        <w:spacing w:after="0"/>
        <w:tabs>
          <w:tab w:leader="none" w:pos="7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4.1</w:t>
            </w:r>
          </w:p>
        </w:tc>
        <w:tc>
          <w:tcPr>
            <w:tcW w:w="580" w:type="dxa"/>
            <w:vAlign w:val="bottom"/>
            <w:tcBorders>
              <w:bottom w:val="single" w:sz="8" w:color="CCEEFF"/>
            </w:tcBorders>
            <w:shd w:val="clear" w:color="auto" w:fill="CCEEFF"/>
          </w:tcPr>
          <w:p>
            <w:pPr>
              <w:spacing w:after="0"/>
              <w:rPr>
                <w:sz w:val="17"/>
                <w:szCs w:val="17"/>
                <w:color w:val="auto"/>
              </w:rPr>
            </w:pPr>
          </w:p>
        </w:tc>
        <w:tc>
          <w:tcPr>
            <w:tcW w:w="10000" w:type="dxa"/>
            <w:vAlign w:val="bottom"/>
            <w:tcBorders>
              <w:bottom w:val="single" w:sz="8" w:color="0000EE"/>
            </w:tcBorders>
            <w:gridSpan w:val="9"/>
            <w:shd w:val="clear" w:color="auto" w:fill="CCEEFF"/>
          </w:tcPr>
          <w:p>
            <w:pPr>
              <w:ind w:left="20"/>
              <w:spacing w:after="0"/>
              <w:rPr>
                <w:rFonts w:ascii="Arial" w:cs="Arial" w:eastAsia="Arial" w:hAnsi="Arial"/>
                <w:sz w:val="18"/>
                <w:szCs w:val="18"/>
                <w:color w:val="0000EE"/>
                <w:w w:val="92"/>
              </w:rPr>
            </w:pPr>
            <w:hyperlink r:id="rId23">
              <w:r>
                <w:rPr>
                  <w:rFonts w:ascii="Arial" w:cs="Arial" w:eastAsia="Arial" w:hAnsi="Arial"/>
                  <w:sz w:val="18"/>
                  <w:szCs w:val="18"/>
                  <w:color w:val="0000EE"/>
                  <w:w w:val="92"/>
                </w:rPr>
                <w:t>Articles of Incorporation of the Registrant, as amended (incorporated by reference to Exhibit 3.1 to the Registrant’s Amendment No. 1 to</w:t>
              </w:r>
            </w:hyperlink>
          </w:p>
        </w:tc>
      </w:tr>
      <w:tr>
        <w:trPr>
          <w:trHeight w:val="216"/>
        </w:trPr>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0" w:type="dxa"/>
            <w:vAlign w:val="bottom"/>
            <w:gridSpan w:val="9"/>
            <w:shd w:val="clear" w:color="auto" w:fill="CCEEFF"/>
          </w:tcPr>
          <w:p>
            <w:pPr>
              <w:ind w:left="20"/>
              <w:spacing w:after="0" w:line="196" w:lineRule="exact"/>
              <w:rPr>
                <w:rFonts w:ascii="Arial" w:cs="Arial" w:eastAsia="Arial" w:hAnsi="Arial"/>
                <w:sz w:val="18"/>
                <w:szCs w:val="18"/>
                <w:color w:val="0000EE"/>
              </w:rPr>
            </w:pPr>
            <w:hyperlink r:id="rId23">
              <w:r>
                <w:rPr>
                  <w:rFonts w:ascii="Arial" w:cs="Arial" w:eastAsia="Arial" w:hAnsi="Arial"/>
                  <w:sz w:val="18"/>
                  <w:szCs w:val="18"/>
                  <w:color w:val="0000EE"/>
                </w:rPr>
                <w:t>Registration Statement on Form S-1 filed with the Securities and Exchange Commission on January 13, 2021)</w:t>
              </w:r>
            </w:hyperlink>
          </w:p>
        </w:tc>
      </w:tr>
      <w:tr>
        <w:trPr>
          <w:trHeight w:val="216"/>
        </w:trPr>
        <w:tc>
          <w:tcPr>
            <w:tcW w:w="6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8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460" w:type="dxa"/>
            <w:vAlign w:val="bottom"/>
            <w:tcBorders>
              <w:top w:val="single" w:sz="8" w:color="0000EE"/>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6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4.2</w:t>
            </w:r>
          </w:p>
        </w:tc>
        <w:tc>
          <w:tcPr>
            <w:tcW w:w="58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9"/>
            <w:shd w:val="clear" w:color="auto" w:fill="CCEEFF"/>
          </w:tcPr>
          <w:p>
            <w:pPr>
              <w:ind w:left="20"/>
              <w:spacing w:after="0" w:line="176" w:lineRule="exact"/>
              <w:rPr>
                <w:rFonts w:ascii="Arial" w:cs="Arial" w:eastAsia="Arial" w:hAnsi="Arial"/>
                <w:sz w:val="18"/>
                <w:szCs w:val="18"/>
                <w:color w:val="0000EE"/>
                <w:w w:val="92"/>
              </w:rPr>
            </w:pPr>
            <w:hyperlink r:id="rId24">
              <w:r>
                <w:rPr>
                  <w:rFonts w:ascii="Arial" w:cs="Arial" w:eastAsia="Arial" w:hAnsi="Arial"/>
                  <w:sz w:val="18"/>
                  <w:szCs w:val="18"/>
                  <w:color w:val="0000EE"/>
                  <w:w w:val="92"/>
                </w:rPr>
                <w:t>Third Amended and Restated Certificate of Designations of the Series A Convertible Preferred Stock of the Registrant (incorporated by</w:t>
              </w:r>
            </w:hyperlink>
          </w:p>
        </w:tc>
      </w:tr>
      <w:tr>
        <w:trPr>
          <w:trHeight w:val="196"/>
        </w:trPr>
        <w:tc>
          <w:tcPr>
            <w:tcW w:w="6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00" w:type="dxa"/>
            <w:vAlign w:val="bottom"/>
            <w:tcBorders>
              <w:bottom w:val="single" w:sz="8" w:color="0000EE"/>
            </w:tcBorders>
            <w:gridSpan w:val="9"/>
            <w:shd w:val="clear" w:color="auto" w:fill="CCEEFF"/>
          </w:tcPr>
          <w:p>
            <w:pPr>
              <w:ind w:left="20"/>
              <w:spacing w:after="0" w:line="196" w:lineRule="exact"/>
              <w:rPr>
                <w:rFonts w:ascii="Arial" w:cs="Arial" w:eastAsia="Arial" w:hAnsi="Arial"/>
                <w:sz w:val="18"/>
                <w:szCs w:val="18"/>
                <w:color w:val="0000EE"/>
                <w:w w:val="97"/>
              </w:rPr>
            </w:pPr>
            <w:hyperlink r:id="rId24">
              <w:r>
                <w:rPr>
                  <w:rFonts w:ascii="Arial" w:cs="Arial" w:eastAsia="Arial" w:hAnsi="Arial"/>
                  <w:sz w:val="18"/>
                  <w:szCs w:val="18"/>
                  <w:color w:val="0000EE"/>
                  <w:w w:val="97"/>
                </w:rPr>
                <w:t>reference to Exhibit 3.2 to the Registrant’s Amendment No. 1 to Registration Statement on Form S-1 filed with the Securities and</w:t>
              </w:r>
            </w:hyperlink>
          </w:p>
        </w:tc>
      </w:tr>
      <w:tr>
        <w:trPr>
          <w:trHeight w:val="217"/>
        </w:trPr>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0" w:type="dxa"/>
            <w:vAlign w:val="bottom"/>
            <w:gridSpan w:val="9"/>
            <w:shd w:val="clear" w:color="auto" w:fill="CCEEFF"/>
          </w:tcPr>
          <w:p>
            <w:pPr>
              <w:ind w:left="20"/>
              <w:spacing w:after="0" w:line="196" w:lineRule="exact"/>
              <w:rPr>
                <w:rFonts w:ascii="Arial" w:cs="Arial" w:eastAsia="Arial" w:hAnsi="Arial"/>
                <w:sz w:val="18"/>
                <w:szCs w:val="18"/>
                <w:color w:val="0000EE"/>
              </w:rPr>
            </w:pPr>
            <w:hyperlink r:id="rId24">
              <w:r>
                <w:rPr>
                  <w:rFonts w:ascii="Arial" w:cs="Arial" w:eastAsia="Arial" w:hAnsi="Arial"/>
                  <w:sz w:val="18"/>
                  <w:szCs w:val="18"/>
                  <w:color w:val="0000EE"/>
                </w:rPr>
                <w:t>Exchange Commission on January 13, 2021)</w:t>
              </w:r>
            </w:hyperlink>
          </w:p>
        </w:tc>
      </w:tr>
      <w:tr>
        <w:trPr>
          <w:trHeight w:val="216"/>
        </w:trPr>
        <w:tc>
          <w:tcPr>
            <w:tcW w:w="6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8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6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4.3</w:t>
            </w:r>
          </w:p>
        </w:tc>
        <w:tc>
          <w:tcPr>
            <w:tcW w:w="58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9"/>
            <w:shd w:val="clear" w:color="auto" w:fill="CCEEFF"/>
          </w:tcPr>
          <w:p>
            <w:pPr>
              <w:ind w:left="20"/>
              <w:spacing w:after="0" w:line="176" w:lineRule="exact"/>
              <w:rPr>
                <w:rFonts w:ascii="Arial" w:cs="Arial" w:eastAsia="Arial" w:hAnsi="Arial"/>
                <w:sz w:val="18"/>
                <w:szCs w:val="18"/>
                <w:color w:val="0000EE"/>
                <w:w w:val="96"/>
              </w:rPr>
            </w:pPr>
            <w:hyperlink r:id="rId25">
              <w:r>
                <w:rPr>
                  <w:rFonts w:ascii="Arial" w:cs="Arial" w:eastAsia="Arial" w:hAnsi="Arial"/>
                  <w:sz w:val="18"/>
                  <w:szCs w:val="18"/>
                  <w:color w:val="0000EE"/>
                  <w:w w:val="96"/>
                </w:rPr>
                <w:t>Amended and Restated Bylaws of the Registrant (incorporated by reference to Exhibit 3.3 to the Registrant’s Amendment No. 2 to</w:t>
              </w:r>
            </w:hyperlink>
          </w:p>
        </w:tc>
      </w:tr>
      <w:tr>
        <w:trPr>
          <w:trHeight w:val="217"/>
        </w:trPr>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0" w:type="dxa"/>
            <w:vAlign w:val="bottom"/>
            <w:gridSpan w:val="9"/>
            <w:shd w:val="clear" w:color="auto" w:fill="CCEEFF"/>
          </w:tcPr>
          <w:p>
            <w:pPr>
              <w:ind w:left="20"/>
              <w:spacing w:after="0" w:line="196" w:lineRule="exact"/>
              <w:rPr>
                <w:rFonts w:ascii="Arial" w:cs="Arial" w:eastAsia="Arial" w:hAnsi="Arial"/>
                <w:sz w:val="18"/>
                <w:szCs w:val="18"/>
                <w:color w:val="0000EE"/>
              </w:rPr>
            </w:pPr>
            <w:hyperlink r:id="rId25">
              <w:r>
                <w:rPr>
                  <w:rFonts w:ascii="Arial" w:cs="Arial" w:eastAsia="Arial" w:hAnsi="Arial"/>
                  <w:sz w:val="18"/>
                  <w:szCs w:val="18"/>
                  <w:color w:val="0000EE"/>
                </w:rPr>
                <w:t>Registration Statement on Form S-1 filed with the Securities and Exchange Commission on January 26, 2021)</w:t>
              </w:r>
            </w:hyperlink>
          </w:p>
        </w:tc>
      </w:tr>
      <w:tr>
        <w:trPr>
          <w:trHeight w:val="216"/>
        </w:trPr>
        <w:tc>
          <w:tcPr>
            <w:tcW w:w="6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8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460" w:type="dxa"/>
            <w:vAlign w:val="bottom"/>
            <w:tcBorders>
              <w:top w:val="single" w:sz="8" w:color="0000EE"/>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6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4.4</w:t>
            </w:r>
          </w:p>
        </w:tc>
        <w:tc>
          <w:tcPr>
            <w:tcW w:w="580" w:type="dxa"/>
            <w:vAlign w:val="bottom"/>
            <w:shd w:val="clear" w:color="auto" w:fill="CCEEFF"/>
          </w:tcPr>
          <w:p>
            <w:pPr>
              <w:spacing w:after="0"/>
              <w:rPr>
                <w:sz w:val="15"/>
                <w:szCs w:val="15"/>
                <w:color w:val="auto"/>
              </w:rPr>
            </w:pPr>
          </w:p>
        </w:tc>
        <w:tc>
          <w:tcPr>
            <w:tcW w:w="10000" w:type="dxa"/>
            <w:vAlign w:val="bottom"/>
            <w:gridSpan w:val="9"/>
            <w:shd w:val="clear" w:color="auto" w:fill="CCEEFF"/>
          </w:tcPr>
          <w:p>
            <w:pPr>
              <w:ind w:left="20"/>
              <w:spacing w:after="0" w:line="176" w:lineRule="exact"/>
              <w:rPr>
                <w:rFonts w:ascii="Arial" w:cs="Arial" w:eastAsia="Arial" w:hAnsi="Arial"/>
                <w:sz w:val="18"/>
                <w:szCs w:val="18"/>
                <w:color w:val="0000EE"/>
                <w:w w:val="92"/>
              </w:rPr>
            </w:pPr>
            <w:hyperlink r:id="rId26">
              <w:r>
                <w:rPr>
                  <w:rFonts w:ascii="Arial" w:cs="Arial" w:eastAsia="Arial" w:hAnsi="Arial"/>
                  <w:sz w:val="18"/>
                  <w:szCs w:val="18"/>
                  <w:color w:val="0000EE"/>
                  <w:w w:val="92"/>
                </w:rPr>
                <w:t>2020 Omnibus Equity Incentive Plan (incorporated by reference to Exhibit 10.13 to the Registrant’s Registration Statement on Form S-1</w:t>
              </w:r>
            </w:hyperlink>
          </w:p>
        </w:tc>
      </w:tr>
      <w:tr>
        <w:trPr>
          <w:trHeight w:val="217"/>
        </w:trPr>
        <w:tc>
          <w:tcPr>
            <w:tcW w:w="6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9980" w:type="dxa"/>
            <w:vAlign w:val="bottom"/>
            <w:tcBorders>
              <w:top w:val="single" w:sz="8" w:color="0000EE"/>
            </w:tcBorders>
            <w:gridSpan w:val="8"/>
            <w:shd w:val="clear" w:color="auto" w:fill="CCEEFF"/>
          </w:tcPr>
          <w:p>
            <w:pPr>
              <w:ind w:left="20"/>
              <w:spacing w:after="0" w:line="196" w:lineRule="exact"/>
              <w:rPr>
                <w:rFonts w:ascii="Arial" w:cs="Arial" w:eastAsia="Arial" w:hAnsi="Arial"/>
                <w:sz w:val="18"/>
                <w:szCs w:val="18"/>
                <w:color w:val="0000EE"/>
              </w:rPr>
            </w:pPr>
            <w:hyperlink r:id="rId26">
              <w:r>
                <w:rPr>
                  <w:rFonts w:ascii="Arial" w:cs="Arial" w:eastAsia="Arial" w:hAnsi="Arial"/>
                  <w:sz w:val="18"/>
                  <w:szCs w:val="18"/>
                  <w:color w:val="0000EE"/>
                </w:rPr>
                <w:t>filed with the Securities and Exchange Commission on December 22, 2020)</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6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8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6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5.1</w:t>
            </w:r>
          </w:p>
        </w:tc>
        <w:tc>
          <w:tcPr>
            <w:tcW w:w="580" w:type="dxa"/>
            <w:vAlign w:val="bottom"/>
            <w:shd w:val="clear" w:color="auto" w:fill="CCEEFF"/>
          </w:tcPr>
          <w:p>
            <w:pPr>
              <w:spacing w:after="0"/>
              <w:rPr>
                <w:sz w:val="17"/>
                <w:szCs w:val="17"/>
                <w:color w:val="auto"/>
              </w:rPr>
            </w:pPr>
          </w:p>
        </w:tc>
        <w:tc>
          <w:tcPr>
            <w:tcW w:w="10000" w:type="dxa"/>
            <w:vAlign w:val="bottom"/>
            <w:gridSpan w:val="9"/>
            <w:shd w:val="clear" w:color="auto" w:fill="CCEEFF"/>
          </w:tcPr>
          <w:p>
            <w:pPr>
              <w:ind w:left="20"/>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Opinion of Sherman &amp; Howard L.L.C.</w:t>
              </w:r>
            </w:hyperlink>
          </w:p>
        </w:tc>
      </w:tr>
      <w:tr>
        <w:trPr>
          <w:trHeight w:val="216"/>
        </w:trPr>
        <w:tc>
          <w:tcPr>
            <w:tcW w:w="6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8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6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23.1</w:t>
            </w:r>
          </w:p>
        </w:tc>
        <w:tc>
          <w:tcPr>
            <w:tcW w:w="580" w:type="dxa"/>
            <w:vAlign w:val="bottom"/>
            <w:shd w:val="clear" w:color="auto" w:fill="CCEEFF"/>
          </w:tcPr>
          <w:p>
            <w:pPr>
              <w:spacing w:after="0"/>
              <w:rPr>
                <w:sz w:val="17"/>
                <w:szCs w:val="17"/>
                <w:color w:val="auto"/>
              </w:rPr>
            </w:pPr>
          </w:p>
        </w:tc>
        <w:tc>
          <w:tcPr>
            <w:tcW w:w="10000" w:type="dxa"/>
            <w:vAlign w:val="bottom"/>
            <w:gridSpan w:val="9"/>
            <w:shd w:val="clear" w:color="auto" w:fill="CCEEFF"/>
          </w:tcPr>
          <w:p>
            <w:pPr>
              <w:ind w:left="20"/>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Consent of Marcum LLP, independent registered public accounting firm</w:t>
              </w:r>
            </w:hyperlink>
          </w:p>
        </w:tc>
      </w:tr>
      <w:tr>
        <w:trPr>
          <w:trHeight w:val="216"/>
        </w:trPr>
        <w:tc>
          <w:tcPr>
            <w:tcW w:w="6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8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6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23.2</w:t>
            </w:r>
          </w:p>
        </w:tc>
        <w:tc>
          <w:tcPr>
            <w:tcW w:w="580" w:type="dxa"/>
            <w:vAlign w:val="bottom"/>
            <w:shd w:val="clear" w:color="auto" w:fill="CCEEFF"/>
          </w:tcPr>
          <w:p>
            <w:pPr>
              <w:spacing w:after="0"/>
              <w:rPr>
                <w:sz w:val="17"/>
                <w:szCs w:val="17"/>
                <w:color w:val="auto"/>
              </w:rPr>
            </w:pPr>
          </w:p>
        </w:tc>
        <w:tc>
          <w:tcPr>
            <w:tcW w:w="10000" w:type="dxa"/>
            <w:vAlign w:val="bottom"/>
            <w:gridSpan w:val="9"/>
            <w:shd w:val="clear" w:color="auto" w:fill="CCEEFF"/>
          </w:tcPr>
          <w:p>
            <w:pPr>
              <w:ind w:left="20"/>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Consent of Sherman &amp; Howard L.L.C. (contained in Exhibit 5.1)</w:t>
              </w:r>
            </w:hyperlink>
          </w:p>
        </w:tc>
      </w:tr>
      <w:tr>
        <w:trPr>
          <w:trHeight w:val="216"/>
        </w:trPr>
        <w:tc>
          <w:tcPr>
            <w:tcW w:w="6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8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6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24.1</w:t>
            </w:r>
          </w:p>
        </w:tc>
        <w:tc>
          <w:tcPr>
            <w:tcW w:w="580" w:type="dxa"/>
            <w:vAlign w:val="bottom"/>
            <w:tcBorders>
              <w:bottom w:val="single" w:sz="8" w:color="CCEEFF"/>
            </w:tcBorders>
            <w:shd w:val="clear" w:color="auto" w:fill="CCEEFF"/>
          </w:tcPr>
          <w:p>
            <w:pPr>
              <w:spacing w:after="0"/>
              <w:rPr>
                <w:sz w:val="17"/>
                <w:szCs w:val="17"/>
                <w:color w:val="auto"/>
              </w:rPr>
            </w:pPr>
          </w:p>
        </w:tc>
        <w:tc>
          <w:tcPr>
            <w:tcW w:w="2880" w:type="dxa"/>
            <w:vAlign w:val="bottom"/>
            <w:tcBorders>
              <w:bottom w:val="single" w:sz="8" w:color="0000EE"/>
            </w:tcBorders>
            <w:gridSpan w:val="2"/>
            <w:shd w:val="clear" w:color="auto" w:fill="CCEEFF"/>
          </w:tcPr>
          <w:p>
            <w:pPr>
              <w:ind w:left="20"/>
              <w:spacing w:after="0" w:line="17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Power of Attorney (see Signature Page)</w:t>
              </w:r>
            </w:hyperlink>
          </w:p>
        </w:tc>
        <w:tc>
          <w:tcPr>
            <w:tcW w:w="7120" w:type="dxa"/>
            <w:vAlign w:val="bottom"/>
            <w:tcBorders>
              <w:bottom w:val="single" w:sz="8" w:color="CCEEFF"/>
            </w:tcBorders>
            <w:gridSpan w:val="7"/>
            <w:shd w:val="clear" w:color="auto" w:fill="CCEEFF"/>
          </w:tcPr>
          <w:p>
            <w:pPr>
              <w:spacing w:after="0"/>
              <w:rPr>
                <w:sz w:val="17"/>
                <w:szCs w:val="17"/>
                <w:color w:val="auto"/>
              </w:rPr>
            </w:pPr>
          </w:p>
        </w:tc>
      </w:tr>
      <w:tr>
        <w:trPr>
          <w:trHeight w:val="432"/>
        </w:trPr>
        <w:tc>
          <w:tcPr>
            <w:tcW w:w="66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580" w:type="dxa"/>
            <w:vAlign w:val="bottom"/>
            <w:gridSpan w:val="10"/>
          </w:tcPr>
          <w:p>
            <w:pPr>
              <w:ind w:left="140"/>
              <w:spacing w:after="0"/>
              <w:rPr>
                <w:sz w:val="20"/>
                <w:szCs w:val="20"/>
                <w:color w:val="auto"/>
              </w:rPr>
            </w:pPr>
            <w:r>
              <w:rPr>
                <w:rFonts w:ascii="Arial" w:cs="Arial" w:eastAsia="Arial" w:hAnsi="Arial"/>
                <w:sz w:val="18"/>
                <w:szCs w:val="18"/>
                <w:b w:val="1"/>
                <w:bCs w:val="1"/>
                <w:color w:val="auto"/>
              </w:rPr>
              <w:t>Undertakings.</w:t>
            </w:r>
          </w:p>
        </w:tc>
      </w:tr>
    </w:tbl>
    <w:p>
      <w:pPr>
        <w:spacing w:after="0" w:line="202" w:lineRule="exact"/>
        <w:rPr>
          <w:sz w:val="20"/>
          <w:szCs w:val="20"/>
          <w:color w:val="auto"/>
        </w:rPr>
      </w:pPr>
    </w:p>
    <w:p>
      <w:pPr>
        <w:ind w:left="900" w:hanging="244"/>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520" w:hanging="216"/>
        <w:spacing w:after="0"/>
        <w:tabs>
          <w:tab w:leader="none" w:pos="152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jc w:val="both"/>
        <w:ind w:firstLine="1304"/>
        <w:spacing w:after="0" w:line="254" w:lineRule="auto"/>
        <w:tabs>
          <w:tab w:leader="none" w:pos="1568"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194" w:lineRule="exact"/>
        <w:rPr>
          <w:rFonts w:ascii="Arial" w:cs="Arial" w:eastAsia="Arial" w:hAnsi="Arial"/>
          <w:sz w:val="18"/>
          <w:szCs w:val="18"/>
          <w:color w:val="auto"/>
        </w:rPr>
      </w:pPr>
    </w:p>
    <w:p>
      <w:pPr>
        <w:ind w:firstLine="1304"/>
        <w:spacing w:after="0" w:line="277" w:lineRule="auto"/>
        <w:tabs>
          <w:tab w:leader="none" w:pos="1616"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jc w:val="both"/>
        <w:ind w:firstLine="972"/>
        <w:spacing w:after="0" w:line="286" w:lineRule="auto"/>
        <w:rPr>
          <w:sz w:val="20"/>
          <w:szCs w:val="20"/>
          <w:color w:val="auto"/>
        </w:rPr>
      </w:pPr>
      <w:r>
        <w:rPr>
          <w:rFonts w:ascii="Arial" w:cs="Arial" w:eastAsia="Arial" w:hAnsi="Arial"/>
          <w:sz w:val="17"/>
          <w:szCs w:val="17"/>
          <w:color w:val="auto"/>
        </w:rPr>
        <w:t>provided, however, that paragraphs (i) and (ii) above do not apply if the information required to be included in a post-effective amendment by those paragraphs is contained in reports filed with or furnished to the Securities and Exchange Commission by the Registrant pursuant to Section 13 or Section 15(d) of the Securities Exchange Act of 1934 that are incorporated by reference in this Registration Statement.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both"/>
        <w:ind w:firstLine="980"/>
        <w:spacing w:after="0" w:line="263" w:lineRule="auto"/>
        <w:tabs>
          <w:tab w:leader="none" w:pos="1227" w:val="left"/>
        </w:tabs>
        <w:numPr>
          <w:ilvl w:val="1"/>
          <w:numId w:val="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firstLine="980"/>
        <w:spacing w:after="0" w:line="277" w:lineRule="auto"/>
        <w:tabs>
          <w:tab w:leader="none" w:pos="1242"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jc w:val="both"/>
        <w:ind w:firstLine="656"/>
        <w:spacing w:after="0" w:line="257" w:lineRule="auto"/>
        <w:tabs>
          <w:tab w:leader="none" w:pos="91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Arial" w:cs="Arial" w:eastAsia="Arial" w:hAnsi="Arial"/>
          <w:sz w:val="18"/>
          <w:szCs w:val="18"/>
          <w:color w:val="auto"/>
        </w:rPr>
      </w:pPr>
    </w:p>
    <w:p>
      <w:pPr>
        <w:jc w:val="both"/>
        <w:ind w:firstLine="656"/>
        <w:spacing w:after="0" w:line="254" w:lineRule="auto"/>
        <w:tabs>
          <w:tab w:leader="none" w:pos="894"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Burlington, Massachussetts, on June 24, 2021.</w:t>
      </w:r>
    </w:p>
    <w:p>
      <w:pPr>
        <w:spacing w:after="0" w:line="180"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AGRIFY CORPORATION</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Raymond Chang</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(principal executive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Each person whose signature appears below constitutes and appoints Raymond Chang and Niv Krikov, and each of them, as attorneys-in-fact, each with the power of substitution, for him in any and all capacities, to sign any amendment to this Registration Statement and to file the same, with exhibits thereto and other documents in connection therewith, with the Securities and Exchange Commission, granting to said attorneys-in-fact, full power and authority to do and perform each and every act and thing requisite and necessary to be done in connection therewith, as fully to all intents and purposes as he might or could do in person, hereby ratifying and confirming the said attorney-in-fact or his substitute or substitutes, may lawfully do or cause to be done by virtue hereof.</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Signature</w:t>
            </w:r>
          </w:p>
        </w:tc>
        <w:tc>
          <w:tcPr>
            <w:tcW w:w="120" w:type="dxa"/>
            <w:vAlign w:val="bottom"/>
          </w:tcPr>
          <w:p>
            <w:pPr>
              <w:spacing w:after="0"/>
              <w:rPr>
                <w:sz w:val="21"/>
                <w:szCs w:val="21"/>
                <w:color w:val="auto"/>
              </w:rPr>
            </w:pP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Title</w:t>
            </w:r>
          </w:p>
        </w:tc>
        <w:tc>
          <w:tcPr>
            <w:tcW w:w="100" w:type="dxa"/>
            <w:vAlign w:val="bottom"/>
          </w:tcPr>
          <w:p>
            <w:pPr>
              <w:spacing w:after="0"/>
              <w:rPr>
                <w:sz w:val="21"/>
                <w:szCs w:val="21"/>
                <w:color w:val="auto"/>
              </w:rPr>
            </w:pPr>
          </w:p>
        </w:tc>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Date</w:t>
            </w:r>
          </w:p>
        </w:tc>
      </w:tr>
      <w:tr>
        <w:trPr>
          <w:trHeight w:val="453"/>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Raymond Chang</w:t>
            </w:r>
          </w:p>
        </w:tc>
        <w:tc>
          <w:tcPr>
            <w:tcW w:w="12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Chief Executive Officer and</w:t>
            </w:r>
          </w:p>
        </w:tc>
        <w:tc>
          <w:tcPr>
            <w:tcW w:w="2240" w:type="dxa"/>
            <w:vAlign w:val="bottom"/>
          </w:tcPr>
          <w:p>
            <w:pPr>
              <w:spacing w:after="0"/>
              <w:rPr>
                <w:sz w:val="20"/>
                <w:szCs w:val="20"/>
                <w:color w:val="auto"/>
              </w:rPr>
            </w:pPr>
            <w:r>
              <w:rPr>
                <w:rFonts w:ascii="Arial" w:cs="Arial" w:eastAsia="Arial" w:hAnsi="Arial"/>
                <w:sz w:val="18"/>
                <w:szCs w:val="18"/>
                <w:color w:val="auto"/>
              </w:rPr>
              <w:t>June 24, 2021</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Raymond Chang</w:t>
            </w:r>
          </w:p>
        </w:tc>
        <w:tc>
          <w:tcPr>
            <w:tcW w:w="120" w:type="dxa"/>
            <w:vAlign w:val="bottom"/>
          </w:tcPr>
          <w:p>
            <w:pPr>
              <w:spacing w:after="0"/>
              <w:rPr>
                <w:sz w:val="20"/>
                <w:szCs w:val="20"/>
                <w:color w:val="auto"/>
              </w:rPr>
            </w:pPr>
          </w:p>
        </w:tc>
        <w:tc>
          <w:tcPr>
            <w:tcW w:w="4380" w:type="dxa"/>
            <w:vAlign w:val="bottom"/>
            <w:gridSpan w:val="2"/>
          </w:tcPr>
          <w:p>
            <w:pPr>
              <w:spacing w:after="0" w:line="202" w:lineRule="exact"/>
              <w:rPr>
                <w:sz w:val="20"/>
                <w:szCs w:val="20"/>
                <w:color w:val="auto"/>
              </w:rPr>
            </w:pPr>
            <w:r>
              <w:rPr>
                <w:rFonts w:ascii="Arial" w:cs="Arial" w:eastAsia="Arial" w:hAnsi="Arial"/>
                <w:sz w:val="18"/>
                <w:szCs w:val="18"/>
                <w:color w:val="auto"/>
              </w:rPr>
              <w:t>Director (principal executive officer)</w:t>
            </w:r>
          </w:p>
        </w:tc>
        <w:tc>
          <w:tcPr>
            <w:tcW w:w="2240" w:type="dxa"/>
            <w:vAlign w:val="bottom"/>
          </w:tcPr>
          <w:p>
            <w:pPr>
              <w:spacing w:after="0"/>
              <w:rPr>
                <w:sz w:val="20"/>
                <w:szCs w:val="20"/>
                <w:color w:val="auto"/>
              </w:rPr>
            </w:pPr>
          </w:p>
        </w:tc>
      </w:tr>
      <w:tr>
        <w:trPr>
          <w:trHeight w:val="438"/>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Niv Krikov</w:t>
            </w:r>
          </w:p>
        </w:tc>
        <w:tc>
          <w:tcPr>
            <w:tcW w:w="12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240" w:type="dxa"/>
            <w:vAlign w:val="bottom"/>
          </w:tcPr>
          <w:p>
            <w:pPr>
              <w:spacing w:after="0"/>
              <w:rPr>
                <w:sz w:val="20"/>
                <w:szCs w:val="20"/>
                <w:color w:val="auto"/>
              </w:rPr>
            </w:pPr>
            <w:r>
              <w:rPr>
                <w:rFonts w:ascii="Arial" w:cs="Arial" w:eastAsia="Arial" w:hAnsi="Arial"/>
                <w:sz w:val="18"/>
                <w:szCs w:val="18"/>
                <w:color w:val="auto"/>
              </w:rPr>
              <w:t>June 24, 2021</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Niv Krikov</w:t>
            </w:r>
          </w:p>
        </w:tc>
        <w:tc>
          <w:tcPr>
            <w:tcW w:w="120" w:type="dxa"/>
            <w:vAlign w:val="bottom"/>
          </w:tcPr>
          <w:p>
            <w:pPr>
              <w:spacing w:after="0"/>
              <w:rPr>
                <w:sz w:val="20"/>
                <w:szCs w:val="20"/>
                <w:color w:val="auto"/>
              </w:rPr>
            </w:pPr>
          </w:p>
        </w:tc>
        <w:tc>
          <w:tcPr>
            <w:tcW w:w="4380" w:type="dxa"/>
            <w:vAlign w:val="bottom"/>
            <w:gridSpan w:val="2"/>
          </w:tcPr>
          <w:p>
            <w:pPr>
              <w:spacing w:after="0" w:line="202" w:lineRule="exact"/>
              <w:rPr>
                <w:sz w:val="20"/>
                <w:szCs w:val="20"/>
                <w:color w:val="auto"/>
              </w:rPr>
            </w:pPr>
            <w:r>
              <w:rPr>
                <w:rFonts w:ascii="Arial" w:cs="Arial" w:eastAsia="Arial" w:hAnsi="Arial"/>
                <w:sz w:val="18"/>
                <w:szCs w:val="18"/>
                <w:color w:val="auto"/>
              </w:rPr>
              <w:t>(principal financial officer)</w:t>
            </w:r>
          </w:p>
        </w:tc>
        <w:tc>
          <w:tcPr>
            <w:tcW w:w="2240" w:type="dxa"/>
            <w:vAlign w:val="bottom"/>
          </w:tcPr>
          <w:p>
            <w:pPr>
              <w:spacing w:after="0"/>
              <w:rPr>
                <w:sz w:val="20"/>
                <w:szCs w:val="20"/>
                <w:color w:val="auto"/>
              </w:rPr>
            </w:pPr>
          </w:p>
        </w:tc>
      </w:tr>
      <w:tr>
        <w:trPr>
          <w:trHeight w:val="438"/>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Thomas Massie</w:t>
            </w:r>
          </w:p>
        </w:tc>
        <w:tc>
          <w:tcPr>
            <w:tcW w:w="12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40" w:type="dxa"/>
            <w:vAlign w:val="bottom"/>
          </w:tcPr>
          <w:p>
            <w:pPr>
              <w:spacing w:after="0"/>
              <w:rPr>
                <w:sz w:val="20"/>
                <w:szCs w:val="20"/>
                <w:color w:val="auto"/>
              </w:rPr>
            </w:pPr>
            <w:r>
              <w:rPr>
                <w:rFonts w:ascii="Arial" w:cs="Arial" w:eastAsia="Arial" w:hAnsi="Arial"/>
                <w:sz w:val="18"/>
                <w:szCs w:val="18"/>
                <w:color w:val="auto"/>
              </w:rPr>
              <w:t>June 24, 2021</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Thomas Massie</w:t>
            </w:r>
          </w:p>
        </w:tc>
        <w:tc>
          <w:tcPr>
            <w:tcW w:w="1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8"/>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Guichao Hua</w:t>
            </w:r>
          </w:p>
        </w:tc>
        <w:tc>
          <w:tcPr>
            <w:tcW w:w="12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40" w:type="dxa"/>
            <w:vAlign w:val="bottom"/>
          </w:tcPr>
          <w:p>
            <w:pPr>
              <w:spacing w:after="0"/>
              <w:rPr>
                <w:sz w:val="20"/>
                <w:szCs w:val="20"/>
                <w:color w:val="auto"/>
              </w:rPr>
            </w:pPr>
            <w:r>
              <w:rPr>
                <w:rFonts w:ascii="Arial" w:cs="Arial" w:eastAsia="Arial" w:hAnsi="Arial"/>
                <w:sz w:val="18"/>
                <w:szCs w:val="18"/>
                <w:color w:val="auto"/>
              </w:rPr>
              <w:t>June 24, 2021</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Guichao Hua</w:t>
            </w:r>
          </w:p>
        </w:tc>
        <w:tc>
          <w:tcPr>
            <w:tcW w:w="1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8"/>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Krishnan Varier</w:t>
            </w:r>
          </w:p>
        </w:tc>
        <w:tc>
          <w:tcPr>
            <w:tcW w:w="12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40" w:type="dxa"/>
            <w:vAlign w:val="bottom"/>
          </w:tcPr>
          <w:p>
            <w:pPr>
              <w:spacing w:after="0"/>
              <w:rPr>
                <w:sz w:val="20"/>
                <w:szCs w:val="20"/>
                <w:color w:val="auto"/>
              </w:rPr>
            </w:pPr>
            <w:r>
              <w:rPr>
                <w:rFonts w:ascii="Arial" w:cs="Arial" w:eastAsia="Arial" w:hAnsi="Arial"/>
                <w:sz w:val="18"/>
                <w:szCs w:val="18"/>
                <w:color w:val="auto"/>
              </w:rPr>
              <w:t>June 24, 2021</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Krishnan Varier</w:t>
            </w:r>
          </w:p>
        </w:tc>
        <w:tc>
          <w:tcPr>
            <w:tcW w:w="1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8"/>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Timothy Oakes</w:t>
            </w:r>
          </w:p>
        </w:tc>
        <w:tc>
          <w:tcPr>
            <w:tcW w:w="12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40" w:type="dxa"/>
            <w:vAlign w:val="bottom"/>
          </w:tcPr>
          <w:p>
            <w:pPr>
              <w:spacing w:after="0"/>
              <w:rPr>
                <w:sz w:val="20"/>
                <w:szCs w:val="20"/>
                <w:color w:val="auto"/>
              </w:rPr>
            </w:pPr>
            <w:r>
              <w:rPr>
                <w:rFonts w:ascii="Arial" w:cs="Arial" w:eastAsia="Arial" w:hAnsi="Arial"/>
                <w:sz w:val="18"/>
                <w:szCs w:val="18"/>
                <w:color w:val="auto"/>
              </w:rPr>
              <w:t>June 24, 2021</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Timothy Oakes</w:t>
            </w:r>
          </w:p>
        </w:tc>
        <w:tc>
          <w:tcPr>
            <w:tcW w:w="1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8"/>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Timothy Mahoney</w:t>
            </w:r>
          </w:p>
        </w:tc>
        <w:tc>
          <w:tcPr>
            <w:tcW w:w="12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40" w:type="dxa"/>
            <w:vAlign w:val="bottom"/>
          </w:tcPr>
          <w:p>
            <w:pPr>
              <w:spacing w:after="0"/>
              <w:rPr>
                <w:sz w:val="20"/>
                <w:szCs w:val="20"/>
                <w:color w:val="auto"/>
              </w:rPr>
            </w:pPr>
            <w:r>
              <w:rPr>
                <w:rFonts w:ascii="Arial" w:cs="Arial" w:eastAsia="Arial" w:hAnsi="Arial"/>
                <w:sz w:val="18"/>
                <w:szCs w:val="18"/>
                <w:color w:val="auto"/>
              </w:rPr>
              <w:t>June 24, 2021</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Timothy Mahoney</w:t>
            </w:r>
          </w:p>
        </w:tc>
        <w:tc>
          <w:tcPr>
            <w:tcW w:w="1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8"/>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Stuart Wilcox</w:t>
            </w:r>
          </w:p>
        </w:tc>
        <w:tc>
          <w:tcPr>
            <w:tcW w:w="120" w:type="dxa"/>
            <w:vAlign w:val="bottom"/>
          </w:tcPr>
          <w:p>
            <w:pPr>
              <w:spacing w:after="0"/>
              <w:rPr>
                <w:sz w:val="24"/>
                <w:szCs w:val="24"/>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240" w:type="dxa"/>
            <w:vAlign w:val="bottom"/>
          </w:tcPr>
          <w:p>
            <w:pPr>
              <w:spacing w:after="0"/>
              <w:rPr>
                <w:sz w:val="20"/>
                <w:szCs w:val="20"/>
                <w:color w:val="auto"/>
              </w:rPr>
            </w:pPr>
            <w:r>
              <w:rPr>
                <w:rFonts w:ascii="Arial" w:cs="Arial" w:eastAsia="Arial" w:hAnsi="Arial"/>
                <w:sz w:val="18"/>
                <w:szCs w:val="18"/>
                <w:color w:val="auto"/>
              </w:rPr>
              <w:t>June 24, 2021</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Stuart Wilcox</w:t>
            </w:r>
          </w:p>
        </w:tc>
        <w:tc>
          <w:tcPr>
            <w:tcW w:w="1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641"/>
        </w:trPr>
        <w:tc>
          <w:tcPr>
            <w:tcW w:w="4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2"/>
          </w:tcPr>
          <w:p>
            <w:pPr>
              <w:ind w:left="860"/>
              <w:spacing w:after="0"/>
              <w:rPr>
                <w:sz w:val="20"/>
                <w:szCs w:val="20"/>
                <w:color w:val="auto"/>
              </w:rPr>
            </w:pPr>
            <w:r>
              <w:rPr>
                <w:rFonts w:ascii="Arial" w:cs="Arial" w:eastAsia="Arial" w:hAnsi="Arial"/>
                <w:sz w:val="18"/>
                <w:szCs w:val="18"/>
                <w:color w:val="auto"/>
              </w:rPr>
              <w:t>II-5</w:t>
            </w: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760" w:type="dxa"/>
            <w:vAlign w:val="bottom"/>
            <w:gridSpan w:val="6"/>
          </w:tcPr>
          <w:p>
            <w:pPr>
              <w:ind w:left="240"/>
              <w:spacing w:after="0"/>
              <w:rPr>
                <w:sz w:val="20"/>
                <w:szCs w:val="20"/>
                <w:color w:val="auto"/>
              </w:rPr>
            </w:pPr>
            <w:r>
              <w:rPr>
                <w:rFonts w:ascii="Arial" w:cs="Arial" w:eastAsia="Arial" w:hAnsi="Arial"/>
                <w:sz w:val="18"/>
                <w:szCs w:val="18"/>
                <w:b w:val="1"/>
                <w:bCs w:val="1"/>
                <w:color w:val="auto"/>
              </w:rPr>
              <w:t>INDEX TO EXHIBITS</w:t>
            </w:r>
          </w:p>
        </w:tc>
      </w:tr>
      <w:tr>
        <w:trPr>
          <w:trHeight w:val="414"/>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2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1"/>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000" w:type="dxa"/>
            <w:vAlign w:val="bottom"/>
            <w:gridSpan w:val="9"/>
          </w:tcPr>
          <w:p>
            <w:pPr>
              <w:ind w:left="20"/>
              <w:spacing w:after="0"/>
              <w:rPr>
                <w:sz w:val="20"/>
                <w:szCs w:val="20"/>
                <w:color w:val="auto"/>
              </w:rPr>
            </w:pPr>
            <w:r>
              <w:rPr>
                <w:rFonts w:ascii="Arial" w:cs="Arial" w:eastAsia="Arial" w:hAnsi="Arial"/>
                <w:sz w:val="18"/>
                <w:szCs w:val="18"/>
                <w:b w:val="1"/>
                <w:bCs w:val="1"/>
                <w:color w:val="auto"/>
              </w:rPr>
              <w:t>Document</w:t>
            </w:r>
          </w:p>
        </w:tc>
      </w:tr>
      <w:tr>
        <w:trPr>
          <w:trHeight w:val="216"/>
        </w:trPr>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46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9"/>
            <w:shd w:val="clear" w:color="auto" w:fill="CCEEFF"/>
          </w:tcPr>
          <w:p>
            <w:pPr>
              <w:ind w:left="20"/>
              <w:spacing w:after="0" w:line="176" w:lineRule="exact"/>
              <w:rPr>
                <w:rFonts w:ascii="Arial" w:cs="Arial" w:eastAsia="Arial" w:hAnsi="Arial"/>
                <w:sz w:val="18"/>
                <w:szCs w:val="18"/>
                <w:color w:val="0000EE"/>
                <w:w w:val="92"/>
              </w:rPr>
            </w:pPr>
            <w:hyperlink r:id="rId23">
              <w:r>
                <w:rPr>
                  <w:rFonts w:ascii="Arial" w:cs="Arial" w:eastAsia="Arial" w:hAnsi="Arial"/>
                  <w:sz w:val="18"/>
                  <w:szCs w:val="18"/>
                  <w:color w:val="0000EE"/>
                  <w:w w:val="92"/>
                </w:rPr>
                <w:t>Articles of Incorporation of the Registrant, as amended (incorporated by reference to Exhibit 3.1 to the Registrant’s Amendment No. 1 to</w:t>
              </w:r>
            </w:hyperlink>
          </w:p>
        </w:tc>
      </w:tr>
      <w:tr>
        <w:trPr>
          <w:trHeight w:val="216"/>
        </w:trPr>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9"/>
            <w:shd w:val="clear" w:color="auto" w:fill="CCEEFF"/>
          </w:tcPr>
          <w:p>
            <w:pPr>
              <w:ind w:left="20"/>
              <w:spacing w:after="0" w:line="196" w:lineRule="exact"/>
              <w:rPr>
                <w:rFonts w:ascii="Arial" w:cs="Arial" w:eastAsia="Arial" w:hAnsi="Arial"/>
                <w:sz w:val="18"/>
                <w:szCs w:val="18"/>
                <w:color w:val="0000EE"/>
              </w:rPr>
            </w:pPr>
            <w:hyperlink r:id="rId23">
              <w:r>
                <w:rPr>
                  <w:rFonts w:ascii="Arial" w:cs="Arial" w:eastAsia="Arial" w:hAnsi="Arial"/>
                  <w:sz w:val="18"/>
                  <w:szCs w:val="18"/>
                  <w:color w:val="0000EE"/>
                </w:rPr>
                <w:t>Registration Statement on Form S-1 filed with the Securities and Exchange Commission on January 13, 2021)</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460" w:type="dxa"/>
            <w:vAlign w:val="bottom"/>
            <w:tcBorders>
              <w:top w:val="single" w:sz="8" w:color="0000EE"/>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9"/>
            <w:shd w:val="clear" w:color="auto" w:fill="CCEEFF"/>
          </w:tcPr>
          <w:p>
            <w:pPr>
              <w:ind w:left="20"/>
              <w:spacing w:after="0" w:line="176" w:lineRule="exact"/>
              <w:rPr>
                <w:rFonts w:ascii="Arial" w:cs="Arial" w:eastAsia="Arial" w:hAnsi="Arial"/>
                <w:sz w:val="18"/>
                <w:szCs w:val="18"/>
                <w:color w:val="0000EE"/>
                <w:w w:val="92"/>
              </w:rPr>
            </w:pPr>
            <w:hyperlink r:id="rId24">
              <w:r>
                <w:rPr>
                  <w:rFonts w:ascii="Arial" w:cs="Arial" w:eastAsia="Arial" w:hAnsi="Arial"/>
                  <w:sz w:val="18"/>
                  <w:szCs w:val="18"/>
                  <w:color w:val="0000EE"/>
                  <w:w w:val="92"/>
                </w:rPr>
                <w:t>Third Amended and Restated Certificate of Designations of the Series A Convertible Preferred Stock of the Registrant (incorporated by</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0" w:type="dxa"/>
            <w:vAlign w:val="bottom"/>
            <w:tcBorders>
              <w:bottom w:val="single" w:sz="8" w:color="0000EE"/>
            </w:tcBorders>
            <w:gridSpan w:val="9"/>
            <w:shd w:val="clear" w:color="auto" w:fill="CCEEFF"/>
          </w:tcPr>
          <w:p>
            <w:pPr>
              <w:ind w:left="20"/>
              <w:spacing w:after="0" w:line="196" w:lineRule="exact"/>
              <w:rPr>
                <w:rFonts w:ascii="Arial" w:cs="Arial" w:eastAsia="Arial" w:hAnsi="Arial"/>
                <w:sz w:val="18"/>
                <w:szCs w:val="18"/>
                <w:color w:val="0000EE"/>
                <w:w w:val="97"/>
              </w:rPr>
            </w:pPr>
            <w:hyperlink r:id="rId24">
              <w:r>
                <w:rPr>
                  <w:rFonts w:ascii="Arial" w:cs="Arial" w:eastAsia="Arial" w:hAnsi="Arial"/>
                  <w:sz w:val="18"/>
                  <w:szCs w:val="18"/>
                  <w:color w:val="0000EE"/>
                  <w:w w:val="97"/>
                </w:rPr>
                <w:t>reference to Exhibit 3.2 to the Registrant’s Amendment No. 1 to Registration Statement on Form S-1 filed with the Securities and</w:t>
              </w:r>
            </w:hyperlink>
          </w:p>
        </w:tc>
      </w:tr>
      <w:tr>
        <w:trPr>
          <w:trHeight w:val="217"/>
        </w:trPr>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9"/>
            <w:shd w:val="clear" w:color="auto" w:fill="CCEEFF"/>
          </w:tcPr>
          <w:p>
            <w:pPr>
              <w:ind w:left="20"/>
              <w:spacing w:after="0" w:line="196" w:lineRule="exact"/>
              <w:rPr>
                <w:rFonts w:ascii="Arial" w:cs="Arial" w:eastAsia="Arial" w:hAnsi="Arial"/>
                <w:sz w:val="18"/>
                <w:szCs w:val="18"/>
                <w:color w:val="0000EE"/>
              </w:rPr>
            </w:pPr>
            <w:hyperlink r:id="rId24">
              <w:r>
                <w:rPr>
                  <w:rFonts w:ascii="Arial" w:cs="Arial" w:eastAsia="Arial" w:hAnsi="Arial"/>
                  <w:sz w:val="18"/>
                  <w:szCs w:val="18"/>
                  <w:color w:val="0000EE"/>
                </w:rPr>
                <w:t>Exchange Commission on January 13, 2021)</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9"/>
            <w:shd w:val="clear" w:color="auto" w:fill="CCEEFF"/>
          </w:tcPr>
          <w:p>
            <w:pPr>
              <w:ind w:left="20"/>
              <w:spacing w:after="0" w:line="176" w:lineRule="exact"/>
              <w:rPr>
                <w:rFonts w:ascii="Arial" w:cs="Arial" w:eastAsia="Arial" w:hAnsi="Arial"/>
                <w:sz w:val="18"/>
                <w:szCs w:val="18"/>
                <w:color w:val="0000EE"/>
                <w:w w:val="96"/>
              </w:rPr>
            </w:pPr>
            <w:hyperlink r:id="rId25">
              <w:r>
                <w:rPr>
                  <w:rFonts w:ascii="Arial" w:cs="Arial" w:eastAsia="Arial" w:hAnsi="Arial"/>
                  <w:sz w:val="18"/>
                  <w:szCs w:val="18"/>
                  <w:color w:val="0000EE"/>
                  <w:w w:val="96"/>
                </w:rPr>
                <w:t>Amended and Restated Bylaws of the Registrant (incorporated by reference to Exhibit 3.3 to the Registrant’s Amendment No. 2 to</w:t>
              </w:r>
            </w:hyperlink>
          </w:p>
        </w:tc>
      </w:tr>
      <w:tr>
        <w:trPr>
          <w:trHeight w:val="217"/>
        </w:trPr>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0" w:type="dxa"/>
            <w:vAlign w:val="bottom"/>
            <w:gridSpan w:val="9"/>
            <w:shd w:val="clear" w:color="auto" w:fill="CCEEFF"/>
          </w:tcPr>
          <w:p>
            <w:pPr>
              <w:ind w:left="20"/>
              <w:spacing w:after="0" w:line="196" w:lineRule="exact"/>
              <w:rPr>
                <w:rFonts w:ascii="Arial" w:cs="Arial" w:eastAsia="Arial" w:hAnsi="Arial"/>
                <w:sz w:val="18"/>
                <w:szCs w:val="18"/>
                <w:color w:val="0000EE"/>
              </w:rPr>
            </w:pPr>
            <w:hyperlink r:id="rId25">
              <w:r>
                <w:rPr>
                  <w:rFonts w:ascii="Arial" w:cs="Arial" w:eastAsia="Arial" w:hAnsi="Arial"/>
                  <w:sz w:val="18"/>
                  <w:szCs w:val="18"/>
                  <w:color w:val="0000EE"/>
                </w:rPr>
                <w:t>Registration Statement on Form S-1 filed with the Securities and Exchange Commission on January 26, 2021)</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460" w:type="dxa"/>
            <w:vAlign w:val="bottom"/>
            <w:tcBorders>
              <w:top w:val="single" w:sz="8" w:color="0000EE"/>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5"/>
                <w:szCs w:val="15"/>
                <w:color w:val="auto"/>
              </w:rPr>
            </w:pPr>
          </w:p>
        </w:tc>
        <w:tc>
          <w:tcPr>
            <w:tcW w:w="10000" w:type="dxa"/>
            <w:vAlign w:val="bottom"/>
            <w:gridSpan w:val="9"/>
            <w:shd w:val="clear" w:color="auto" w:fill="CCEEFF"/>
          </w:tcPr>
          <w:p>
            <w:pPr>
              <w:ind w:left="20"/>
              <w:spacing w:after="0" w:line="176" w:lineRule="exact"/>
              <w:rPr>
                <w:rFonts w:ascii="Arial" w:cs="Arial" w:eastAsia="Arial" w:hAnsi="Arial"/>
                <w:sz w:val="18"/>
                <w:szCs w:val="18"/>
                <w:color w:val="0000EE"/>
                <w:w w:val="92"/>
              </w:rPr>
            </w:pPr>
            <w:hyperlink r:id="rId26">
              <w:r>
                <w:rPr>
                  <w:rFonts w:ascii="Arial" w:cs="Arial" w:eastAsia="Arial" w:hAnsi="Arial"/>
                  <w:sz w:val="18"/>
                  <w:szCs w:val="18"/>
                  <w:color w:val="0000EE"/>
                  <w:w w:val="92"/>
                </w:rPr>
                <w:t>2020 Omnibus Equity Incentive Plan (incorporated by reference to Exhibit 10.13 to the Registrant’s Registration Statement on Form S-1</w:t>
              </w:r>
            </w:hyperlink>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980" w:type="dxa"/>
            <w:vAlign w:val="bottom"/>
            <w:tcBorders>
              <w:top w:val="single" w:sz="8" w:color="0000EE"/>
            </w:tcBorders>
            <w:gridSpan w:val="8"/>
            <w:shd w:val="clear" w:color="auto" w:fill="CCEEFF"/>
          </w:tcPr>
          <w:p>
            <w:pPr>
              <w:ind w:left="20"/>
              <w:spacing w:after="0" w:line="196" w:lineRule="exact"/>
              <w:rPr>
                <w:rFonts w:ascii="Arial" w:cs="Arial" w:eastAsia="Arial" w:hAnsi="Arial"/>
                <w:sz w:val="18"/>
                <w:szCs w:val="18"/>
                <w:color w:val="0000EE"/>
              </w:rPr>
            </w:pPr>
            <w:hyperlink r:id="rId26">
              <w:r>
                <w:rPr>
                  <w:rFonts w:ascii="Arial" w:cs="Arial" w:eastAsia="Arial" w:hAnsi="Arial"/>
                  <w:sz w:val="18"/>
                  <w:szCs w:val="18"/>
                  <w:color w:val="0000EE"/>
                </w:rPr>
                <w:t>filed with the Securities and Exchange Commission on December 22, 2020)</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7"/>
                <w:szCs w:val="17"/>
                <w:color w:val="auto"/>
              </w:rPr>
            </w:pPr>
          </w:p>
        </w:tc>
        <w:tc>
          <w:tcPr>
            <w:tcW w:w="10000" w:type="dxa"/>
            <w:vAlign w:val="bottom"/>
            <w:gridSpan w:val="9"/>
            <w:shd w:val="clear" w:color="auto" w:fill="CCEEFF"/>
          </w:tcPr>
          <w:p>
            <w:pPr>
              <w:ind w:left="20"/>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Opinion of Sherman &amp; Howard L.L.C.</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7"/>
                <w:szCs w:val="17"/>
                <w:color w:val="auto"/>
              </w:rPr>
            </w:pPr>
          </w:p>
        </w:tc>
        <w:tc>
          <w:tcPr>
            <w:tcW w:w="10000" w:type="dxa"/>
            <w:vAlign w:val="bottom"/>
            <w:gridSpan w:val="9"/>
            <w:shd w:val="clear" w:color="auto" w:fill="CCEEFF"/>
          </w:tcPr>
          <w:p>
            <w:pPr>
              <w:ind w:left="20"/>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Consent of Marcum LLP, independent registered public accounting firm</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7"/>
                <w:szCs w:val="17"/>
                <w:color w:val="auto"/>
              </w:rPr>
            </w:pPr>
          </w:p>
        </w:tc>
        <w:tc>
          <w:tcPr>
            <w:tcW w:w="10000" w:type="dxa"/>
            <w:vAlign w:val="bottom"/>
            <w:gridSpan w:val="9"/>
            <w:shd w:val="clear" w:color="auto" w:fill="CCEEFF"/>
          </w:tcPr>
          <w:p>
            <w:pPr>
              <w:ind w:left="20"/>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Consent of Sherman &amp; Howard L.L.C. (contained in Exhibit 5.1)</w:t>
              </w:r>
            </w:hyperlink>
          </w:p>
        </w:tc>
      </w:tr>
      <w:tr>
        <w:trPr>
          <w:trHeight w:val="216"/>
        </w:trPr>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6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20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5"/>
                <w:szCs w:val="15"/>
                <w:color w:val="auto"/>
              </w:rPr>
            </w:pPr>
          </w:p>
        </w:tc>
        <w:tc>
          <w:tcPr>
            <w:tcW w:w="10000" w:type="dxa"/>
            <w:vAlign w:val="bottom"/>
            <w:gridSpan w:val="9"/>
            <w:shd w:val="clear" w:color="auto" w:fill="CCEEFF"/>
          </w:tcPr>
          <w:p>
            <w:pPr>
              <w:ind w:left="2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Power of Attorney (see Signature Page)</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2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24,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Agrify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76 Tremble Cove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Billerica, Massachusetts 01862</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i w:val="1"/>
          <w:iCs w:val="1"/>
          <w:color w:val="auto"/>
        </w:rPr>
        <w:t>Re:</w:t>
      </w:r>
      <w:r>
        <w:rPr>
          <w:sz w:val="20"/>
          <w:szCs w:val="20"/>
          <w:color w:val="auto"/>
        </w:rPr>
        <w:tab/>
      </w:r>
      <w:r>
        <w:rPr>
          <w:rFonts w:ascii="Arial" w:cs="Arial" w:eastAsia="Arial" w:hAnsi="Arial"/>
          <w:sz w:val="18"/>
          <w:szCs w:val="18"/>
          <w:b w:val="1"/>
          <w:bCs w:val="1"/>
          <w:i w:val="1"/>
          <w:iCs w:val="1"/>
          <w:color w:val="auto"/>
        </w:rPr>
        <w:t>Agrify Corporation/Registration Statement on Form S-8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acted as special Nevada counsel to Agrify Corporation, a Nevada corporation (the “Company”), in connection with the registration by the Company of 4,533,732 shares (the “Shares”) of its common stock, $0.001 par value (the “Common Stock”) that may be issued pursuant to the Company’s 2020 Omnibus Equity Inventive Plan (the “Plan”) on Form S-8 (the “Registration Statement”) under the Securities Act of 1933, as amended (“Securities Act”), as filed with the Securities and Exchange Commission (“Commission”).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purposes of these opinions, we have examined originals or copies, certified or otherwise identified to our satisfaction, of:</w:t>
      </w:r>
    </w:p>
    <w:p>
      <w:pPr>
        <w:spacing w:after="0" w:line="225" w:lineRule="exact"/>
        <w:rPr>
          <w:sz w:val="20"/>
          <w:szCs w:val="20"/>
          <w:color w:val="auto"/>
        </w:rPr>
      </w:pPr>
    </w:p>
    <w:p>
      <w:pPr>
        <w:ind w:left="900" w:hanging="244"/>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225" w:lineRule="exact"/>
        <w:rPr>
          <w:rFonts w:ascii="Arial" w:cs="Arial" w:eastAsia="Arial" w:hAnsi="Arial"/>
          <w:sz w:val="18"/>
          <w:szCs w:val="18"/>
          <w:color w:val="auto"/>
        </w:rPr>
      </w:pPr>
    </w:p>
    <w:p>
      <w:pPr>
        <w:jc w:val="both"/>
        <w:ind w:firstLine="656"/>
        <w:spacing w:after="0" w:line="259" w:lineRule="auto"/>
        <w:tabs>
          <w:tab w:leader="none" w:pos="92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Articles of Incorporation of the Company filed with the Nevada Secretary of State on June 6, 2016, as amended by the Certificate of Change filed with the Nevada Secretary of State on May 24, 2019, the Certificate of Amendment filed with the Nevada Secretary of State on September 16, 2019, the Certificate of Amendment filed with the Nevada Secretary of State on January 7, 2020, and the Certificate of Amendment filed with the Nevada Secretary of State on January 12, 2021 (collectively, the “Articles of Incorporation”);</w:t>
      </w:r>
    </w:p>
    <w:p>
      <w:pPr>
        <w:spacing w:after="0" w:line="186" w:lineRule="exact"/>
        <w:rPr>
          <w:rFonts w:ascii="Arial" w:cs="Arial" w:eastAsia="Arial" w:hAnsi="Arial"/>
          <w:sz w:val="18"/>
          <w:szCs w:val="18"/>
          <w:color w:val="auto"/>
        </w:rPr>
      </w:pPr>
    </w:p>
    <w:p>
      <w:pPr>
        <w:ind w:left="900" w:hanging="244"/>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Amended and Restated Bylaws of the Company, adopted on December 18, 2020;</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Plan;</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forms of Incentive Stock Option Agreement and Non-Qualified Stok Option Agreement for the grant of awards under the Plan; and</w:t>
      </w:r>
    </w:p>
    <w:p>
      <w:pPr>
        <w:spacing w:after="0" w:line="225" w:lineRule="exact"/>
        <w:rPr>
          <w:rFonts w:ascii="Arial" w:cs="Arial" w:eastAsia="Arial" w:hAnsi="Arial"/>
          <w:sz w:val="18"/>
          <w:szCs w:val="18"/>
          <w:color w:val="auto"/>
        </w:rPr>
      </w:pPr>
    </w:p>
    <w:p>
      <w:pPr>
        <w:ind w:firstLine="656"/>
        <w:spacing w:after="0" w:line="277"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resolutions of the Board of Directors and stockholders of the Company relating to the adoption of the Plan, the issuance of the Shares, the registration of the Shares under the Securities Act, and such other matters as relevant.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also have examined originals or copies, certified or otherwise identified to our satisfaction, of such records of the Company and other documents, certificates, and records as we have deemed necessary or appropriate as a basis for the opinions set forth herein.</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our examination we have assumed the legal capacity of all natural persons, the genuineness of all signatures, the authenticity of all documents submitted to us as originals, and the conformity to original documents of all documents submitted to us as facsimile, electronic, certified, or photostatic copies. We have relied upon the accuracy and completeness of the information, factual matters, representations, and warranties contained in such documents. In our examination of documents, we have assumed that the parties thereto, other than the Company, had the power, corporate or other, to enter into and perform all obligations thereunder and, other than with respect to the Company, the due authorization by all requisite action, corporate or other, the execution and delivery by all parties of the documents, and the validity and binding effect thereof on such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ind w:left="660"/>
        <w:spacing w:after="0"/>
        <w:rPr>
          <w:sz w:val="20"/>
          <w:szCs w:val="20"/>
          <w:color w:val="auto"/>
        </w:rPr>
      </w:pPr>
      <w:r>
        <w:rPr>
          <w:rFonts w:ascii="Arial" w:cs="Arial" w:eastAsia="Arial" w:hAnsi="Arial"/>
          <w:sz w:val="18"/>
          <w:szCs w:val="18"/>
          <w:color w:val="auto"/>
        </w:rPr>
        <w:t>In rendering the opinions set forth below, we have also assumed that:</w:t>
      </w:r>
    </w:p>
    <w:p>
      <w:pPr>
        <w:spacing w:after="0" w:line="225" w:lineRule="exact"/>
        <w:rPr>
          <w:sz w:val="20"/>
          <w:szCs w:val="20"/>
          <w:color w:val="auto"/>
        </w:rPr>
      </w:pPr>
    </w:p>
    <w:p>
      <w:pPr>
        <w:ind w:left="900" w:hanging="244"/>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or prior to the time of issuance and delivery, the Shares will be registered by the transfer agent and registrar of such Shares;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Company will keep reserved a sufficient number of shares of its Common Stock to satisfy its obligations for issuances of Shares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11" w:lineRule="exact"/>
        <w:rPr>
          <w:sz w:val="20"/>
          <w:szCs w:val="20"/>
          <w:color w:val="auto"/>
        </w:rPr>
      </w:pPr>
    </w:p>
    <w:p>
      <w:pPr>
        <w:ind w:right="20" w:firstLine="656"/>
        <w:spacing w:after="0" w:line="277" w:lineRule="auto"/>
        <w:tabs>
          <w:tab w:leader="none" w:pos="904" w:val="left"/>
        </w:tabs>
        <w:numPr>
          <w:ilvl w:val="0"/>
          <w:numId w:val="8"/>
        </w:numPr>
        <w:rPr>
          <w:rFonts w:ascii="Arial" w:cs="Arial" w:eastAsia="Arial" w:hAnsi="Arial"/>
          <w:sz w:val="18"/>
          <w:szCs w:val="18"/>
          <w:color w:val="auto"/>
        </w:rPr>
      </w:pPr>
      <w:r>
        <w:rPr>
          <w:rFonts w:ascii="Arial" w:cs="Arial" w:eastAsia="Arial" w:hAnsi="Arial"/>
          <w:sz w:val="18"/>
          <w:szCs w:val="18"/>
          <w:color w:val="auto"/>
        </w:rPr>
        <w:t>upon issuance of any of the Shares, the total number of shares of the Company’s Common Stock issued and outstanding will not exceed the total number of shares of Common Stock that the Company is then authorized to issue under its Articles of Incorporation; and</w:t>
      </w:r>
    </w:p>
    <w:p>
      <w:pPr>
        <w:spacing w:after="0" w:line="170" w:lineRule="exact"/>
        <w:rPr>
          <w:rFonts w:ascii="Arial" w:cs="Arial" w:eastAsia="Arial" w:hAnsi="Arial"/>
          <w:sz w:val="18"/>
          <w:szCs w:val="18"/>
          <w:color w:val="auto"/>
        </w:rPr>
      </w:pPr>
    </w:p>
    <w:p>
      <w:pPr>
        <w:jc w:val="both"/>
        <w:ind w:firstLine="656"/>
        <w:spacing w:after="0" w:line="263" w:lineRule="auto"/>
        <w:tabs>
          <w:tab w:leader="none" w:pos="912"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stock grant, stock option, or other security exercisable or exchangeable for a Share under the Plan has been, or will be, duly authorized, validly granted, and duly exercised or exchanged in accordance with the terms of the Plan, at the time of any grant of a Share or exercise of such stock option or other security under the Plan.</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opinions set forth below are also subject to the further qualification that the enforcement of any agreements or instruments referenced herein and to which the Company is a party may be limited by applicable bankruptcy, insolvency, reorganization, moratorium, or other similar laws affecting creditors’ rights generally and by general principles of equity (regardless of whether enforceability is considered in a proceeding in equity or at law).</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Based on such examination, we are of the opinion that:</w:t>
      </w:r>
    </w:p>
    <w:p>
      <w:pPr>
        <w:spacing w:after="0" w:line="225" w:lineRule="exact"/>
        <w:rPr>
          <w:sz w:val="20"/>
          <w:szCs w:val="20"/>
          <w:color w:val="auto"/>
        </w:rPr>
      </w:pPr>
    </w:p>
    <w:p>
      <w:pPr>
        <w:ind w:left="900" w:hanging="244"/>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Shares that have been or may be issued under the Plan are duly authorized shares of the Company’s Common Stock; and</w:t>
      </w:r>
    </w:p>
    <w:p>
      <w:pPr>
        <w:spacing w:after="0" w:line="225" w:lineRule="exact"/>
        <w:rPr>
          <w:rFonts w:ascii="Arial" w:cs="Arial" w:eastAsia="Arial" w:hAnsi="Arial"/>
          <w:sz w:val="18"/>
          <w:szCs w:val="18"/>
          <w:color w:val="auto"/>
        </w:rPr>
      </w:pPr>
    </w:p>
    <w:p>
      <w:pPr>
        <w:ind w:firstLine="656"/>
        <w:spacing w:after="0" w:line="277" w:lineRule="auto"/>
        <w:tabs>
          <w:tab w:leader="none" w:pos="913"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as, and when issued against receipt of the consideration therefor in accordance with the provisions of the Plan and in accordance with the Registration Statement, the Shares will be validly issued, fully paid, and nonassessable.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opinions expressed herein are limited to the matters specifically set forth herein and no other opinion shall be inferred beyond the matters expressly stated. We disclaim any undertaking to advise you of any subsequent changes in the facts stated or assumed herein or any changes in applicable law that may come to our attention subsequent to the date the Registration Statement is declared effective.</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While certain members of this firm are admitted to practice in certain jurisdictions other than Nevada, in rendering the foregoing opinions we have not examined the laws of any jurisdiction other than Nevada. Accordingly, the opinions we express herein are limited to matters involving the laws of the State of Nevada (excluding securities laws). We express no opinion regarding the effect of the laws of any other jurisdiction or state, including any federal securities laws related to the issuance and sale of the Shares.</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hereby consent to the filing of this opinion as an exhibit to the Registration Statement and we consent to the reference of our name under the caption “Legal Matters” in the Prospectus forming a part of the Registration Statement. In giving the foregoing consent, we do not hereby admit that we are in the category of persons whose consent is required under Section 7 of the Securities Act or the rules and regulations of the Commission thereunder.</w:t>
      </w:r>
    </w:p>
    <w:p>
      <w:pPr>
        <w:spacing w:after="0" w:line="14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Sherman &amp; Howard L.L.C.</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SHERMAN &amp; HOWARD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this Registration Statement on Form S-8 of Agrify Corporation of our report dated April 2, 2021 with respect to our audits of the consolidated financial statements of Agrify Corporation and Subsidiaries as of December 31, 2020 and 2019 and for the two years in the period ended December 31, 2020, which report appears in the Annual Report on Form 10-K of Agrify Corporation for the fiscal year ended December 31,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Marcum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Melville,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24, 2021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lowerLetter"/>
      <w:start w:val="1"/>
    </w:lvl>
  </w:abstractNum>
  <w:abstractNum w:abstractNumId="2">
    <w:nsid w:val="507ED7A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2EB141F2"/>
    <w:multiLevelType w:val="hybridMultilevel"/>
    <w:lvl w:ilvl="0">
      <w:lvlJc w:val="left"/>
      <w:lvlText w:val="%1"/>
      <w:numFmt w:val="lowerLetter"/>
      <w:start w:val="1"/>
    </w:lvl>
    <w:lvl w:ilvl="1">
      <w:lvlJc w:val="left"/>
      <w:lvlText w:val="(%2)"/>
      <w:numFmt w:val="decimal"/>
      <w:start w:val="2"/>
    </w:lvl>
  </w:abstractNum>
  <w:abstractNum w:abstractNumId="4">
    <w:nsid w:val="41B71EFB"/>
    <w:multiLevelType w:val="hybridMultilevel"/>
    <w:lvl w:ilvl="0">
      <w:lvlJc w:val="left"/>
      <w:lvlText w:val="(%1)"/>
      <w:numFmt w:val="lowerLetter"/>
      <w:start w:val="2"/>
    </w:lvl>
    <w:lvl w:ilvl="1">
      <w:lvlJc w:val="left"/>
      <w:lvlText w:val="%2"/>
      <w:numFmt w:val="decimal"/>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23" Type="http://schemas.openxmlformats.org/officeDocument/2006/relationships/hyperlink" Target="http://www.sec.gov/Archives/edgar/data/1800637/000121390021001799/fs12020a1ex3-1_agrify.htm" TargetMode="External"/><Relationship Id="rId24" Type="http://schemas.openxmlformats.org/officeDocument/2006/relationships/hyperlink" Target="http://www.sec.gov/Archives/edgar/data/1800637/000121390021001799/fs12020a1ex3-2_agrify.htm" TargetMode="External"/><Relationship Id="rId25" Type="http://schemas.openxmlformats.org/officeDocument/2006/relationships/hyperlink" Target="http://www.sec.gov/Archives/edgar/data/1800637/000121390021004220/fs12021a2ex3-3_agrifycorp.htm" TargetMode="External"/><Relationship Id="rId26" Type="http://schemas.openxmlformats.org/officeDocument/2006/relationships/hyperlink" Target="http://www.sec.gov/Archives/edgar/data/1800637/000121390020044121/fs12020ex10-13_agrifycor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2021-06-24T12:53:57Z</dcterms:created>
  <dcterms:modified xsi:type="dcterms:W3CDTF">2021-06-24T12:53:57Z</dcterms:modified>
</cp:coreProperties>
</file>