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39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Hua Guichao</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38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38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11/28/2023</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26,866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26,866</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26,866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 The restricted stock units were granted in lieu of cash compensation that would otherwise be owed to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date when shareholder approval is obtained for an increase in shares available under the Plan sufficient to grant the units and to exempt awards to directors from the minimum vesting condition under the Plan, subject to the reporting person's continuous service through such vesting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5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3474"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2023-11-30T15:37:00Z</dcterms:created>
  <dcterms:modified xsi:type="dcterms:W3CDTF">2023-11-30T15:37:00Z</dcterms:modified>
</cp:coreProperties>
</file>