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6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538" w:right="1440" w:bottom="1440" w:gutter="0" w:footer="0" w:header="0"/>
        </w:sectPr>
      </w:pPr>
    </w:p>
    <w:p>
      <w:pPr>
        <w:spacing w:after="0" w:line="19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3060" w:space="720"/>
            <w:col w:w="5239"/>
          </w:cols>
          <w:pgMar w:left="1440" w:top="538" w:right="1440" w:bottom="1440" w:gutter="0" w:footer="0" w:header="0"/>
          <w:type w:val="continuous"/>
        </w:sectPr>
      </w:pPr>
    </w:p>
    <w:p>
      <w:pPr>
        <w:spacing w:after="0" w:line="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1" w:lineRule="exact"/>
        <w:rPr>
          <w:sz w:val="24"/>
          <w:szCs w:val="24"/>
          <w:color w:val="auto"/>
        </w:rPr>
      </w:pPr>
    </w:p>
    <w:p>
      <w:pPr>
        <w:sectPr>
          <w:pgSz w:w="11900" w:h="16838" w:orient="portrait"/>
          <w:cols w:equalWidth="0" w:num="2">
            <w:col w:w="3440" w:space="340"/>
            <w:col w:w="5239"/>
          </w:cols>
          <w:pgMar w:left="1440" w:top="538"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38" w:right="1440" w:bottom="1440" w:gutter="0" w:footer="0" w:header="0"/>
          <w:type w:val="continuous"/>
        </w:sectPr>
      </w:pPr>
    </w:p>
    <w:p>
      <w:pPr>
        <w:spacing w:after="0" w:line="22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1"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97"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4"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519430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8"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453390</wp:posOffset>
            </wp:positionV>
            <wp:extent cx="848360" cy="715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29, 2023</w:t>
      </w:r>
    </w:p>
    <w:p>
      <w:pPr>
        <w:spacing w:after="0" w:line="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445770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704215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153670</wp:posOffset>
            </wp:positionV>
            <wp:extent cx="848360" cy="715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15, 2023</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58" w:lineRule="exact"/>
        <w:rPr>
          <w:sz w:val="20"/>
          <w:szCs w:val="20"/>
          <w:color w:val="auto"/>
        </w:rPr>
      </w:pPr>
    </w:p>
    <w:p>
      <w:pPr>
        <w:ind w:left="580" w:right="619" w:firstLine="419"/>
        <w:spacing w:after="0" w:line="268" w:lineRule="auto"/>
        <w:rPr>
          <w:sz w:val="20"/>
          <w:szCs w:val="20"/>
          <w:color w:val="auto"/>
        </w:rPr>
      </w:pPr>
      <w:r>
        <w:rPr>
          <w:rFonts w:ascii="Times New Roman" w:cs="Times New Roman" w:eastAsia="Times New Roman" w:hAnsi="Times New Roman"/>
          <w:sz w:val="17"/>
          <w:szCs w:val="17"/>
          <w:color w:val="auto"/>
        </w:rPr>
        <w:t>On behalf of the Board of Directors, I am pleased to invite you to attend the Agrify Corporation (“Agrify” or the “Company”) 2023 Virtual Annual Meeting of Stockholders to be Friday, December 29, 2023, at</w:t>
      </w:r>
    </w:p>
    <w:p>
      <w:pPr>
        <w:spacing w:after="0" w:line="1" w:lineRule="exact"/>
        <w:rPr>
          <w:sz w:val="20"/>
          <w:szCs w:val="20"/>
          <w:color w:val="auto"/>
        </w:rPr>
      </w:pPr>
    </w:p>
    <w:p>
      <w:pPr>
        <w:ind w:left="580" w:right="679"/>
        <w:spacing w:after="0" w:line="263" w:lineRule="auto"/>
        <w:rPr>
          <w:sz w:val="20"/>
          <w:szCs w:val="20"/>
          <w:color w:val="auto"/>
        </w:rPr>
      </w:pPr>
      <w:r>
        <w:rPr>
          <w:rFonts w:ascii="Times New Roman" w:cs="Times New Roman" w:eastAsia="Times New Roman" w:hAnsi="Times New Roman"/>
          <w:sz w:val="17"/>
          <w:szCs w:val="17"/>
          <w:color w:val="auto"/>
        </w:rPr>
        <w:t xml:space="preserve">10:00 a.m. Eastern Time. To be admitted to the Annual Meeting at </w:t>
      </w:r>
      <w:r>
        <w:rPr>
          <w:rFonts w:ascii="Times New Roman" w:cs="Times New Roman" w:eastAsia="Times New Roman" w:hAnsi="Times New Roman"/>
          <w:sz w:val="17"/>
          <w:szCs w:val="17"/>
          <w:i w:val="1"/>
          <w:iCs w:val="1"/>
          <w:color w:val="auto"/>
        </w:rPr>
        <w:t>www.virtualshareholdermeeting.com/AGFY2023</w:t>
      </w:r>
      <w:r>
        <w:rPr>
          <w:rFonts w:ascii="Times New Roman" w:cs="Times New Roman" w:eastAsia="Times New Roman" w:hAnsi="Times New Roman"/>
          <w:sz w:val="17"/>
          <w:szCs w:val="17"/>
          <w:color w:val="auto"/>
        </w:rPr>
        <w:t>, you must enter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 You may vote during the Annual Meeting by following the instructions available on the meeting website during the meeting.</w:t>
      </w:r>
    </w:p>
    <w:p>
      <w:pPr>
        <w:spacing w:after="0" w:line="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six directors, each for a one-year term;</w:t>
      </w:r>
    </w:p>
    <w:p>
      <w:pPr>
        <w:spacing w:after="0" w:line="158"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Marcum, LLP as the Company’s independent registered public accounting firm for the fiscal year ending December 31, 2023;</w:t>
      </w:r>
    </w:p>
    <w:p>
      <w:pPr>
        <w:spacing w:after="0" w:line="67"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authorized shares of Common Stock from 10,000,000 to 35,000,000, and to correspondingly increase the total authorized shares of stock from 13,000,000 to 38,000,000;</w:t>
      </w:r>
    </w:p>
    <w:p>
      <w:pPr>
        <w:spacing w:after="0" w:line="98" w:lineRule="exact"/>
        <w:rPr>
          <w:rFonts w:ascii="Times New Roman" w:cs="Times New Roman" w:eastAsia="Times New Roman" w:hAnsi="Times New Roman"/>
          <w:sz w:val="17"/>
          <w:szCs w:val="17"/>
          <w:color w:val="auto"/>
        </w:rPr>
      </w:pPr>
    </w:p>
    <w:p>
      <w:pPr>
        <w:ind w:left="1420" w:right="87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5635(d), the increase in the number of shares of Common Stock underlying the warrant issued by the Company on October 27, 2023 upon the occurrence of certain equity issuances or conversions;</w:t>
      </w:r>
    </w:p>
    <w:p>
      <w:pPr>
        <w:spacing w:after="0" w:line="98" w:lineRule="exact"/>
        <w:rPr>
          <w:rFonts w:ascii="Times New Roman" w:cs="Times New Roman" w:eastAsia="Times New Roman" w:hAnsi="Times New Roman"/>
          <w:sz w:val="17"/>
          <w:szCs w:val="17"/>
          <w:color w:val="auto"/>
        </w:rPr>
      </w:pPr>
    </w:p>
    <w:p>
      <w:pPr>
        <w:ind w:left="1420" w:right="659" w:hanging="426"/>
        <w:spacing w:after="0" w:line="265"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 the amendment of the Senior Secured Convertible Note held by CP Acquisitions LLC, an affiliate of Raymond Chang and I-Tseng Jenny Chan (“CP Acquisitions”), to, among other things, consolidate a Senior Secured Note and a certain promissory note held by CP Acquisitions with the convertible note, decrease the conversion price thereunder to $1.46 per share of Common Stock and to increase the beneficial ownership limitation to 49.99%;</w:t>
      </w:r>
    </w:p>
    <w:p>
      <w:pPr>
        <w:spacing w:after="0" w:line="93" w:lineRule="exact"/>
        <w:rPr>
          <w:rFonts w:ascii="Times New Roman" w:cs="Times New Roman" w:eastAsia="Times New Roman" w:hAnsi="Times New Roman"/>
          <w:sz w:val="17"/>
          <w:szCs w:val="17"/>
          <w:color w:val="auto"/>
        </w:rPr>
      </w:pPr>
    </w:p>
    <w:p>
      <w:pPr>
        <w:ind w:left="1420" w:right="103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 shares and to revise the minimum vesting provision; and</w:t>
      </w:r>
    </w:p>
    <w:p>
      <w:pPr>
        <w:spacing w:after="0" w:line="98"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Annual Meeting in order to solicit additional proxies if there are not sufficient shares to be voted in favor of any of the foregoing proposals at the time of the Annual Meeting.</w:t>
      </w:r>
    </w:p>
    <w:p>
      <w:pPr>
        <w:spacing w:after="0" w:line="98" w:lineRule="exact"/>
        <w:rPr>
          <w:sz w:val="20"/>
          <w:szCs w:val="20"/>
          <w:color w:val="auto"/>
        </w:rPr>
      </w:pPr>
    </w:p>
    <w:p>
      <w:pPr>
        <w:ind w:left="580" w:right="1039" w:firstLine="419"/>
        <w:spacing w:after="0" w:line="276" w:lineRule="auto"/>
        <w:rPr>
          <w:sz w:val="20"/>
          <w:szCs w:val="20"/>
          <w:color w:val="auto"/>
        </w:rPr>
      </w:pPr>
      <w:r>
        <w:rPr>
          <w:rFonts w:ascii="Times New Roman" w:cs="Times New Roman" w:eastAsia="Times New Roman" w:hAnsi="Times New Roman"/>
          <w:sz w:val="17"/>
          <w:szCs w:val="17"/>
          <w:color w:val="auto"/>
        </w:rPr>
        <w:t>As of December 2, 2023, the Company had 1,701,243 shares of Common Stock outstanding. Only shareholders of record as of the close of business on December 6, 2023 are entitled to receive notice of, to attend, and to vote at, the Annual Meeting.</w:t>
      </w:r>
    </w:p>
    <w:p>
      <w:pPr>
        <w:spacing w:after="0" w:line="85" w:lineRule="exact"/>
        <w:rPr>
          <w:sz w:val="20"/>
          <w:szCs w:val="20"/>
          <w:color w:val="auto"/>
        </w:rPr>
      </w:pPr>
    </w:p>
    <w:p>
      <w:pPr>
        <w:ind w:left="580" w:right="939" w:firstLine="419"/>
        <w:spacing w:after="0" w:line="268"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w:t>
      </w:r>
    </w:p>
    <w:p>
      <w:pPr>
        <w:spacing w:after="0" w:line="1" w:lineRule="exact"/>
        <w:rPr>
          <w:sz w:val="20"/>
          <w:szCs w:val="20"/>
          <w:color w:val="auto"/>
        </w:rPr>
      </w:pPr>
    </w:p>
    <w:p>
      <w:pPr>
        <w:ind w:left="580" w:right="71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us. </w:t>
      </w:r>
      <w:r>
        <w:rPr>
          <w:rFonts w:ascii="Times New Roman" w:cs="Times New Roman" w:eastAsia="Times New Roman" w:hAnsi="Times New Roman"/>
          <w:sz w:val="17"/>
          <w:szCs w:val="17"/>
          <w:color w:val="auto"/>
        </w:rPr>
        <w:t>Alternatively, you may cast your vote by telephone, or through the Internet. Instructions for voting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telephone or through the Internet are included with your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238125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2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45720</wp:posOffset>
            </wp:positionV>
            <wp:extent cx="72390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Raymond Chang</w:t>
      </w:r>
    </w:p>
    <w:p>
      <w:pPr>
        <w:spacing w:after="0" w:line="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2468 Industrial Row Drive, Troy, MI 48084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2468 Industrial Row Drive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Troy, Michigan 48084</w:t>
      </w:r>
    </w:p>
    <w:p>
      <w:pPr>
        <w:spacing w:after="0" w:line="4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December 29, 2023</w:t>
      </w:r>
    </w:p>
    <w:p>
      <w:pPr>
        <w:spacing w:after="0" w:line="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45"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Agrify Corporation (“Agrify”) will hold its Virtual Annual Meeting of Stockholders on December 29, 2023 at 10:00 a.m., Eastern Time. To be admitted to the Annual Meeting at </w:t>
      </w:r>
      <w:r>
        <w:rPr>
          <w:rFonts w:ascii="Times New Roman" w:cs="Times New Roman" w:eastAsia="Times New Roman" w:hAnsi="Times New Roman"/>
          <w:sz w:val="17"/>
          <w:szCs w:val="17"/>
          <w:i w:val="1"/>
          <w:iCs w:val="1"/>
          <w:color w:val="auto"/>
        </w:rPr>
        <w:t xml:space="preserve">www.virtualshareholdermeeting.com/AGFY2023, </w:t>
      </w:r>
      <w:r>
        <w:rPr>
          <w:rFonts w:ascii="Times New Roman" w:cs="Times New Roman" w:eastAsia="Times New Roman" w:hAnsi="Times New Roman"/>
          <w:sz w:val="17"/>
          <w:szCs w:val="17"/>
          <w:color w:val="auto"/>
        </w:rPr>
        <w:t>you must enter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 You may vote during the Annual Meeting by following the instructions available on the meeting website during the meeting.</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six directors, each for a one-year term;</w:t>
      </w:r>
    </w:p>
    <w:p>
      <w:pPr>
        <w:spacing w:after="0" w:line="145"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Marcum, LLP as the Company’s independent registered public accounting firm for the fiscal year ending December 31, 2023;</w:t>
      </w:r>
    </w:p>
    <w:p>
      <w:pPr>
        <w:spacing w:after="0" w:line="81"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authorized shares of Common Stock from 10,000,000 to 35,000,000, and to correspondingly increase the total authorized shares of stock from 13,000,000 to 38,000,000;</w:t>
      </w:r>
    </w:p>
    <w:p>
      <w:pPr>
        <w:spacing w:after="0" w:line="98" w:lineRule="exact"/>
        <w:rPr>
          <w:rFonts w:ascii="Times New Roman" w:cs="Times New Roman" w:eastAsia="Times New Roman" w:hAnsi="Times New Roman"/>
          <w:sz w:val="17"/>
          <w:szCs w:val="17"/>
          <w:color w:val="auto"/>
        </w:rPr>
      </w:pPr>
    </w:p>
    <w:p>
      <w:pPr>
        <w:ind w:left="1420" w:right="87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5635(d), the increase in the number of shares of Common Stock underlying the warrant issued by the Company on October 27, 2023 upon the occurrence of certain equity issuances or conversions;</w:t>
      </w:r>
    </w:p>
    <w:p>
      <w:pPr>
        <w:spacing w:after="0" w:line="85" w:lineRule="exact"/>
        <w:rPr>
          <w:rFonts w:ascii="Times New Roman" w:cs="Times New Roman" w:eastAsia="Times New Roman" w:hAnsi="Times New Roman"/>
          <w:sz w:val="17"/>
          <w:szCs w:val="17"/>
          <w:color w:val="auto"/>
        </w:rPr>
      </w:pPr>
    </w:p>
    <w:p>
      <w:pPr>
        <w:ind w:left="1420" w:right="659" w:hanging="426"/>
        <w:spacing w:after="0" w:line="265"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 the amendment of the Senior Secured Convertible Note held by CP Acquisitions LLC, an affiliate of Raymond Chang and I-Tseng Jenny Chan (“CP Acquisitions”), to, among other things, consolidate a Senior Secured Note and a certain promissory note held by CP Acquisitions with the convertible note, decrease the conversion price thereunder to $1.46 per share of Common Stock and to increase the beneficial ownership limitation to 49.99%;</w:t>
      </w:r>
    </w:p>
    <w:p>
      <w:pPr>
        <w:spacing w:after="0" w:line="106" w:lineRule="exact"/>
        <w:rPr>
          <w:rFonts w:ascii="Times New Roman" w:cs="Times New Roman" w:eastAsia="Times New Roman" w:hAnsi="Times New Roman"/>
          <w:sz w:val="17"/>
          <w:szCs w:val="17"/>
          <w:color w:val="auto"/>
        </w:rPr>
      </w:pPr>
    </w:p>
    <w:p>
      <w:pPr>
        <w:ind w:left="1420" w:right="73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 and to revise the minimum vesting provision; and</w:t>
      </w:r>
    </w:p>
    <w:p>
      <w:pPr>
        <w:spacing w:after="0" w:line="98"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Annual Meeting in order to solicit additional proxies if there are not sufficient shares to be voted in favor of any of the foregoing proposals at the time of the Annual Meeting.</w:t>
      </w:r>
    </w:p>
    <w:p>
      <w:pPr>
        <w:spacing w:after="0" w:line="8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December 6, 2023 as the record date for determining stockholders entitled to vote at the Annual Meeting. As of December 2, 2023, Agrify had 1,701,243 shares of Common Stock outstanding. A list of stockholders on that date will be available for inspection at Agrify’s corporate headquarters, 2468 Industrial Row Drive, Troy, Michigan 48084, during normal business hours for the ten-day period prior to the Annual Meeting. Only holders of our Common Stock as of the close of business on December 6, 2023 are entitled to vote at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237490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On or about December 15, 2023, we are mailing to our stockholders our proxy statement, proxy and 2022 Annual Report on Form 10-K.</w:t>
      </w:r>
    </w:p>
    <w:p>
      <w:pPr>
        <w:spacing w:after="0" w:line="1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45720</wp:posOffset>
            </wp:positionV>
            <wp:extent cx="72390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Raymond Chang</w:t>
      </w:r>
    </w:p>
    <w:p>
      <w:pPr>
        <w:spacing w:after="0" w:line="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Troy, Michigan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15, 2023</w:t>
      </w:r>
    </w:p>
    <w:p>
      <w:pPr>
        <w:spacing w:after="0" w:line="138" w:lineRule="exact"/>
        <w:rPr>
          <w:sz w:val="20"/>
          <w:szCs w:val="20"/>
          <w:color w:val="auto"/>
        </w:rPr>
      </w:pPr>
    </w:p>
    <w:p>
      <w:pPr>
        <w:ind w:left="580" w:right="9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Annual Meeting of Stockholders Meeting to be Held on December 29, 2023: The Notice of Annual Meeting and Proxy Statement and our 2022 Annual Report on Form 10-K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2468 Industrial Row Drive • Troy, Michigan 48084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237490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top w:val="single" w:sz="8" w:color="CCEEFF"/>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GENERAL INFORMATION</w:t>
            </w:r>
          </w:p>
        </w:tc>
        <w:tc>
          <w:tcPr>
            <w:tcW w:w="5000" w:type="dxa"/>
            <w:vAlign w:val="bottom"/>
            <w:tcBorders>
              <w:top w:val="single" w:sz="8" w:color="CCEEFF"/>
              <w:bottom w:val="single" w:sz="8" w:color="CCEEFF"/>
            </w:tcBorders>
            <w:gridSpan w:val="21"/>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ITEM 1 — ELECTION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CORPORATE GOVERNANCE</w:t>
            </w:r>
          </w:p>
        </w:tc>
        <w:tc>
          <w:tcPr>
            <w:tcW w:w="4800" w:type="dxa"/>
            <w:vAlign w:val="bottom"/>
            <w:tcBorders>
              <w:bottom w:val="single" w:sz="8" w:color="CCEEFF"/>
            </w:tcBorders>
            <w:gridSpan w:val="2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STOCK OWNERSHIP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EQUITY COMPENSATION PLANS</w:t>
            </w:r>
          </w:p>
        </w:tc>
        <w:tc>
          <w:tcPr>
            <w:tcW w:w="4420" w:type="dxa"/>
            <w:vAlign w:val="bottom"/>
            <w:tcBorders>
              <w:bottom w:val="single" w:sz="8" w:color="CCEEFF"/>
            </w:tcBorders>
            <w:gridSpan w:val="1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6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 OF NAMED EXECUTIVE OFFICERS</w:t>
            </w:r>
          </w:p>
        </w:tc>
        <w:tc>
          <w:tcPr>
            <w:tcW w:w="2880" w:type="dxa"/>
            <w:vAlign w:val="bottom"/>
            <w:tcBorders>
              <w:bottom w:val="single" w:sz="8" w:color="CCEEFF"/>
            </w:tcBorders>
            <w:gridSpan w:val="1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PAY VERSUS PERFORMANCE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6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4080" w:type="dxa"/>
            <w:vAlign w:val="bottom"/>
            <w:tcBorders>
              <w:bottom w:val="single" w:sz="8" w:color="CCEEFF"/>
            </w:tcBorders>
            <w:gridSpan w:val="1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ITEM 2 — RATIFICATION OF AUDITOR APPOINTMENT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700" w:type="dxa"/>
            <w:vAlign w:val="bottom"/>
            <w:tcBorders>
              <w:bottom w:val="single" w:sz="8" w:color="0000EE"/>
            </w:tcBorders>
            <w:gridSpan w:val="26"/>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3 — APPROVAL OF AN AMENDMENT TO OUR ARTICLES OF INCORPORATION</w:t>
            </w:r>
          </w:p>
        </w:tc>
        <w:tc>
          <w:tcPr>
            <w:tcW w:w="34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TO INCREASE THE AUTHORIZED SHARES OF COMMON STOCK</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40" w:type="dxa"/>
            <w:vAlign w:val="bottom"/>
            <w:tcBorders>
              <w:bottom w:val="single" w:sz="8" w:color="0000EE"/>
            </w:tcBorders>
            <w:gridSpan w:val="25"/>
          </w:tcPr>
          <w:p>
            <w:pPr>
              <w:spacing w:after="0" w:line="171" w:lineRule="exact"/>
              <w:rPr>
                <w:sz w:val="20"/>
                <w:szCs w:val="20"/>
                <w:color w:val="auto"/>
              </w:rPr>
            </w:pPr>
            <w:r>
              <w:rPr>
                <w:rFonts w:ascii="Times New Roman" w:cs="Times New Roman" w:eastAsia="Times New Roman" w:hAnsi="Times New Roman"/>
                <w:sz w:val="17"/>
                <w:szCs w:val="17"/>
                <w:color w:val="0000EE"/>
              </w:rPr>
              <w:t>ITEM 4 — APPROVAL OF AN INCREASE IN THE NUMBER OF SHARES OF COMMON</w:t>
            </w:r>
          </w:p>
        </w:tc>
        <w:tc>
          <w:tcPr>
            <w:tcW w:w="40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00" w:type="dxa"/>
            <w:vAlign w:val="bottom"/>
            <w:tcBorders>
              <w:bottom w:val="single" w:sz="8" w:color="0000EE"/>
            </w:tcBorders>
            <w:gridSpan w:val="23"/>
          </w:tcPr>
          <w:p>
            <w:pPr>
              <w:spacing w:after="0" w:line="189" w:lineRule="exact"/>
              <w:rPr>
                <w:sz w:val="20"/>
                <w:szCs w:val="20"/>
                <w:color w:val="auto"/>
              </w:rPr>
            </w:pPr>
            <w:r>
              <w:rPr>
                <w:rFonts w:ascii="Times New Roman" w:cs="Times New Roman" w:eastAsia="Times New Roman" w:hAnsi="Times New Roman"/>
                <w:sz w:val="17"/>
                <w:szCs w:val="17"/>
                <w:color w:val="0000EE"/>
              </w:rPr>
              <w:t>STOCK UNDERLYING A WARRANT UPON CERTAIN EQUITY ISSUANCES OR</w:t>
            </w:r>
          </w:p>
        </w:tc>
        <w:tc>
          <w:tcPr>
            <w:tcW w:w="80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CONVERSIONS</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40" w:type="dxa"/>
            <w:vAlign w:val="bottom"/>
            <w:tcBorders>
              <w:bottom w:val="single" w:sz="8" w:color="0000EE"/>
            </w:tcBorders>
            <w:gridSpan w:val="29"/>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5 — APPROVAL OF AN AMENDMENT TO THE SENIOR SECURED CONVERTIBLE</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NOTE</w:t>
            </w:r>
          </w:p>
        </w:tc>
        <w:tc>
          <w:tcPr>
            <w:tcW w:w="6420" w:type="dxa"/>
            <w:vAlign w:val="bottom"/>
            <w:tcBorders>
              <w:bottom w:val="single" w:sz="8" w:color="CCEEFF"/>
            </w:tcBorders>
            <w:gridSpan w:val="28"/>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20" w:type="dxa"/>
            <w:vAlign w:val="bottom"/>
            <w:tcBorders>
              <w:bottom w:val="single" w:sz="8" w:color="0000EE"/>
            </w:tcBorders>
            <w:gridSpan w:val="23"/>
          </w:tcPr>
          <w:p>
            <w:pPr>
              <w:spacing w:after="0" w:line="171" w:lineRule="exact"/>
              <w:rPr>
                <w:sz w:val="20"/>
                <w:szCs w:val="20"/>
                <w:color w:val="auto"/>
              </w:rPr>
            </w:pPr>
            <w:r>
              <w:rPr>
                <w:rFonts w:ascii="Times New Roman" w:cs="Times New Roman" w:eastAsia="Times New Roman" w:hAnsi="Times New Roman"/>
                <w:sz w:val="17"/>
                <w:szCs w:val="17"/>
                <w:color w:val="0000EE"/>
              </w:rPr>
              <w:t>ITEM 6 — APPROVAL OF AN AMENDMENT TO THE 2022 OMNIBUS EQUITY</w:t>
            </w:r>
          </w:p>
        </w:tc>
        <w:tc>
          <w:tcPr>
            <w:tcW w:w="1020" w:type="dxa"/>
            <w:vAlign w:val="bottom"/>
            <w:gridSpan w:val="7"/>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INCENTIVE PLAN</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30"/>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7 — APPROVAL OF THE ADJOURNMENT OF THE ANNUAL MEETING IN ORDER</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top w:val="single" w:sz="8" w:color="0000EE"/>
              <w:bottom w:val="single" w:sz="8" w:color="CCEEFF"/>
            </w:tcBorders>
            <w:shd w:val="clear" w:color="auto" w:fill="CCEEFF"/>
          </w:tcPr>
          <w:p>
            <w:pPr>
              <w:spacing w:after="0"/>
              <w:rPr>
                <w:sz w:val="21"/>
                <w:szCs w:val="21"/>
                <w:color w:val="auto"/>
              </w:rPr>
            </w:pPr>
          </w:p>
        </w:tc>
        <w:tc>
          <w:tcPr>
            <w:tcW w:w="2860" w:type="dxa"/>
            <w:vAlign w:val="bottom"/>
            <w:tcBorders>
              <w:top w:val="single" w:sz="8" w:color="0000EE"/>
              <w:bottom w:val="single" w:sz="8" w:color="0000EE"/>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TO SOLICIT ADDITIONAL PROXIES</w:t>
            </w:r>
          </w:p>
        </w:tc>
        <w:tc>
          <w:tcPr>
            <w:tcW w:w="3800" w:type="dxa"/>
            <w:vAlign w:val="bottom"/>
            <w:tcBorders>
              <w:top w:val="single" w:sz="8" w:color="0000EE"/>
              <w:bottom w:val="single" w:sz="8" w:color="CCEEFF"/>
            </w:tcBorders>
            <w:gridSpan w:val="11"/>
            <w:shd w:val="clear" w:color="auto" w:fill="CCEEFF"/>
          </w:tcPr>
          <w:p>
            <w:pPr>
              <w:spacing w:after="0"/>
              <w:rPr>
                <w:sz w:val="21"/>
                <w:szCs w:val="21"/>
                <w:color w:val="auto"/>
              </w:rPr>
            </w:pPr>
          </w:p>
        </w:tc>
        <w:tc>
          <w:tcPr>
            <w:tcW w:w="2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EXPENSES OF SOLICITATION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70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234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OTHER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ADVANCE NOTICE PROCEDURES AND STOCKHOLDER PROPOSALS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30"/>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APPENDIX A: AGRIFY CORPORATION 2022 OMNIBUS EQUITY INCENTIVE PLAN (AS</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shd w:val="clear" w:color="auto" w:fill="CCEEFF"/>
          </w:tcPr>
          <w:p>
            <w:pPr>
              <w:spacing w:after="0"/>
              <w:rPr>
                <w:sz w:val="16"/>
                <w:szCs w:val="16"/>
                <w:color w:val="auto"/>
              </w:rPr>
            </w:pPr>
          </w:p>
        </w:tc>
        <w:tc>
          <w:tcPr>
            <w:tcW w:w="6600" w:type="dxa"/>
            <w:vAlign w:val="bottom"/>
            <w:tcBorders>
              <w:top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AMENDED)</w:t>
            </w:r>
          </w:p>
        </w:tc>
        <w:tc>
          <w:tcPr>
            <w:tcW w:w="300" w:type="dxa"/>
            <w:vAlign w:val="bottom"/>
            <w:tcBorders>
              <w:top w:val="single" w:sz="8" w:color="CCEEFF"/>
            </w:tcBorders>
            <w:gridSpan w:val="3"/>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Information</w:t>
      </w:r>
    </w:p>
    <w:p>
      <w:pPr>
        <w:spacing w:after="0" w:line="147"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Annual Meeting of Stockholders of Agrify Corporation (the “Company” or “Agrify”) to be held on December 29, 2023, beginning at 10:00 a.m., Eastern Time, and any postponements or adjournments thereof (the “Annual Meeting”). This proxy statement was prepared at the direction of our Board of Directors to solicit your proxy for use at the Annual Meeting. On or about December 15, 2023, we are mailing to our stockholders our proxy statement, Annual Report and proxy materials.</w:t>
      </w:r>
    </w:p>
    <w:p>
      <w:pPr>
        <w:spacing w:after="0" w:line="104" w:lineRule="exact"/>
        <w:rPr>
          <w:sz w:val="20"/>
          <w:szCs w:val="20"/>
          <w:color w:val="auto"/>
        </w:rPr>
      </w:pPr>
    </w:p>
    <w:p>
      <w:pPr>
        <w:ind w:left="580" w:right="659" w:firstLine="419"/>
        <w:spacing w:after="0" w:line="271" w:lineRule="auto"/>
        <w:rPr>
          <w:sz w:val="20"/>
          <w:szCs w:val="20"/>
          <w:color w:val="auto"/>
        </w:rPr>
      </w:pPr>
      <w:r>
        <w:rPr>
          <w:rFonts w:ascii="Times New Roman" w:cs="Times New Roman" w:eastAsia="Times New Roman" w:hAnsi="Times New Roman"/>
          <w:sz w:val="17"/>
          <w:szCs w:val="17"/>
          <w:color w:val="auto"/>
        </w:rPr>
        <w:t xml:space="preserve">To be admitted to the Annual Meeting at </w:t>
      </w:r>
      <w:r>
        <w:rPr>
          <w:rFonts w:ascii="Times New Roman" w:cs="Times New Roman" w:eastAsia="Times New Roman" w:hAnsi="Times New Roman"/>
          <w:sz w:val="17"/>
          <w:szCs w:val="17"/>
          <w:i w:val="1"/>
          <w:iCs w:val="1"/>
          <w:color w:val="auto"/>
        </w:rPr>
        <w:t>www.virtualshareholdermeeting.com/AGFY2023</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spacing w:after="0" w:line="99" w:lineRule="exact"/>
        <w:rPr>
          <w:sz w:val="20"/>
          <w:szCs w:val="20"/>
          <w:color w:val="auto"/>
        </w:rPr>
      </w:pPr>
    </w:p>
    <w:p>
      <w:pPr>
        <w:ind w:left="1000" w:hanging="426"/>
        <w:spacing w:after="0"/>
        <w:tabs>
          <w:tab w:leader="none" w:pos="10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ind w:left="1000" w:right="579" w:hanging="426"/>
        <w:spacing w:after="0" w:line="270" w:lineRule="auto"/>
        <w:tabs>
          <w:tab w:leader="none" w:pos="9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Annual Meeting. Certain directors, officers and employees of Agrify may (without compensation), and Alliance Advisors (our proxy solicitor) will, solicit proxies on our behalf by mail, phone, fax, Internet or at the Annual Meeting.</w:t>
      </w:r>
    </w:p>
    <w:p>
      <w:pPr>
        <w:spacing w:after="0" w:line="101" w:lineRule="exact"/>
        <w:rPr>
          <w:sz w:val="20"/>
          <w:szCs w:val="20"/>
          <w:color w:val="auto"/>
        </w:rPr>
      </w:pPr>
    </w:p>
    <w:p>
      <w:pPr>
        <w:ind w:left="1000" w:hanging="426"/>
        <w:spacing w:after="0"/>
        <w:tabs>
          <w:tab w:leader="none" w:pos="10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ind w:left="1000" w:right="999" w:hanging="426"/>
        <w:spacing w:after="0" w:line="270" w:lineRule="auto"/>
        <w:tabs>
          <w:tab w:leader="none" w:pos="9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the solicitation of proxies, including Alliance Advisors’ estimated fee of approximately $15,000, plus out-of-pocket expenses. Agrify also will reimburse banks, brokers, custodians, nominees and fiduciaries for their reasonable charges and expenses to forward our proxy materials to the beneficial owners of Agrify Common Stock.</w:t>
      </w:r>
    </w:p>
    <w:p>
      <w:pPr>
        <w:spacing w:after="0" w:line="88" w:lineRule="exact"/>
        <w:rPr>
          <w:sz w:val="20"/>
          <w:szCs w:val="20"/>
          <w:color w:val="auto"/>
        </w:rPr>
      </w:pPr>
    </w:p>
    <w:p>
      <w:pPr>
        <w:ind w:left="1000" w:hanging="426"/>
        <w:spacing w:after="0"/>
        <w:tabs>
          <w:tab w:leader="none" w:pos="10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seven items scheduled to be voted on at the Annual Meeting:</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9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The election of Raymond Chang, Max Holtzman, I-Tseng Jenny Chan, Timothy Mahoney, Leonard J. Sokolow, and Krishnan Varier and Stuart Wilcox to the Board of Directors;</w:t>
      </w:r>
    </w:p>
    <w:p>
      <w:pPr>
        <w:spacing w:after="0" w:line="67"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The ratification of the appointment of Marcum, LLP as our independent registered public accounting firm for the fiscal year ending December 31, 2023 (the “Auditor Appointment”);</w:t>
      </w:r>
    </w:p>
    <w:p>
      <w:pPr>
        <w:spacing w:after="0" w:line="81" w:lineRule="exact"/>
        <w:rPr>
          <w:rFonts w:ascii="Times New Roman" w:cs="Times New Roman" w:eastAsia="Times New Roman" w:hAnsi="Times New Roman"/>
          <w:sz w:val="17"/>
          <w:szCs w:val="17"/>
          <w:color w:val="auto"/>
        </w:rPr>
      </w:pPr>
    </w:p>
    <w:p>
      <w:pPr>
        <w:ind w:left="1420" w:right="619" w:hanging="426"/>
        <w:spacing w:after="0" w:line="274"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The approval of an Amendment to our Articles of Incorporation to increase the number of authorized shares of Common Stock from 10,000,000 to 35,000,000, and to correspondingly increase the total authorized shares of stock from 13,000,000 to 38,000,000 (the “Authorized Share Increase”);</w:t>
      </w:r>
    </w:p>
    <w:p>
      <w:pPr>
        <w:spacing w:after="0" w:line="312" w:lineRule="exact"/>
        <w:rPr>
          <w:rFonts w:ascii="Times New Roman" w:cs="Times New Roman" w:eastAsia="Times New Roman" w:hAnsi="Times New Roman"/>
          <w:sz w:val="17"/>
          <w:szCs w:val="17"/>
          <w:color w:val="auto"/>
        </w:rPr>
      </w:pPr>
    </w:p>
    <w:p>
      <w:pPr>
        <w:ind w:left="1420" w:right="69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4 — The approval, as required by Nasdaq Listing Rule 5635(d), the increase in the number of shares of Common Stock underlying the warrant issued by us on October 27, 2023 upon the occurrence of certain equity issuances or conversions (the “Warrant Adjustment Proposal”);</w:t>
      </w:r>
    </w:p>
    <w:p>
      <w:pPr>
        <w:spacing w:after="0" w:line="85" w:lineRule="exact"/>
        <w:rPr>
          <w:rFonts w:ascii="Times New Roman" w:cs="Times New Roman" w:eastAsia="Times New Roman" w:hAnsi="Times New Roman"/>
          <w:sz w:val="17"/>
          <w:szCs w:val="17"/>
          <w:color w:val="auto"/>
        </w:rPr>
      </w:pPr>
    </w:p>
    <w:p>
      <w:pPr>
        <w:ind w:left="1420" w:right="719" w:hanging="426"/>
        <w:spacing w:after="0" w:line="265"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 The approval, as required by Nasdaq Listing Rule 5635, the amendment of the Senior Secured Convertible Note held by CP Acquisitions LLC, an affiliate of Raymond Chang and I-Tseng Jenny Chan (“CP Acquisitions”), to, among other things, consolidate a Senior Secured Note and a certain promissory note held by CP Acquisitions with the convertible note, decrease the conversion price thereunder to $1.46 per share of Common Stock and to increase the beneficial ownership limitation to 49.99% (the “Note Amendment Proposal”);</w:t>
      </w:r>
    </w:p>
    <w:p>
      <w:pPr>
        <w:spacing w:after="0" w:line="106" w:lineRule="exact"/>
        <w:rPr>
          <w:rFonts w:ascii="Times New Roman" w:cs="Times New Roman" w:eastAsia="Times New Roman" w:hAnsi="Times New Roman"/>
          <w:sz w:val="17"/>
          <w:szCs w:val="17"/>
          <w:color w:val="auto"/>
        </w:rPr>
      </w:pPr>
    </w:p>
    <w:p>
      <w:pPr>
        <w:ind w:left="1420" w:right="59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6 — The approval of an amendment to the Agrify Corporation 2022 Omnibus Equity Incentive Plan to increase the number of shares of Common Stock available for issuance thereunder by 250,000 and to revise the minimum vesting provision (the “Equity Plan Proposal”); and</w:t>
      </w:r>
    </w:p>
    <w:p>
      <w:pPr>
        <w:spacing w:after="0" w:line="98"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7 — The approval of an adjournment of the Annual Meeting in order to solicit additional proxies if there are not sufficient shares to be voted in favor of any of the foregoing proposals at the time of the Annual Meeting (the “Adjournment Proposal”).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60" w:lineRule="exact"/>
        <w:rPr>
          <w:sz w:val="20"/>
          <w:szCs w:val="20"/>
          <w:color w:val="auto"/>
        </w:rPr>
      </w:pPr>
    </w:p>
    <w:p>
      <w:pPr>
        <w:ind w:left="1000" w:right="639" w:hanging="426"/>
        <w:spacing w:after="0" w:line="276" w:lineRule="auto"/>
        <w:tabs>
          <w:tab w:leader="none" w:pos="97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December 6, 2023, the record date for the Annual Meeting (the “Record Date”), can vote. If you owned Common Stock on the Record Date, you have one vote per share for each Item up for vote at the Annual Meeting.</w:t>
      </w:r>
    </w:p>
    <w:p>
      <w:pPr>
        <w:spacing w:after="0" w:line="96" w:lineRule="exact"/>
        <w:rPr>
          <w:sz w:val="20"/>
          <w:szCs w:val="20"/>
          <w:color w:val="auto"/>
        </w:rPr>
      </w:pPr>
    </w:p>
    <w:p>
      <w:pPr>
        <w:ind w:left="1000" w:hanging="426"/>
        <w:spacing w:after="0"/>
        <w:tabs>
          <w:tab w:leader="none" w:pos="10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45" w:lineRule="exact"/>
        <w:rPr>
          <w:sz w:val="20"/>
          <w:szCs w:val="20"/>
          <w:color w:val="auto"/>
        </w:rPr>
      </w:pPr>
    </w:p>
    <w:p>
      <w:pPr>
        <w:ind w:left="1000" w:right="619" w:hanging="426"/>
        <w:spacing w:after="0" w:line="278" w:lineRule="auto"/>
        <w:tabs>
          <w:tab w:leader="none" w:pos="9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Annual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96" w:lineRule="exact"/>
        <w:rPr>
          <w:sz w:val="20"/>
          <w:szCs w:val="20"/>
          <w:color w:val="auto"/>
        </w:rPr>
      </w:pPr>
    </w:p>
    <w:p>
      <w:pPr>
        <w:ind w:left="1000" w:right="6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www.virtualshareholdermeeting.com/AGFY2023</w:t>
      </w:r>
      <w:r>
        <w:rPr>
          <w:rFonts w:ascii="Times New Roman" w:cs="Times New Roman" w:eastAsia="Times New Roman" w:hAnsi="Times New Roman"/>
          <w:sz w:val="17"/>
          <w:szCs w:val="17"/>
          <w:color w:val="auto"/>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w:cs="Times New Roman" w:eastAsia="Times New Roman" w:hAnsi="Times New Roman"/>
          <w:sz w:val="17"/>
          <w:szCs w:val="17"/>
          <w:i w:val="1"/>
          <w:iCs w:val="1"/>
          <w:color w:val="auto"/>
        </w:rPr>
        <w:t xml:space="preserve">www.virtualshareholdermeeting.com/AGFY2023, </w:t>
      </w:r>
      <w:r>
        <w:rPr>
          <w:rFonts w:ascii="Times New Roman" w:cs="Times New Roman" w:eastAsia="Times New Roman" w:hAnsi="Times New Roman"/>
          <w:sz w:val="17"/>
          <w:szCs w:val="17"/>
          <w:color w:val="auto"/>
        </w:rPr>
        <w:t>type your question into the “Ask a Question” field,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click “Submit.” Questions pertinent to meeting matters will be read and answered during the meeting, subject to time constraints.</w:t>
      </w:r>
    </w:p>
    <w:p>
      <w:pPr>
        <w:spacing w:after="0" w:line="321" w:lineRule="exact"/>
        <w:rPr>
          <w:sz w:val="20"/>
          <w:szCs w:val="20"/>
          <w:color w:val="auto"/>
        </w:rPr>
      </w:pPr>
    </w:p>
    <w:p>
      <w:pPr>
        <w:ind w:left="1000" w:right="63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66" w:lineRule="exact"/>
        <w:rPr>
          <w:sz w:val="20"/>
          <w:szCs w:val="20"/>
          <w:color w:val="auto"/>
        </w:rPr>
      </w:pPr>
    </w:p>
    <w:p>
      <w:pPr>
        <w:ind w:left="1000" w:hanging="426"/>
        <w:spacing w:after="0"/>
        <w:tabs>
          <w:tab w:leader="none" w:pos="100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60" w:lineRule="exact"/>
        <w:rPr>
          <w:sz w:val="20"/>
          <w:szCs w:val="20"/>
          <w:color w:val="auto"/>
        </w:rPr>
      </w:pPr>
    </w:p>
    <w:p>
      <w:pPr>
        <w:ind w:left="1000" w:right="599" w:hanging="426"/>
        <w:spacing w:after="0" w:line="267" w:lineRule="auto"/>
        <w:tabs>
          <w:tab w:leader="none" w:pos="9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December 28, 2023.</w:t>
      </w:r>
    </w:p>
    <w:p>
      <w:pPr>
        <w:spacing w:after="0" w:line="103" w:lineRule="exact"/>
        <w:rPr>
          <w:sz w:val="20"/>
          <w:szCs w:val="20"/>
          <w:color w:val="auto"/>
        </w:rPr>
      </w:pPr>
    </w:p>
    <w:p>
      <w:pPr>
        <w:ind w:left="1000" w:hanging="426"/>
        <w:spacing w:after="0"/>
        <w:tabs>
          <w:tab w:leader="none" w:pos="100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47" w:lineRule="exact"/>
        <w:rPr>
          <w:sz w:val="20"/>
          <w:szCs w:val="20"/>
          <w:color w:val="auto"/>
        </w:rPr>
      </w:pPr>
    </w:p>
    <w:p>
      <w:pPr>
        <w:ind w:left="980" w:hanging="406"/>
        <w:spacing w:after="0"/>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each of the seven proposals as follows:</w:t>
      </w:r>
    </w:p>
    <w:p>
      <w:pPr>
        <w:spacing w:after="0" w:line="156" w:lineRule="exact"/>
        <w:rPr>
          <w:rFonts w:ascii="Times New Roman" w:cs="Times New Roman" w:eastAsia="Times New Roman" w:hAnsi="Times New Roman"/>
          <w:sz w:val="17"/>
          <w:szCs w:val="17"/>
          <w:color w:val="auto"/>
        </w:rPr>
      </w:pPr>
    </w:p>
    <w:p>
      <w:pPr>
        <w:ind w:left="1420" w:right="91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“WITHHOLD” </w:t>
      </w:r>
      <w:r>
        <w:rPr>
          <w:rFonts w:ascii="Times New Roman" w:cs="Times New Roman" w:eastAsia="Times New Roman" w:hAnsi="Times New Roman"/>
          <w:sz w:val="17"/>
          <w:szCs w:val="17"/>
          <w:color w:val="auto"/>
        </w:rPr>
        <w:t>with respect to each nominee to our Board of Directors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1 of this proxy statement;</w:t>
      </w:r>
    </w:p>
    <w:p>
      <w:pPr>
        <w:spacing w:after="0" w:line="76" w:lineRule="exact"/>
        <w:rPr>
          <w:rFonts w:ascii="Times New Roman" w:cs="Times New Roman" w:eastAsia="Times New Roman" w:hAnsi="Times New Roman"/>
          <w:sz w:val="17"/>
          <w:szCs w:val="17"/>
          <w:color w:val="auto"/>
        </w:rPr>
      </w:pPr>
    </w:p>
    <w:p>
      <w:pPr>
        <w:ind w:left="1420" w:right="71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ratification and approval of the Auditor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Appointment described in Item 2 of this proxy statement;</w:t>
      </w:r>
    </w:p>
    <w:p>
      <w:pPr>
        <w:spacing w:after="0" w:line="63" w:lineRule="exact"/>
        <w:rPr>
          <w:rFonts w:ascii="Times New Roman" w:cs="Times New Roman" w:eastAsia="Times New Roman" w:hAnsi="Times New Roman"/>
          <w:sz w:val="17"/>
          <w:szCs w:val="17"/>
          <w:color w:val="auto"/>
        </w:rPr>
      </w:pPr>
    </w:p>
    <w:p>
      <w:pPr>
        <w:ind w:left="1420" w:right="71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Authorized Share Increase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3 of this proxy statement;</w:t>
      </w:r>
    </w:p>
    <w:p>
      <w:pPr>
        <w:spacing w:after="0" w:line="76" w:lineRule="exact"/>
        <w:rPr>
          <w:rFonts w:ascii="Times New Roman" w:cs="Times New Roman" w:eastAsia="Times New Roman" w:hAnsi="Times New Roman"/>
          <w:sz w:val="17"/>
          <w:szCs w:val="17"/>
          <w:color w:val="auto"/>
        </w:rPr>
      </w:pPr>
    </w:p>
    <w:p>
      <w:pPr>
        <w:ind w:left="1420" w:right="67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Warrant Adjustment Proposal described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Item 4 of this proxy statement;</w:t>
      </w:r>
    </w:p>
    <w:p>
      <w:pPr>
        <w:spacing w:after="0" w:line="76" w:lineRule="exact"/>
        <w:rPr>
          <w:rFonts w:ascii="Times New Roman" w:cs="Times New Roman" w:eastAsia="Times New Roman" w:hAnsi="Times New Roman"/>
          <w:sz w:val="17"/>
          <w:szCs w:val="17"/>
          <w:color w:val="auto"/>
        </w:rPr>
      </w:pPr>
    </w:p>
    <w:p>
      <w:pPr>
        <w:ind w:left="1420" w:right="67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Note Amendment Proposal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5 of this proxy statement;</w:t>
      </w:r>
    </w:p>
    <w:p>
      <w:pPr>
        <w:spacing w:after="0" w:line="63"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Equity Plan Proposal described in Item 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99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Adjournment Proposal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7 of this proxy statement.</w:t>
      </w:r>
    </w:p>
    <w:p>
      <w:pPr>
        <w:spacing w:after="0" w:line="65" w:lineRule="exact"/>
        <w:rPr>
          <w:sz w:val="20"/>
          <w:szCs w:val="20"/>
          <w:color w:val="auto"/>
        </w:rPr>
      </w:pPr>
    </w:p>
    <w:p>
      <w:pPr>
        <w:ind w:left="1000" w:right="859"/>
        <w:spacing w:after="0" w:line="270"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for director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Items 2 through 7. Giving a proxy will not affect your right to vote your shares at the Annual Meeting. If you attend the Annual Meeting, you may revoke your proxy and vote at the Annual Meeting if you wish.</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withhold my vote for an individual director?</w:t>
      </w:r>
    </w:p>
    <w:p>
      <w:pPr>
        <w:spacing w:after="0" w:line="160" w:lineRule="exact"/>
        <w:rPr>
          <w:sz w:val="20"/>
          <w:szCs w:val="20"/>
          <w:color w:val="auto"/>
        </w:rPr>
      </w:pPr>
    </w:p>
    <w:p>
      <w:pPr>
        <w:jc w:val="both"/>
        <w:ind w:left="1000" w:right="639" w:hanging="426"/>
        <w:spacing w:after="0" w:line="262" w:lineRule="auto"/>
        <w:tabs>
          <w:tab w:leader="none" w:pos="9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Withheld votes are not included in the vote tally for the election of directors. If you wish your shares to be 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w:t>
      </w:r>
    </w:p>
    <w:p>
      <w:pPr>
        <w:spacing w:after="0" w:line="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marked </w:t>
      </w:r>
      <w:r>
        <w:rPr>
          <w:rFonts w:ascii="Times New Roman" w:cs="Times New Roman" w:eastAsia="Times New Roman" w:hAnsi="Times New Roman"/>
          <w:sz w:val="17"/>
          <w:szCs w:val="17"/>
          <w:b w:val="1"/>
          <w:bCs w:val="1"/>
          <w:color w:val="auto"/>
        </w:rPr>
        <w:t>“WITHHOLD ALL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38" w:lineRule="exact"/>
        <w:rPr>
          <w:sz w:val="20"/>
          <w:szCs w:val="20"/>
          <w:color w:val="auto"/>
        </w:rPr>
      </w:pPr>
    </w:p>
    <w:p>
      <w:pPr>
        <w:ind w:left="1000" w:hanging="426"/>
        <w:spacing w:after="0"/>
        <w:tabs>
          <w:tab w:leader="none" w:pos="10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47" w:lineRule="exact"/>
        <w:rPr>
          <w:sz w:val="20"/>
          <w:szCs w:val="20"/>
          <w:color w:val="auto"/>
        </w:rPr>
      </w:pPr>
    </w:p>
    <w:p>
      <w:pPr>
        <w:ind w:left="1000" w:right="759" w:hanging="426"/>
        <w:spacing w:after="0" w:line="265" w:lineRule="auto"/>
        <w:tabs>
          <w:tab w:leader="none" w:pos="9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104"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60" w:lineRule="exact"/>
        <w:rPr>
          <w:sz w:val="20"/>
          <w:szCs w:val="20"/>
          <w:color w:val="auto"/>
        </w:rPr>
      </w:pPr>
    </w:p>
    <w:p>
      <w:pPr>
        <w:ind w:left="1000" w:right="599" w:hanging="426"/>
        <w:spacing w:after="0" w:line="262" w:lineRule="auto"/>
        <w:tabs>
          <w:tab w:leader="none" w:pos="97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election of directors, or Item 4, the Warrant Adjustment Proposal, Item 5, the</w:t>
      </w:r>
    </w:p>
    <w:p>
      <w:pPr>
        <w:spacing w:after="0" w:line="2" w:lineRule="exact"/>
        <w:rPr>
          <w:rFonts w:ascii="Times New Roman" w:cs="Times New Roman" w:eastAsia="Times New Roman" w:hAnsi="Times New Roman"/>
          <w:sz w:val="17"/>
          <w:szCs w:val="17"/>
          <w:color w:val="auto"/>
        </w:rPr>
      </w:pPr>
    </w:p>
    <w:p>
      <w:pPr>
        <w:ind w:left="1000" w:right="97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Amendment Proposal, Item 6, the Equity Plan Proposal, and Item 7, the Adjournment Proposal. Brokers will be able to vote on the approval of the Item 2, the Audit Appointment, and Item 3, the Authorized Share Increase, in the absence of your instructions as those matters are considered “discretionary” items.</w:t>
      </w:r>
    </w:p>
    <w:p>
      <w:pPr>
        <w:spacing w:after="0" w:line="92" w:lineRule="exact"/>
        <w:rPr>
          <w:sz w:val="20"/>
          <w:szCs w:val="20"/>
          <w:color w:val="auto"/>
        </w:rPr>
      </w:pPr>
    </w:p>
    <w:p>
      <w:pPr>
        <w:ind w:left="1000" w:right="599" w:hanging="426"/>
        <w:spacing w:after="0" w:line="299" w:lineRule="auto"/>
        <w:tabs>
          <w:tab w:leader="none" w:pos="997"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the proposals at the Annual Meeting?</w:t>
      </w:r>
    </w:p>
    <w:p>
      <w:pPr>
        <w:spacing w:after="0" w:line="78" w:lineRule="exact"/>
        <w:rPr>
          <w:sz w:val="20"/>
          <w:szCs w:val="20"/>
          <w:color w:val="auto"/>
        </w:rPr>
      </w:pPr>
    </w:p>
    <w:p>
      <w:pPr>
        <w:ind w:left="1000" w:right="579" w:hanging="426"/>
        <w:spacing w:after="0" w:line="260" w:lineRule="auto"/>
        <w:tabs>
          <w:tab w:leader="none" w:pos="97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Because directors will be elected by a plurality of the votes cast (i.e., the six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Items 4, 5, 6 and 7. Although abstentions are considered present and entitled to vote on a matter, abstentions are not considered to be votes cast under Nevada law, and thus will have no impact on the outcome of Items 4, 5, 6 and 7, each of which requires the favorable vote of a majority of the votes cast at the Annual Meeting by stockholders entitled to vote on the matter. </w:t>
      </w:r>
      <w:r>
        <w:rPr>
          <w:rFonts w:ascii="Times New Roman" w:cs="Times New Roman" w:eastAsia="Times New Roman" w:hAnsi="Times New Roman"/>
          <w:sz w:val="17"/>
          <w:szCs w:val="17"/>
          <w:b w:val="1"/>
          <w:bCs w:val="1"/>
          <w:color w:val="auto"/>
        </w:rPr>
        <w:t>Item 3 requires the favorable vote of a majority of our outstanding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of Common Stock, so any shares not voted (whether by abstention or otherwise) will have the same effect as a vote “against” Item 3. Accordingly, it is important that beneficial owners instruct their brokers how they wish to vote their shares on Item 3.</w:t>
      </w:r>
    </w:p>
    <w:p>
      <w:pPr>
        <w:spacing w:after="0" w:line="111" w:lineRule="exact"/>
        <w:rPr>
          <w:sz w:val="20"/>
          <w:szCs w:val="20"/>
          <w:color w:val="auto"/>
        </w:rPr>
      </w:pPr>
    </w:p>
    <w:p>
      <w:pPr>
        <w:ind w:left="1000" w:hanging="426"/>
        <w:spacing w:after="0"/>
        <w:tabs>
          <w:tab w:leader="none" w:pos="10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47" w:lineRule="exact"/>
        <w:rPr>
          <w:sz w:val="20"/>
          <w:szCs w:val="20"/>
          <w:color w:val="auto"/>
        </w:rPr>
      </w:pPr>
    </w:p>
    <w:p>
      <w:pPr>
        <w:ind w:left="1000" w:right="659" w:hanging="426"/>
        <w:spacing w:after="0" w:line="267" w:lineRule="auto"/>
        <w:tabs>
          <w:tab w:leader="none" w:pos="9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spacing w:after="0" w:line="103" w:lineRule="exact"/>
        <w:rPr>
          <w:sz w:val="20"/>
          <w:szCs w:val="20"/>
          <w:color w:val="auto"/>
        </w:rPr>
      </w:pPr>
    </w:p>
    <w:p>
      <w:pPr>
        <w:ind w:left="1000" w:hanging="426"/>
        <w:spacing w:after="0"/>
        <w:tabs>
          <w:tab w:leader="none" w:pos="10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60" w:lineRule="exact"/>
        <w:rPr>
          <w:sz w:val="20"/>
          <w:szCs w:val="20"/>
          <w:color w:val="auto"/>
        </w:rPr>
      </w:pPr>
    </w:p>
    <w:p>
      <w:pPr>
        <w:ind w:left="980" w:hanging="406"/>
        <w:spacing w:after="0"/>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43" w:lineRule="exact"/>
        <w:rPr>
          <w:rFonts w:ascii="Times New Roman" w:cs="Times New Roman" w:eastAsia="Times New Roman" w:hAnsi="Times New Roman"/>
          <w:sz w:val="17"/>
          <w:szCs w:val="17"/>
          <w:color w:val="auto"/>
        </w:rPr>
      </w:pPr>
    </w:p>
    <w:p>
      <w:pPr>
        <w:ind w:left="1420" w:right="979" w:hanging="426"/>
        <w:spacing w:after="0" w:line="299" w:lineRule="auto"/>
        <w:tabs>
          <w:tab w:leader="none" w:pos="141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six nominees to our Board of Directors as described in Item 1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76" w:lineRule="exact"/>
        <w:rPr>
          <w:rFonts w:ascii="Times New Roman" w:cs="Times New Roman" w:eastAsia="Times New Roman" w:hAnsi="Times New Roman"/>
          <w:sz w:val="17"/>
          <w:szCs w:val="17"/>
          <w:color w:val="auto"/>
        </w:rPr>
      </w:pPr>
    </w:p>
    <w:p>
      <w:pPr>
        <w:ind w:left="1420" w:right="999" w:hanging="426"/>
        <w:spacing w:after="0" w:line="299" w:lineRule="auto"/>
        <w:tabs>
          <w:tab w:leader="none" w:pos="1415" w:val="left"/>
        </w:tabs>
        <w:numPr>
          <w:ilvl w:val="1"/>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and approval of the Auditor Appointment as described in Item 2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400" w:hanging="406"/>
        <w:spacing w:after="0"/>
        <w:tabs>
          <w:tab w:leader="none" w:pos="1400" w:val="left"/>
        </w:tabs>
        <w:numPr>
          <w:ilvl w:val="1"/>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Authorized Share Increase described in Item 3 of this proxy statement;</w:t>
      </w:r>
    </w:p>
    <w:p>
      <w:pPr>
        <w:spacing w:after="0" w:line="158" w:lineRule="exact"/>
        <w:rPr>
          <w:rFonts w:ascii="Times New Roman" w:cs="Times New Roman" w:eastAsia="Times New Roman" w:hAnsi="Times New Roman"/>
          <w:sz w:val="17"/>
          <w:szCs w:val="17"/>
          <w:b w:val="1"/>
          <w:bCs w:val="1"/>
          <w:color w:val="auto"/>
        </w:rPr>
      </w:pPr>
    </w:p>
    <w:p>
      <w:pPr>
        <w:ind w:left="1420" w:right="1279" w:hanging="426"/>
        <w:spacing w:after="0" w:line="299" w:lineRule="auto"/>
        <w:tabs>
          <w:tab w:leader="none" w:pos="141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Warrant Adjustment Proposal described in Item 4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76"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Note Amendment Proposal described in Item 5 of this proxy statement;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Equity Plan Proposal described in Item 6 of this proxy statement;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Adjournment Proposal described in Item 7 of this proxy statement.</w:t>
      </w:r>
    </w:p>
    <w:p>
      <w:pPr>
        <w:spacing w:after="0" w:line="158" w:lineRule="exact"/>
        <w:rPr>
          <w:rFonts w:ascii="Times New Roman" w:cs="Times New Roman" w:eastAsia="Times New Roman" w:hAnsi="Times New Roman"/>
          <w:sz w:val="17"/>
          <w:szCs w:val="17"/>
          <w:color w:val="auto"/>
        </w:rPr>
      </w:pPr>
    </w:p>
    <w:p>
      <w:pPr>
        <w:ind w:left="1000" w:hanging="426"/>
        <w:spacing w:after="0"/>
        <w:tabs>
          <w:tab w:leader="none" w:pos="10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47" w:lineRule="exact"/>
        <w:rPr>
          <w:sz w:val="20"/>
          <w:szCs w:val="20"/>
          <w:color w:val="auto"/>
        </w:rPr>
      </w:pPr>
    </w:p>
    <w:p>
      <w:pPr>
        <w:jc w:val="both"/>
        <w:ind w:left="1000" w:right="719" w:hanging="426"/>
        <w:spacing w:after="0" w:line="270" w:lineRule="auto"/>
        <w:tabs>
          <w:tab w:leader="none" w:pos="9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2, 2023, we had 1,701,243 shares of Common Stock, $0.001 par value, outstanding and 58 holders of record. Each share of our Common Stock is entitled to one vote per share. The holders of a majority of the total outstanding shares entitled to vote, present at the Annual Meeting or represented by proxy, will constitute a quorum for the transaction of business at the Annual Meeting.</w:t>
      </w:r>
    </w:p>
    <w:p>
      <w:pPr>
        <w:spacing w:after="0" w:line="101" w:lineRule="exact"/>
        <w:rPr>
          <w:sz w:val="20"/>
          <w:szCs w:val="20"/>
          <w:color w:val="auto"/>
        </w:rPr>
      </w:pPr>
    </w:p>
    <w:p>
      <w:pPr>
        <w:ind w:left="1000" w:hanging="426"/>
        <w:spacing w:after="0"/>
        <w:tabs>
          <w:tab w:leader="none" w:pos="10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60" w:lineRule="exact"/>
        <w:rPr>
          <w:sz w:val="20"/>
          <w:szCs w:val="20"/>
          <w:color w:val="auto"/>
        </w:rPr>
      </w:pPr>
    </w:p>
    <w:p>
      <w:pPr>
        <w:ind w:left="1000" w:right="819" w:hanging="426"/>
        <w:spacing w:after="0" w:line="270" w:lineRule="auto"/>
        <w:tabs>
          <w:tab w:leader="none" w:pos="97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spacing w:after="0" w:line="88" w:lineRule="exact"/>
        <w:rPr>
          <w:sz w:val="20"/>
          <w:szCs w:val="20"/>
          <w:color w:val="auto"/>
        </w:rPr>
      </w:pPr>
    </w:p>
    <w:p>
      <w:pPr>
        <w:ind w:left="1000" w:hanging="426"/>
        <w:spacing w:after="0"/>
        <w:tabs>
          <w:tab w:leader="none" w:pos="10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60" w:lineRule="exact"/>
        <w:rPr>
          <w:sz w:val="20"/>
          <w:szCs w:val="20"/>
          <w:color w:val="auto"/>
        </w:rPr>
      </w:pPr>
    </w:p>
    <w:p>
      <w:pPr>
        <w:ind w:left="980" w:hanging="406"/>
        <w:spacing w:after="0"/>
        <w:tabs>
          <w:tab w:leader="none" w:pos="9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58" w:lineRule="exact"/>
        <w:rPr>
          <w:rFonts w:ascii="Times New Roman" w:cs="Times New Roman" w:eastAsia="Times New Roman" w:hAnsi="Times New Roman"/>
          <w:sz w:val="17"/>
          <w:szCs w:val="17"/>
          <w:color w:val="auto"/>
        </w:rPr>
      </w:pPr>
    </w:p>
    <w:p>
      <w:pPr>
        <w:ind w:left="1420" w:right="107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are elected by a plurality of the votes cast. This means that the six nominees will be elected if they receive more affirmative votes than any other nominees.</w:t>
      </w:r>
    </w:p>
    <w:p>
      <w:pPr>
        <w:spacing w:after="0" w:line="67" w:lineRule="exact"/>
        <w:rPr>
          <w:rFonts w:ascii="Times New Roman" w:cs="Times New Roman" w:eastAsia="Times New Roman" w:hAnsi="Times New Roman"/>
          <w:sz w:val="17"/>
          <w:szCs w:val="17"/>
          <w:color w:val="auto"/>
        </w:rPr>
      </w:pPr>
    </w:p>
    <w:p>
      <w:pPr>
        <w:ind w:left="1420" w:right="95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Auditor Appointment in Item 2.</w:t>
      </w:r>
    </w:p>
    <w:p>
      <w:pPr>
        <w:spacing w:after="0" w:line="81"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Authorized Share Increase in Item 3.</w:t>
      </w:r>
    </w:p>
    <w:p>
      <w:pPr>
        <w:spacing w:after="0" w:line="81"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Warrant Adjustment Proposal in Item 4.</w:t>
      </w:r>
    </w:p>
    <w:p>
      <w:pPr>
        <w:spacing w:after="0" w:line="67"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Note Amendment Proposal in Item 5.</w:t>
      </w:r>
    </w:p>
    <w:p>
      <w:pPr>
        <w:spacing w:after="0" w:line="8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Equity Plan Proposal in Item 6.</w:t>
      </w:r>
    </w:p>
    <w:p>
      <w:pPr>
        <w:spacing w:after="0" w:line="67"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Adjournment Proposal in Item 7.</w:t>
      </w:r>
    </w:p>
    <w:p>
      <w:pPr>
        <w:spacing w:after="0" w:line="79" w:lineRule="exact"/>
        <w:rPr>
          <w:sz w:val="20"/>
          <w:szCs w:val="20"/>
          <w:color w:val="auto"/>
        </w:rPr>
      </w:pPr>
    </w:p>
    <w:p>
      <w:pPr>
        <w:ind w:left="1000" w:hanging="426"/>
        <w:spacing w:after="0"/>
        <w:tabs>
          <w:tab w:leader="none" w:pos="10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ind w:left="1000" w:right="719" w:hanging="426"/>
        <w:spacing w:after="0" w:line="267" w:lineRule="auto"/>
        <w:tabs>
          <w:tab w:leader="none" w:pos="97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Amended and Restated Bylaws, no matters other than those included in the Notice of Annual Meeting may properly come before the Annual Meeting.</w:t>
      </w:r>
    </w:p>
    <w:p>
      <w:pPr>
        <w:spacing w:after="0" w:line="89" w:lineRule="exact"/>
        <w:rPr>
          <w:sz w:val="20"/>
          <w:szCs w:val="20"/>
          <w:color w:val="auto"/>
        </w:rPr>
      </w:pPr>
    </w:p>
    <w:p>
      <w:pPr>
        <w:ind w:left="1000" w:hanging="426"/>
        <w:spacing w:after="0"/>
        <w:tabs>
          <w:tab w:leader="none" w:pos="10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60" w:lineRule="exact"/>
        <w:rPr>
          <w:sz w:val="20"/>
          <w:szCs w:val="20"/>
          <w:color w:val="auto"/>
        </w:rPr>
      </w:pPr>
    </w:p>
    <w:p>
      <w:pPr>
        <w:jc w:val="center"/>
        <w:ind w:left="4460" w:right="1179" w:hanging="3886"/>
        <w:spacing w:after="0" w:line="372" w:lineRule="auto"/>
        <w:tabs>
          <w:tab w:leader="none" w:pos="9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193675</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ELECTION OF DIRECTORS</w:t>
      </w:r>
    </w:p>
    <w:p>
      <w:pPr>
        <w:spacing w:after="0" w:line="147"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Our Board of Directors (which is sometimes referred to in this proxy statement as our “Board”) currently consists of Raymond Chang, Max Holtzman, Guichao Hua, Timothy Mahoney, Leonard J. Sokolow, and Krishnan Varier. Stuart Wilcox served on the Board until July 14, 2022, when he resigned in connection with his appointment as Chief Operating Officer, and Thomas Massie served on the Board until July 8, 2022, when he resigned from the Board and from his position as President and Chief Operating Officer. Max Holtzman was appointed to the Board on July 14, 2022. Mr. Hua will not stand for re-election at the Annual Meeting. You and the other stockholders are requested to vote for the nominees set forth below to serve as directors until the 2024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If a quorum is present, individual nominees will be elected by a plurality of the votes of shares present at the Annual Meeting or represented by proxy at the Annual Meeting. This means that the six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each of the following nominees.</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director nominees, the year they became directors, their principal occupations or employment for at least the past five years and certain of their other directorships.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Election</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660" w:type="dxa"/>
            <w:vAlign w:val="bottom"/>
          </w:tcPr>
          <w:p>
            <w:pPr>
              <w:ind w:left="24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7"/>
                <w:szCs w:val="17"/>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Mr. Chang has served as Chief Executive Officer and Chairman of the Board of</w:t>
            </w:r>
          </w:p>
        </w:tc>
        <w:tc>
          <w:tcPr>
            <w:tcW w:w="0" w:type="dxa"/>
            <w:vAlign w:val="bottom"/>
          </w:tcPr>
          <w:p>
            <w:pPr>
              <w:spacing w:after="0"/>
              <w:rPr>
                <w:sz w:val="1"/>
                <w:szCs w:val="1"/>
                <w:color w:val="auto"/>
              </w:rPr>
            </w:pPr>
          </w:p>
        </w:tc>
      </w:tr>
    </w:tbl>
    <w:p>
      <w:pPr>
        <w:ind w:left="2780"/>
        <w:spacing w:after="0"/>
        <w:rPr>
          <w:sz w:val="20"/>
          <w:szCs w:val="20"/>
          <w:color w:val="auto"/>
        </w:rPr>
      </w:pPr>
      <w:r>
        <w:rPr>
          <w:rFonts w:ascii="Times New Roman" w:cs="Times New Roman" w:eastAsia="Times New Roman" w:hAnsi="Times New Roman"/>
          <w:sz w:val="17"/>
          <w:szCs w:val="17"/>
          <w:color w:val="auto"/>
        </w:rPr>
        <w:t>Directors since June 2019 and served as the Company’s President from</w:t>
      </w:r>
    </w:p>
    <w:p>
      <w:pPr>
        <w:spacing w:after="0" w:line="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June 2019 to November 2021. From September 2015 through May 2019,</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Mr. Chang was a lecturer in the Practice of Management at the Yale School of</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Management and an Adjunct Professor at Babson College as well as a managing</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director at NXT Ventures. In 1997, Mr. Chang founded GigaMedia, the first</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broadband company in Asia. In 2000, this company went public on Nasdaq</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(Nasdaq: GIGM) and raised $280 million, one of the largest IPOs for an internet</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company prior to 2000. In 2007, Mr. Chang founded Luckypai, a leading TV</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shopping company in China and raised venture financing from Lightspeed</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Venture Partners, DT Capital, Intel, Lehman Brothers, and Goldman Sachs.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Luckypai was sold to Lotte Group, which is one of the largest Asian</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conglomerates based in Korea, for $160 million in 2010. From 2012 to 2013,</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Mr. Chang served as the chief executive officer of New Focus Auto, the largest</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automobile aftersales service company listed on the Hong Kong Stock Exchange</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(HKSE: 0360.HK). In 2014, Mr. Chang completed the sale of New Focus Auto</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to CDH Investments, which is one of the largest private equity firms based in</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Asia and raised over $150 million for the company. In 2000, Mr. Chang was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selected by Fortune as one of the twenty-five “Next Generation Global Leaders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Under 40” and by Business Week Asia as one of Asia’s 20 most influential new</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economy leaders in the 21 century. He was also featured in 2005 as a panel</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speaker at the World Economic Forum in Zurich, Switzerland. Mr. Chang was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the former treasurer/elected board member of Shanghai American School and a</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member of the Young Presidents Organization – Shanghai Chapter. Mr. Chang</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received his BA from New York University, MBA from Yale School of</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Management, and MPA from Harvard JFK School of Government. Mr. Chang</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has served as a Director of our Company since June 2019.</w:t>
      </w:r>
    </w:p>
    <w:p>
      <w:pPr>
        <w:sectPr>
          <w:pgSz w:w="11900" w:h="16838" w:orient="portrait"/>
          <w:cols w:equalWidth="0" w:num="1">
            <w:col w:w="9019"/>
          </w:cols>
          <w:pgMar w:left="1440" w:top="265" w:right="1440"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18"/>
                <w:szCs w:val="18"/>
                <w:color w:val="auto"/>
              </w:rPr>
            </w:pPr>
          </w:p>
        </w:tc>
        <w:tc>
          <w:tcPr>
            <w:tcW w:w="5660" w:type="dxa"/>
            <w:vAlign w:val="bottom"/>
          </w:tcPr>
          <w:p>
            <w:pPr>
              <w:ind w:left="24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vMerge w:val="continue"/>
          </w:tcPr>
          <w:p>
            <w:pPr>
              <w:spacing w:after="0"/>
              <w:rPr>
                <w:sz w:val="16"/>
                <w:szCs w:val="16"/>
                <w:color w:val="auto"/>
              </w:rPr>
            </w:pPr>
          </w:p>
        </w:tc>
        <w:tc>
          <w:tcPr>
            <w:tcW w:w="50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54</w:t>
            </w:r>
          </w:p>
        </w:tc>
        <w:tc>
          <w:tcPr>
            <w:tcW w:w="100" w:type="dxa"/>
            <w:vAlign w:val="bottom"/>
            <w:vMerge w:val="continue"/>
          </w:tcPr>
          <w:p>
            <w:pPr>
              <w:spacing w:after="0"/>
              <w:rPr>
                <w:sz w:val="16"/>
                <w:szCs w:val="16"/>
                <w:color w:val="auto"/>
              </w:rPr>
            </w:pPr>
          </w:p>
        </w:tc>
        <w:tc>
          <w:tcPr>
            <w:tcW w:w="56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Holtzman has served as a member of our Board of Directors since July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2022. Mr. Holtzman has served as Operations Director at Ocean 14 Capital,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private equity impact fund focused on the Blue Economy, since December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Mr. Holtzman has also served as Investments Principal at Pontos Aqua, LLC,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which provides strategic advisory services in the global seafood and aquaculture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space, since June 2017. Mr. Holtzman is a founding officer of Stronger America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through Seafood, which strives to increase the production of healthy,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sustainable, and affordable seafood in the United States. Mr. Holtzman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previously served as the Vice Chairman of Capitol Peak Asset Management,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which focused on infrastructure projects and companies in Rural America. Prior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 Capitol Peak, Mr. Holtzman was appointed by President Obama as the Senior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Advisor to the United States Secretary of Agriculture. From 2009 to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Mr. Holtzman advised the Secretary on the development of new public-private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partnerships, aquaculture, trade, biotechnology, and international food security.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He also served as Acting Deputy Under Secretary for Farm and Foreign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Agriculture Services and as Acting Deputy Under Secretary of Marketing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Regulatory Programs. In these roles, Mr. Holtzman represented the United States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 its negotiations with the Peoples Republic of China as a four-time Delegate 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Joint Committee on Commerce and Trade, and he was regularly involved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with a multitude of international trade issues, trade missions, and trade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negotiations. He also served as the United States Chairman of the North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American Biotechnology Initiative, which includes the United States, Canada,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Mexico. Prior to this appointment, Mr. Holtzman, an attorney for over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25 years, provided strategic consulting to multi-national companies related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transportation infrastructure, project finance, public-private partnerships, health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care, and government procurement. He also served as a City Attorney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Special Counsel to several municipalities. Mr. Holtzman has served as a Board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Member of The Arcadia Center for Sustainable Food and Agriculture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2016, the Founding Chairman of Adopt-A-Classroom, and he has sat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on the Global Advisory Council of Secure System since January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Mr. Holtzman received his undergraduate degree in Agricultural Economics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from the University of Florida’s Institute of Food and Agricultural Sciences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his law degree from the University of Miami.</w:t>
            </w:r>
          </w:p>
        </w:tc>
        <w:tc>
          <w:tcPr>
            <w:tcW w:w="0" w:type="dxa"/>
            <w:vAlign w:val="bottom"/>
          </w:tcPr>
          <w:p>
            <w:pPr>
              <w:spacing w:after="0"/>
              <w:rPr>
                <w:sz w:val="1"/>
                <w:szCs w:val="1"/>
                <w:color w:val="auto"/>
              </w:rPr>
            </w:pPr>
          </w:p>
        </w:tc>
      </w:tr>
      <w:tr>
        <w:trPr>
          <w:trHeight w:val="37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I-Tseng Jenny Chan</w:t>
            </w: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50   Ms. Chan is a nominee for election to our Board of Directors. Ms. Chan is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luxury brand professional with more than twenty years’ expertise in selling and</w:t>
            </w:r>
          </w:p>
        </w:tc>
        <w:tc>
          <w:tcPr>
            <w:tcW w:w="0" w:type="dxa"/>
            <w:vAlign w:val="bottom"/>
          </w:tcPr>
          <w:p>
            <w:pPr>
              <w:spacing w:after="0"/>
              <w:rPr>
                <w:sz w:val="1"/>
                <w:szCs w:val="1"/>
                <w:color w:val="auto"/>
              </w:rPr>
            </w:pPr>
          </w:p>
        </w:tc>
      </w:tr>
    </w:tbl>
    <w:p>
      <w:pPr>
        <w:ind w:left="2780" w:right="679"/>
        <w:spacing w:after="0" w:line="260" w:lineRule="auto"/>
        <w:rPr>
          <w:sz w:val="20"/>
          <w:szCs w:val="20"/>
          <w:color w:val="auto"/>
        </w:rPr>
      </w:pPr>
      <w:r>
        <w:rPr>
          <w:rFonts w:ascii="Times New Roman" w:cs="Times New Roman" w:eastAsia="Times New Roman" w:hAnsi="Times New Roman"/>
          <w:sz w:val="17"/>
          <w:szCs w:val="17"/>
          <w:color w:val="auto"/>
        </w:rPr>
        <w:t>curating rare gems and antiques. From 2012 to 2018, Ms. Chan served as founder of Studio Rouge in Taipei, Taiwan, where she was responsible for jewelry procurement and merchandise development. Prior to that, Ms. Chan served in various roles at De Beers, Dior Joallerie, JP Collections, Nortel Networks and Thomasville Jewelry Company. Ms. Chan received a Bachelor of Engineering from McGill University and a Master of Science at the University of Illinois.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18"/>
                <w:szCs w:val="18"/>
                <w:color w:val="auto"/>
              </w:rPr>
            </w:pPr>
          </w:p>
        </w:tc>
        <w:tc>
          <w:tcPr>
            <w:tcW w:w="5660" w:type="dxa"/>
            <w:vAlign w:val="bottom"/>
          </w:tcPr>
          <w:p>
            <w:pPr>
              <w:ind w:left="24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Leonard J. Sokolow</w:t>
            </w:r>
          </w:p>
        </w:tc>
        <w:tc>
          <w:tcPr>
            <w:tcW w:w="100" w:type="dxa"/>
            <w:vAlign w:val="bottom"/>
            <w:vMerge w:val="continue"/>
          </w:tcPr>
          <w:p>
            <w:pPr>
              <w:spacing w:after="0"/>
              <w:rPr>
                <w:sz w:val="16"/>
                <w:szCs w:val="16"/>
                <w:color w:val="auto"/>
              </w:rPr>
            </w:pPr>
          </w:p>
        </w:tc>
        <w:tc>
          <w:tcPr>
            <w:tcW w:w="50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67</w:t>
            </w:r>
          </w:p>
        </w:tc>
        <w:tc>
          <w:tcPr>
            <w:tcW w:w="100" w:type="dxa"/>
            <w:vAlign w:val="bottom"/>
            <w:vMerge w:val="continue"/>
          </w:tcPr>
          <w:p>
            <w:pPr>
              <w:spacing w:after="0"/>
              <w:rPr>
                <w:sz w:val="16"/>
                <w:szCs w:val="16"/>
                <w:color w:val="auto"/>
              </w:rPr>
            </w:pPr>
          </w:p>
        </w:tc>
        <w:tc>
          <w:tcPr>
            <w:tcW w:w="56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Sokolow has served as a member of Agrify’s Board of Directors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December 2021. Since September 2023, Mr. Sokolow has served as co-Chief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Officer of SKYX Platforms Corp. (Nasdaq: SKYX). He had served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 independent director and board committee member of SKYX Platforms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2015 and continues to serve as a board member of that company. From 2015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August 2023, Mr. Sokolow served as Chief Executive Officer and President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Newbridge Financial, Inc., a financial services holding company. From 2015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July 2022 Mr. Sokolow served as Chairman of Newbridge 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Corporation, Newbridge Financial, Inc.’s full service broker-dealer.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August 2022 to August 2023 Mr. Sokolow served as CEO of Newbridge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Securities Corporation and Newbridge Financial Services Group,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Newbridge Financial, Inc.’s, full service registered investment adviser.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2008 through 2012, he served as President and Vice Chairman of National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Holdings Corporation, a publicly traded financial services company.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November 1999 until January 2008, Mr. Sokolow was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President, and a member of the Board of Directors, of vFinance Inc.,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publicly traded financial services company, which he cofounded. Mr. Sokolow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was the Chairman of the Board of Directors and Chief Executive Officer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vFinance Inc. from January 2007 until July 2008, when it merged into National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Holdings Corporation. From 1994 to 1998, Mr. Sokolow was founder, Chairman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Chief Executive Officer of the Americas Growth Fund Inc., a closed-end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registered investment company. From 1988 until 1993, Mr. Sokolow was 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Vice President and the General Counsel of Applica Inc., a publicly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traded appliance marketing and distribution company. From 1982 until 1988,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Mr. Sokolow practiced corporate, securities and tax law and was one of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founding attorneys and a partner of an international boutique law firm.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1980 until 1982, he worked as a Certified Public Accountant for Ernst &amp; Young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KPMG Peat Marwick. Since June 2006, Mr. Sokolow has served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Board of Directors of Consolidated Water Company Ltd. (Nasdaq: CWCO)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as Chairman of its Audit Committee; as well as a member of its Nominations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Corporate Governance Committee since 2011. Since December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Mr. Sokolow has served as a member of the Board of Directors of Agrify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Corporation (Nasdaq: AGFY), where he currently serves as a member of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Audit Committee and the Compensation Committee. Mr. Sokolow received his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 and J.D. degrees from the University of Florida and a Masters of Law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Taxation from New York University Law School and remains a Certified Public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Accountant.</w:t>
            </w:r>
          </w:p>
        </w:tc>
        <w:tc>
          <w:tcPr>
            <w:tcW w:w="0" w:type="dxa"/>
            <w:vAlign w:val="bottom"/>
          </w:tcPr>
          <w:p>
            <w:pPr>
              <w:spacing w:after="0"/>
              <w:rPr>
                <w:sz w:val="1"/>
                <w:szCs w:val="1"/>
                <w:color w:val="auto"/>
              </w:rPr>
            </w:pPr>
          </w:p>
        </w:tc>
      </w:tr>
      <w:tr>
        <w:trPr>
          <w:trHeight w:val="37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67   Mr. Mahoney is the owner of Caribou LLC, a strategic advisory firm he founded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 2009 that consults with CEOs and their boards on managing systemic risk and</w:t>
            </w:r>
          </w:p>
        </w:tc>
        <w:tc>
          <w:tcPr>
            <w:tcW w:w="0" w:type="dxa"/>
            <w:vAlign w:val="bottom"/>
          </w:tcPr>
          <w:p>
            <w:pPr>
              <w:spacing w:after="0"/>
              <w:rPr>
                <w:sz w:val="1"/>
                <w:szCs w:val="1"/>
                <w:color w:val="auto"/>
              </w:rPr>
            </w:pPr>
          </w:p>
        </w:tc>
      </w:tr>
    </w:tbl>
    <w:p>
      <w:pPr>
        <w:ind w:left="2780" w:right="639"/>
        <w:spacing w:after="0" w:line="257" w:lineRule="auto"/>
        <w:rPr>
          <w:sz w:val="20"/>
          <w:szCs w:val="20"/>
          <w:color w:val="auto"/>
        </w:rPr>
      </w:pPr>
      <w:r>
        <w:rPr>
          <w:rFonts w:ascii="Times New Roman" w:cs="Times New Roman" w:eastAsia="Times New Roman" w:hAnsi="Times New Roman"/>
          <w:sz w:val="17"/>
          <w:szCs w:val="17"/>
          <w:color w:val="auto"/>
        </w:rPr>
        <w:t>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Mr. Mahoney served as a U.S. Representative for Florida’s 16 congressional district from January 2007 to January 2009. From 1998 to 2007, Mr. Mahoney was a Co-Founder of vFinance, Inc., which subsequently acquired National Holdings Corporation. National Holdings Corporation has grown to become one of America’s leading middle-</w:t>
      </w:r>
    </w:p>
    <w:p>
      <w:pPr>
        <w:spacing w:after="0" w:line="2" w:lineRule="exact"/>
        <w:rPr>
          <w:sz w:val="20"/>
          <w:szCs w:val="20"/>
          <w:color w:val="auto"/>
        </w:rPr>
      </w:pPr>
    </w:p>
    <w:p>
      <w:pPr>
        <w:ind w:left="2780" w:right="619"/>
        <w:spacing w:after="0" w:line="259" w:lineRule="auto"/>
        <w:rPr>
          <w:sz w:val="20"/>
          <w:szCs w:val="20"/>
          <w:color w:val="auto"/>
        </w:rPr>
      </w:pPr>
      <w:r>
        <w:rPr>
          <w:rFonts w:ascii="Times New Roman" w:cs="Times New Roman" w:eastAsia="Times New Roman" w:hAnsi="Times New Roman"/>
          <w:sz w:val="17"/>
          <w:szCs w:val="17"/>
          <w:color w:val="auto"/>
        </w:rPr>
        <w:t>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660" w:type="dxa"/>
            <w:vAlign w:val="bottom"/>
          </w:tcPr>
          <w:p>
            <w:pPr>
              <w:ind w:left="24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00" w:type="dxa"/>
            <w:vAlign w:val="bottom"/>
            <w:vMerge w:val="continue"/>
          </w:tcPr>
          <w:p>
            <w:pPr>
              <w:spacing w:after="0"/>
              <w:rPr>
                <w:sz w:val="17"/>
                <w:szCs w:val="17"/>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Mr. Varier joined Agrify’s Board of Directors in June 2020, after briefly serving</w:t>
            </w:r>
          </w:p>
        </w:tc>
        <w:tc>
          <w:tcPr>
            <w:tcW w:w="0" w:type="dxa"/>
            <w:vAlign w:val="bottom"/>
          </w:tcPr>
          <w:p>
            <w:pPr>
              <w:spacing w:after="0"/>
              <w:rPr>
                <w:sz w:val="1"/>
                <w:szCs w:val="1"/>
                <w:color w:val="auto"/>
              </w:rPr>
            </w:pPr>
          </w:p>
        </w:tc>
      </w:tr>
    </w:tbl>
    <w:p>
      <w:pPr>
        <w:ind w:left="2780"/>
        <w:spacing w:after="0"/>
        <w:rPr>
          <w:sz w:val="20"/>
          <w:szCs w:val="20"/>
          <w:color w:val="auto"/>
        </w:rPr>
      </w:pPr>
      <w:r>
        <w:rPr>
          <w:rFonts w:ascii="Times New Roman" w:cs="Times New Roman" w:eastAsia="Times New Roman" w:hAnsi="Times New Roman"/>
          <w:sz w:val="17"/>
          <w:szCs w:val="17"/>
          <w:color w:val="auto"/>
        </w:rPr>
        <w:t>as a board observer. He is a Managing Partner and the Chief Investment Officer</w:t>
      </w:r>
    </w:p>
    <w:p>
      <w:pPr>
        <w:spacing w:after="0" w:line="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of Arcadian Capital Management, a Los Angeles, California based venture</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capital private equity firm particularly focused on investing in ancillary</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businesses related to the cannabis and hemp industries. He has served in this role</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since joining Arcadian in 2018 to help lead its principal investing activities,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bringing more than 15 years of financial services and Wall Street deal-</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making experience. From 2016 through 2018, Mr. Varier formed Varier Venture</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Consulting LLC to assist in the growth of early-stage startup companies,</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primarily by providing strategic advice regarding capital raising strategies. From</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2014 through 2016, Mr. Varier was an investment banker with Cowen &amp;</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Company, where he covered corporate clients in the healthcare biotechnology</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industry. From 2013 through 2014, he was a Senior Investment Analyst with</w:t>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Health Care REIT, which has since been re-branded as Welltower REIT, and is a</w:t>
      </w:r>
    </w:p>
    <w:p>
      <w:pPr>
        <w:spacing w:after="0" w:line="14" w:lineRule="exact"/>
        <w:rPr>
          <w:sz w:val="20"/>
          <w:szCs w:val="20"/>
          <w:color w:val="auto"/>
        </w:rPr>
      </w:pPr>
    </w:p>
    <w:p>
      <w:pPr>
        <w:ind w:left="2780" w:right="679"/>
        <w:spacing w:after="0" w:line="258" w:lineRule="auto"/>
        <w:rPr>
          <w:sz w:val="20"/>
          <w:szCs w:val="20"/>
          <w:color w:val="auto"/>
        </w:rPr>
      </w:pPr>
      <w:r>
        <w:rPr>
          <w:rFonts w:ascii="Times New Roman" w:cs="Times New Roman" w:eastAsia="Times New Roman" w:hAnsi="Times New Roman"/>
          <w:sz w:val="17"/>
          <w:szCs w:val="17"/>
          <w:color w:val="auto"/>
        </w:rPr>
        <w:t>leading provider of real estate capital to seniors housing operators, post-acute healthcare providers and health systems. From 2011 through 2013, Mr. Varier was an investment banker in BofA-Merrill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 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147" w:lineRule="exact"/>
        <w:rPr>
          <w:sz w:val="20"/>
          <w:szCs w:val="20"/>
          <w:color w:val="auto"/>
        </w:rPr>
      </w:pPr>
    </w:p>
    <w:p>
      <w:pPr>
        <w:jc w:val="both"/>
        <w:ind w:left="580" w:right="899" w:firstLine="419"/>
        <w:spacing w:after="0" w:line="276" w:lineRule="auto"/>
        <w:rPr>
          <w:sz w:val="20"/>
          <w:szCs w:val="20"/>
          <w:color w:val="auto"/>
        </w:rPr>
      </w:pPr>
      <w:r>
        <w:rPr>
          <w:rFonts w:ascii="Times New Roman" w:cs="Times New Roman" w:eastAsia="Times New Roman" w:hAnsi="Times New Roman"/>
          <w:sz w:val="17"/>
          <w:szCs w:val="17"/>
          <w:color w:val="auto"/>
        </w:rPr>
        <w:t>The Board currently consists of six directors. The Board has determined that Max Holtzman, Timothy Mahoney, Leonard J. Sokolow, and Krishnan Varier are all “Independent” directors under the Nasdaq listing standards.</w:t>
      </w:r>
    </w:p>
    <w:p>
      <w:pPr>
        <w:spacing w:after="0" w:line="98"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98"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 xml:space="preserve">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xml:space="preserve"> Please note that the information contained on the Company website is not incorporated by reference in, or considered to be a part of, this proxy statement.</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current members of the Committees are identified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Nominating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and Corporate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Mergers and</w:t>
            </w:r>
          </w:p>
        </w:tc>
        <w:tc>
          <w:tcPr>
            <w:tcW w:w="0" w:type="dxa"/>
            <w:vAlign w:val="bottom"/>
          </w:tcPr>
          <w:p>
            <w:pPr>
              <w:spacing w:after="0"/>
              <w:rPr>
                <w:sz w:val="1"/>
                <w:szCs w:val="1"/>
                <w:color w:val="auto"/>
              </w:rPr>
            </w:pPr>
          </w:p>
        </w:tc>
      </w:tr>
      <w:tr>
        <w:trPr>
          <w:trHeight w:val="208"/>
        </w:trPr>
        <w:tc>
          <w:tcPr>
            <w:tcW w:w="2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Acquisitions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8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10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57"/>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75"/>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right="79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current members of the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Governance Committee are directors Holtzman, who chairs the committee, Mahoney and Varier. Each of these directors is independent as defined under applicable Nasdaq listing requirements. This Committee’s responsibilities include the selection of potential candidates for the Board. Mr. Wilcox served as chair of the committee until his resignation from the Board on July 14, 2022.</w:t>
      </w:r>
    </w:p>
    <w:p>
      <w:pPr>
        <w:spacing w:after="0" w:line="105" w:lineRule="exact"/>
        <w:rPr>
          <w:sz w:val="20"/>
          <w:szCs w:val="20"/>
          <w:color w:val="auto"/>
        </w:rPr>
      </w:pPr>
    </w:p>
    <w:p>
      <w:pPr>
        <w:ind w:left="580" w:right="6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current members of the Compensation Committee are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Mahoney, who chairs the committee, Sokolow and Holtzman.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 Mr. Wilcox served as a member of the committee until his resignation from the Board on July 14, 2022.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current members of the Audit Committee are directors Varier, who chairs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Mahoney and Sokolow.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 has determined that each of Messrs. Varier and Sokolow qualifies as an “Audit Committee Financial Expert” as defined under SEC rules. The Audit Committee is primarily concerned with the accuracy and effectiveness of the audits of our Company’s financial statements by our independent registered public accountants. Its duties include, among other things:</w:t>
      </w:r>
    </w:p>
    <w:p>
      <w:pPr>
        <w:spacing w:after="0" w:line="109" w:lineRule="exact"/>
        <w:rPr>
          <w:sz w:val="20"/>
          <w:szCs w:val="20"/>
          <w:color w:val="auto"/>
        </w:rPr>
      </w:pPr>
    </w:p>
    <w:p>
      <w:pPr>
        <w:ind w:left="1420" w:right="107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the independence of its members from our management;</w:t>
      </w:r>
    </w:p>
    <w:p>
      <w:pPr>
        <w:spacing w:after="0" w:line="67"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the scope and results of their audit;</w:t>
      </w:r>
    </w:p>
    <w:p>
      <w:pPr>
        <w:spacing w:after="0" w:line="81" w:lineRule="exact"/>
        <w:rPr>
          <w:rFonts w:ascii="Times New Roman" w:cs="Times New Roman" w:eastAsia="Times New Roman" w:hAnsi="Times New Roman"/>
          <w:sz w:val="17"/>
          <w:szCs w:val="17"/>
          <w:color w:val="auto"/>
        </w:rPr>
      </w:pPr>
    </w:p>
    <w:p>
      <w:pPr>
        <w:ind w:left="1420" w:right="127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audit and permissible non-audit services to be performed by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our accounting principles, accounting policies, financial and accounting controls, and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by our board of directors of our code of business conduct and our disclosure controls and procedures;</w:t>
      </w:r>
    </w:p>
    <w:p>
      <w:pPr>
        <w:spacing w:after="0" w:line="8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and/or anonymous submission of concerns regarding accounting, internal controls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related party transactions.</w:t>
      </w:r>
    </w:p>
    <w:p>
      <w:pPr>
        <w:spacing w:after="0" w:line="158"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Committee’s procedures for the pre-approval of audit and permitted non-audit services are described in “Item 5: Ratification of the Auditor Appointment.” For more information on the Audit Committee, refer to the “Report of the Audit Committee” included elsewhere herein.</w:t>
      </w:r>
    </w:p>
    <w:p>
      <w:pPr>
        <w:spacing w:after="0" w:line="96"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Mergers and Acquisitions Committee. </w:t>
      </w:r>
      <w:r>
        <w:rPr>
          <w:rFonts w:ascii="Times New Roman" w:cs="Times New Roman" w:eastAsia="Times New Roman" w:hAnsi="Times New Roman"/>
          <w:sz w:val="17"/>
          <w:szCs w:val="17"/>
          <w:color w:val="auto"/>
        </w:rPr>
        <w:t>The current members of the Mergers and Acquisitions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directors Varier, who chairs the committee, Mahoney and Holtzman. The purpose of the Mergers &amp; Acquisitions Committee is to assist the Board and the Audit Committee in evaluating any related party transactions that the Company may consider from time to time. Mr. Wilcox served as a member of the committee until his resignation from the Board on July 14, 2022.</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Number of Meetings of the Board of Directors and Attendance in 2022</w:t>
      </w:r>
    </w:p>
    <w:p>
      <w:pPr>
        <w:spacing w:after="0" w:line="14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During fiscal 2022, our Board and various Board Committees held the following number of meetings and took the following action by written consent: Board of Directors, 9 meetings and 12 actions by written consent; Audit Committee, 7 meetings and 1 action by written consent; Compensation Committee, 4 meetings and 4 actions by written consent; and Nominating and Corporate Governance Committee, 1 meeting and 2 actions by written consent. No director attended fewer than 75% of the aggregate Board meetings and Board Committee meetings on which that director served.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47"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During 2022, Messrs. Mahoney, Wilcox, Sokolow and Holtzman each served as members of the Compensation Committee. Mr. Wilcox served as a member of the committee until his resignation from the Board on July 14, 2022 in connection with his appointment as Chief Operating Officer. Upon his appointment, Mr. Wilcox was removed as a member of the Compensation Committee. During 2022, no member of the Compensation Committee, aside from Mr. Wilcox being named as an executive officer of the Company concurrently with his removal from the Compensation Committee, is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60"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319"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0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2468 Industrial Row Drive, Troy, Michigan 48084, Attn: Corporate Secretary.</w:t>
      </w:r>
    </w:p>
    <w:p>
      <w:pPr>
        <w:spacing w:after="0" w:line="324"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7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400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Board Diversity Matrix (As of December 4, 2023)</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Number of Directors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46"/>
        </w:trPr>
        <w:tc>
          <w:tcPr>
            <w:tcW w:w="3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Female</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Non-Binary</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c>
          <w:tcPr>
            <w:tcW w:w="0" w:type="dxa"/>
            <w:vAlign w:val="bottom"/>
          </w:tcPr>
          <w:p>
            <w:pPr>
              <w:spacing w:after="0"/>
              <w:rPr>
                <w:sz w:val="1"/>
                <w:szCs w:val="1"/>
                <w:color w:val="auto"/>
              </w:rPr>
            </w:pPr>
          </w:p>
        </w:tc>
      </w:tr>
      <w:tr>
        <w:trPr>
          <w:trHeight w:val="44"/>
        </w:trPr>
        <w:tc>
          <w:tcPr>
            <w:tcW w:w="12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9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30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3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Asian</w:t>
            </w:r>
          </w:p>
        </w:tc>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3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3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White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2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3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LGBTQ+</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2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8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Did Not Disclose Demographic</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Background</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80" w:right="1259" w:firstLine="419"/>
        <w:spacing w:after="0" w:line="296" w:lineRule="auto"/>
        <w:rPr>
          <w:sz w:val="20"/>
          <w:szCs w:val="20"/>
          <w:color w:val="auto"/>
        </w:rPr>
      </w:pPr>
      <w:r>
        <w:rPr>
          <w:rFonts w:ascii="Times New Roman" w:cs="Times New Roman" w:eastAsia="Times New Roman" w:hAnsi="Times New Roman"/>
          <w:sz w:val="17"/>
          <w:szCs w:val="17"/>
          <w:color w:val="auto"/>
        </w:rPr>
        <w:t>The board diversity matrix for 2022 can be found in our definitive proxy statement filed with the Securities and Exchange Commission on April 29, 2022.</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323"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93" w:lineRule="exact"/>
        <w:rPr>
          <w:sz w:val="20"/>
          <w:szCs w:val="20"/>
          <w:color w:val="auto"/>
        </w:rPr>
      </w:pPr>
    </w:p>
    <w:p>
      <w:pPr>
        <w:ind w:left="580" w:right="799" w:firstLine="419"/>
        <w:spacing w:after="0" w:line="265" w:lineRule="auto"/>
        <w:rPr>
          <w:sz w:val="20"/>
          <w:szCs w:val="20"/>
          <w:color w:val="auto"/>
        </w:rPr>
      </w:pPr>
      <w:r>
        <w:rPr>
          <w:rFonts w:ascii="Times New Roman" w:cs="Times New Roman" w:eastAsia="Times New Roman" w:hAnsi="Times New Roman"/>
          <w:sz w:val="17"/>
          <w:szCs w:val="17"/>
          <w:color w:val="auto"/>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106"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director of the Company.</w:t>
      </w:r>
    </w:p>
    <w:p>
      <w:pPr>
        <w:spacing w:after="0" w:line="103"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Ms. Chan, who is a director nominee, provides the Company with extensive experience in business development and retail sales. Ms. Chan’s experience as an entrepreneur led the Nominating and Corporate Governance Committee to conclude that her skills and background fit the needs of the Board of Directors and qualified her to be a director nominee.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321" w:lineRule="exact"/>
        <w:rPr>
          <w:sz w:val="20"/>
          <w:szCs w:val="20"/>
          <w:color w:val="auto"/>
        </w:rPr>
      </w:pPr>
    </w:p>
    <w:p>
      <w:pPr>
        <w:ind w:left="580" w:right="859" w:firstLine="419"/>
        <w:spacing w:after="0" w:line="263" w:lineRule="auto"/>
        <w:rPr>
          <w:sz w:val="20"/>
          <w:szCs w:val="20"/>
          <w:color w:val="auto"/>
        </w:rPr>
      </w:pPr>
      <w:r>
        <w:rPr>
          <w:rFonts w:ascii="Times New Roman" w:cs="Times New Roman" w:eastAsia="Times New Roman" w:hAnsi="Times New Roman"/>
          <w:sz w:val="17"/>
          <w:szCs w:val="17"/>
          <w:color w:val="auto"/>
        </w:rPr>
        <w:t>Mr. Sokolow, a director since December 2021, is currently the co-Chief Executive Officer of SKYX Platforms, a Nasdaq-listed company.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spacing w:after="0" w:line="112"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w:t>
      </w:r>
    </w:p>
    <w:p>
      <w:pPr>
        <w:spacing w:after="0" w:line="145" w:lineRule="exact"/>
        <w:rPr>
          <w:sz w:val="20"/>
          <w:szCs w:val="20"/>
          <w:color w:val="auto"/>
        </w:rPr>
      </w:pPr>
    </w:p>
    <w:p>
      <w:pPr>
        <w:ind w:left="580" w:right="79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Combining Chairman and Chief Executive Officer Roles. </w:t>
      </w:r>
      <w:r>
        <w:rPr>
          <w:rFonts w:ascii="Times New Roman" w:cs="Times New Roman" w:eastAsia="Times New Roman" w:hAnsi="Times New Roman"/>
          <w:sz w:val="17"/>
          <w:szCs w:val="17"/>
          <w:color w:val="auto"/>
        </w:rPr>
        <w:t>Our Board of Directors is committed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 of independence from management and to the highest standards of corporate governance. All of our directors other than Messrs. Chang and Hua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Currently, the Board believes there are several important advantages to combining the positions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Chairman and Chief Executive Officer. The Chief Executive Officer is the director most familiar with our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business and industry and is most capable of effectively identifying strategic priorities and leading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discussion and execution of strategy. The Company’s independent directors bring experience, oversight,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expertise from outside the Company and industry, while the Chief Executive Officer brings Company-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specific experience and expertise. Combining the Chief Executive Officer and Chairman positions creates a firm</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link between management and the Board, promotes the development and implementation of corporate strategy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and facilitates information flow between management and the Board, which are essential to effective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governance. The Board currently believes that combining the roles of Chairman and Chief Executive Officer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contributes to a more efficient and effective Board, does not undermine the independence of the Board, and has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no bearing on the ethical integrity of the directors.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Oversight of Risk</w:t>
      </w:r>
    </w:p>
    <w:p>
      <w:pPr>
        <w:spacing w:after="0" w:line="160"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5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The Audit Committee maintains initial oversight over risks related to the integrity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11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 Board. </w:t>
      </w:r>
      <w:r>
        <w:rPr>
          <w:rFonts w:ascii="Times New Roman" w:cs="Times New Roman" w:eastAsia="Times New Roman" w:hAnsi="Times New Roman"/>
          <w:sz w:val="17"/>
          <w:szCs w:val="17"/>
          <w:color w:val="auto"/>
        </w:rPr>
        <w:t>At its regularly scheduled meetings, the Board generally receives several reports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Outside Directors</w:t>
      </w:r>
    </w:p>
    <w:p>
      <w:pPr>
        <w:spacing w:after="0" w:line="158" w:lineRule="exact"/>
        <w:rPr>
          <w:sz w:val="20"/>
          <w:szCs w:val="20"/>
          <w:color w:val="auto"/>
        </w:rPr>
      </w:pPr>
    </w:p>
    <w:p>
      <w:pPr>
        <w:ind w:left="580" w:right="8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Annual Cash Compensation. </w:t>
      </w:r>
      <w:r>
        <w:rPr>
          <w:rFonts w:ascii="Times New Roman" w:cs="Times New Roman" w:eastAsia="Times New Roman" w:hAnsi="Times New Roman"/>
          <w:sz w:val="17"/>
          <w:szCs w:val="17"/>
          <w:color w:val="auto"/>
        </w:rPr>
        <w:t>Each of the Company’s non-employee directors receives an annual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retainer of $24,000, payable in twelve monthly installments. In addition, the following Committee retainer amounts are payable to Committee members.</w:t>
      </w:r>
    </w:p>
    <w:p>
      <w:pPr>
        <w:spacing w:after="0" w:line="82" w:lineRule="exact"/>
        <w:rPr>
          <w:sz w:val="20"/>
          <w:szCs w:val="20"/>
          <w:color w:val="auto"/>
        </w:rPr>
      </w:pPr>
    </w:p>
    <w:p>
      <w:pPr>
        <w:ind w:left="580" w:right="81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98"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90" w:lineRule="exact"/>
        <w:rPr>
          <w:sz w:val="20"/>
          <w:szCs w:val="20"/>
          <w:color w:val="auto"/>
        </w:rPr>
      </w:pPr>
    </w:p>
    <w:p>
      <w:pPr>
        <w:ind w:left="580" w:right="939" w:firstLine="419"/>
        <w:spacing w:after="0" w:line="296" w:lineRule="auto"/>
        <w:rPr>
          <w:sz w:val="20"/>
          <w:szCs w:val="20"/>
          <w:color w:val="auto"/>
        </w:rPr>
      </w:pPr>
      <w:r>
        <w:rPr>
          <w:rFonts w:ascii="Times New Roman" w:cs="Times New Roman" w:eastAsia="Times New Roman" w:hAnsi="Times New Roman"/>
          <w:sz w:val="17"/>
          <w:szCs w:val="17"/>
          <w:color w:val="auto"/>
        </w:rPr>
        <w:t>Currently, there are no annual retainer fees awarded to either the Merger and Acquisitions Committee Chair or the Merger and Acquisition Committee members.</w:t>
      </w:r>
    </w:p>
    <w:p>
      <w:pPr>
        <w:spacing w:after="0" w:line="79" w:lineRule="exact"/>
        <w:rPr>
          <w:sz w:val="20"/>
          <w:szCs w:val="20"/>
          <w:color w:val="auto"/>
        </w:rPr>
      </w:pPr>
    </w:p>
    <w:p>
      <w:pPr>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Stock Options and Share-Based Awards. </w:t>
      </w:r>
      <w:r>
        <w:rPr>
          <w:rFonts w:ascii="Times New Roman" w:cs="Times New Roman" w:eastAsia="Times New Roman" w:hAnsi="Times New Roman"/>
          <w:sz w:val="17"/>
          <w:szCs w:val="17"/>
          <w:color w:val="auto"/>
        </w:rPr>
        <w:t>Following initial election to the Company’s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directors are eligible to receive restricted stock units as determined by the Board.</w:t>
      </w:r>
    </w:p>
    <w:p>
      <w:pPr>
        <w:spacing w:after="0" w:line="78"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91"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based remuneration for existing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8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Non-Equity Incentive Plan Compensation. </w:t>
      </w:r>
      <w:r>
        <w:rPr>
          <w:rFonts w:ascii="Times New Roman" w:cs="Times New Roman" w:eastAsia="Times New Roman" w:hAnsi="Times New Roman"/>
          <w:sz w:val="17"/>
          <w:szCs w:val="17"/>
          <w:color w:val="auto"/>
        </w:rPr>
        <w:t>We do not provide Non-Equity Incentive Compensation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directors.</w:t>
      </w:r>
    </w:p>
    <w:p>
      <w:pPr>
        <w:spacing w:after="0" w:line="76" w:lineRule="exact"/>
        <w:rPr>
          <w:sz w:val="20"/>
          <w:szCs w:val="20"/>
          <w:color w:val="auto"/>
        </w:rPr>
      </w:pPr>
    </w:p>
    <w:p>
      <w:pPr>
        <w:ind w:left="580" w:right="137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Pension Benefits. </w:t>
      </w:r>
      <w:r>
        <w:rPr>
          <w:rFonts w:ascii="Times New Roman" w:cs="Times New Roman" w:eastAsia="Times New Roman" w:hAnsi="Times New Roman"/>
          <w:sz w:val="17"/>
          <w:szCs w:val="17"/>
          <w:color w:val="auto"/>
        </w:rPr>
        <w:t>We do not have a pension plan and therefore, do not offer any such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to our directors.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Outside Directors Compensation Table for 2022</w:t>
      </w:r>
    </w:p>
    <w:p>
      <w:pPr>
        <w:spacing w:after="0" w:line="16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table below provides compensation information for the year ended December 31, 2022 for each non-employee member of our Board of Directors. Stuart Wilcox served on the Board until July 14, 2022, when he resigned in connection with his appointment as Chief Operating Officer, and Thomas Massie served on the Board until July 8, 2022, when he resigned from the Board and from his position as President and Chief Operating Officer. Max Holtzman was appointed to the Board on July 14, 2022.</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7"/>
              </w:rPr>
              <w:t>Change In</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4"/>
              </w:rPr>
              <w:t>Value and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6"/>
              </w:rPr>
              <w:t>Nonqualified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Earned or</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80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4"/>
              </w:rPr>
              <w:t>Deferred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1180" w:type="dxa"/>
            <w:vAlign w:val="bottom"/>
            <w:gridSpan w:val="4"/>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100" w:type="dxa"/>
            <w:vAlign w:val="bottom"/>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0" w:type="dxa"/>
            <w:vAlign w:val="bottom"/>
          </w:tcPr>
          <w:p>
            <w:pPr>
              <w:spacing w:after="0"/>
              <w:rPr>
                <w:sz w:val="17"/>
                <w:szCs w:val="17"/>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Cash</w:t>
            </w:r>
            <w:r>
              <w:rPr>
                <w:rFonts w:ascii="Times New Roman" w:cs="Times New Roman" w:eastAsia="Times New Roman" w:hAnsi="Times New Roman"/>
                <w:sz w:val="18"/>
                <w:szCs w:val="18"/>
                <w:b w:val="1"/>
                <w:bCs w:val="1"/>
                <w:color w:val="auto"/>
                <w:w w:val="94"/>
                <w:vertAlign w:val="superscript"/>
              </w:rPr>
              <w:t>(1)</w:t>
            </w:r>
          </w:p>
        </w:tc>
        <w:tc>
          <w:tcPr>
            <w:tcW w:w="820" w:type="dxa"/>
            <w:vAlign w:val="bottom"/>
            <w:gridSpan w:val="3"/>
          </w:tcPr>
          <w:p>
            <w:pPr>
              <w:spacing w:after="0" w:line="252" w:lineRule="exact"/>
              <w:rPr>
                <w:sz w:val="20"/>
                <w:szCs w:val="20"/>
                <w:color w:val="auto"/>
              </w:rPr>
            </w:pPr>
            <w:r>
              <w:rPr>
                <w:rFonts w:ascii="Times New Roman" w:cs="Times New Roman" w:eastAsia="Times New Roman" w:hAnsi="Times New Roman"/>
                <w:sz w:val="29"/>
                <w:szCs w:val="29"/>
                <w:b w:val="1"/>
                <w:bCs w:val="1"/>
                <w:color w:val="auto"/>
                <w:w w:val="93"/>
                <w:vertAlign w:val="subscript"/>
              </w:rPr>
              <w:t>Awards</w:t>
            </w:r>
            <w:r>
              <w:rPr>
                <w:rFonts w:ascii="Times New Roman" w:cs="Times New Roman" w:eastAsia="Times New Roman" w:hAnsi="Times New Roman"/>
                <w:sz w:val="9"/>
                <w:szCs w:val="9"/>
                <w:b w:val="1"/>
                <w:bCs w:val="1"/>
                <w:color w:val="auto"/>
                <w:w w:val="93"/>
              </w:rPr>
              <w:t>(2)(3)</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8"/>
                <w:szCs w:val="18"/>
                <w:b w:val="1"/>
                <w:bCs w:val="1"/>
                <w:color w:val="auto"/>
                <w:vertAlign w:val="superscript"/>
              </w:rPr>
              <w:t>(4)</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80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14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25,500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25,866</w:t>
            </w:r>
          </w:p>
        </w:tc>
      </w:tr>
      <w:tr>
        <w:trPr>
          <w:trHeight w:val="235"/>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18,000</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422</w:t>
            </w:r>
          </w:p>
        </w:tc>
        <w:tc>
          <w:tcPr>
            <w:tcW w:w="28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20"/>
                <w:szCs w:val="20"/>
                <w:color w:val="auto"/>
              </w:rPr>
            </w:pPr>
          </w:p>
        </w:tc>
        <w:tc>
          <w:tcPr>
            <w:tcW w:w="380" w:type="dxa"/>
            <w:vAlign w:val="bottom"/>
            <w:gridSpan w:val="3"/>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18,422</w:t>
            </w:r>
          </w:p>
        </w:tc>
      </w:tr>
      <w:tr>
        <w:trPr>
          <w:trHeight w:val="40"/>
        </w:trPr>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55"/>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42,393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w:t>
            </w: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42,815</w:t>
            </w:r>
          </w:p>
        </w:tc>
      </w:tr>
      <w:tr>
        <w:trPr>
          <w:trHeight w:val="235"/>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34,583</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422</w:t>
            </w:r>
          </w:p>
        </w:tc>
        <w:tc>
          <w:tcPr>
            <w:tcW w:w="28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20"/>
                <w:szCs w:val="20"/>
                <w:color w:val="auto"/>
              </w:rPr>
            </w:pPr>
          </w:p>
        </w:tc>
        <w:tc>
          <w:tcPr>
            <w:tcW w:w="380" w:type="dxa"/>
            <w:vAlign w:val="bottom"/>
            <w:gridSpan w:val="3"/>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35,005</w:t>
            </w:r>
          </w:p>
        </w:tc>
      </w:tr>
      <w:tr>
        <w:trPr>
          <w:trHeight w:val="40"/>
        </w:trPr>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55"/>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37,667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w:t>
            </w: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38,089</w:t>
            </w:r>
          </w:p>
        </w:tc>
      </w:tr>
      <w:tr>
        <w:trPr>
          <w:trHeight w:val="283"/>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Stuart Wilcox</w:t>
            </w:r>
            <w:r>
              <w:rPr>
                <w:rFonts w:ascii="Times New Roman" w:cs="Times New Roman" w:eastAsia="Times New Roman" w:hAnsi="Times New Roman"/>
                <w:sz w:val="20"/>
                <w:szCs w:val="20"/>
                <w:color w:val="auto"/>
                <w:vertAlign w:val="superscript"/>
              </w:rPr>
              <w:t>(5)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13,500</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1,580</w:t>
            </w:r>
          </w:p>
        </w:tc>
        <w:tc>
          <w:tcPr>
            <w:tcW w:w="28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24"/>
                <w:szCs w:val="24"/>
                <w:color w:val="auto"/>
              </w:rPr>
            </w:pPr>
          </w:p>
        </w:tc>
        <w:tc>
          <w:tcPr>
            <w:tcW w:w="380" w:type="dxa"/>
            <w:vAlign w:val="bottom"/>
            <w:gridSpan w:val="3"/>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15,080</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59" w:hanging="426"/>
        <w:spacing w:after="0" w:line="262"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w:t>
      </w:r>
    </w:p>
    <w:p>
      <w:pPr>
        <w:ind w:left="1000" w:right="63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reported amounts are calculated in accordance with the provisions of Financial Accounting Standards Board (“FASB”) Accounting Standard Codification Topic 718, “Compensation — Stock Compensation (“ASC Topic 718”).</w:t>
      </w:r>
    </w:p>
    <w:p>
      <w:pPr>
        <w:ind w:left="1000" w:right="719" w:hanging="426"/>
        <w:spacing w:after="0" w:line="256"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the aggregate number of unvested restricted stock units outstanding for each current non-employee director were as follows: 267 for each of Messrs. Hua, Mahoney, Varier, Sokolow and Holtzman.</w:t>
      </w:r>
    </w:p>
    <w:p>
      <w:pPr>
        <w:ind w:left="1000" w:right="89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2022, the aggregate number of unexercised stock option awards outstanding for each current non-employee director were as follows: 435 for Mr. Hua, 435 for Mr. Mahoney, 432 for Mr. Varier; 160 for</w:t>
      </w: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Mr. Sokolow and none for Mr. Holtzman.</w:t>
      </w:r>
    </w:p>
    <w:p>
      <w:pPr>
        <w:spacing w:after="0" w:line="12" w:lineRule="exact"/>
        <w:rPr>
          <w:rFonts w:ascii="Times New Roman" w:cs="Times New Roman" w:eastAsia="Times New Roman" w:hAnsi="Times New Roman"/>
          <w:sz w:val="15"/>
          <w:szCs w:val="15"/>
          <w:color w:val="auto"/>
        </w:rPr>
      </w:pPr>
    </w:p>
    <w:p>
      <w:pPr>
        <w:ind w:left="1000" w:right="599" w:hanging="426"/>
        <w:spacing w:after="0" w:line="260"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Starting in 2021, the Company entered into a strategic advisory consulting agreement with Mr. Wilcox leveraging his cannabis-related expertise in cultivation, extraction, supply chain optimization and industry networking. Per the terms of the agreement, the Company paid a $10,000 monthly consulting fee to Mr. Wilcox, which fee was in addition to his board-related monthly retainer and committee membership fees described above. The consulting agreement was terminated on July 14, 2022.</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47" w:lineRule="exact"/>
        <w:rPr>
          <w:sz w:val="20"/>
          <w:szCs w:val="20"/>
          <w:color w:val="auto"/>
        </w:rPr>
      </w:pPr>
    </w:p>
    <w:p>
      <w:pPr>
        <w:ind w:left="580" w:right="639" w:firstLine="419"/>
        <w:spacing w:after="0" w:line="261" w:lineRule="auto"/>
        <w:rPr>
          <w:sz w:val="20"/>
          <w:szCs w:val="20"/>
          <w:color w:val="auto"/>
        </w:rPr>
      </w:pPr>
      <w:r>
        <w:rPr>
          <w:rFonts w:ascii="Times New Roman" w:cs="Times New Roman" w:eastAsia="Times New Roman" w:hAnsi="Times New Roman"/>
          <w:sz w:val="17"/>
          <w:szCs w:val="17"/>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2468 Industrial Row Drive, Troy, Michigan 48084, Attn: Corporate Secretary”. Communications by e-mail should be addressed to board@agrify.com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76" w:lineRule="auto"/>
        <w:rPr>
          <w:sz w:val="20"/>
          <w:szCs w:val="20"/>
          <w:color w:val="auto"/>
        </w:rPr>
      </w:pPr>
      <w:r>
        <w:rPr>
          <w:rFonts w:ascii="Times New Roman" w:cs="Times New Roman" w:eastAsia="Times New Roman" w:hAnsi="Times New Roman"/>
          <w:sz w:val="17"/>
          <w:szCs w:val="17"/>
          <w:color w:val="auto"/>
        </w:rPr>
        <w:t>subject to advice and assistance from the Company’s legal advisors, (i) be primarily responsible for monitoring communications from shareholders and other interested parties and (ii) provide copies or summaries of such communications to the other directors as he or she considers appropriate.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Directors are required, absent compelling circumstances, to attend our Annual Meeting of Stockholders.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 and Business Conduct</w:t>
      </w:r>
    </w:p>
    <w:p>
      <w:pPr>
        <w:spacing w:after="0" w:line="160"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December 4, 2023,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December 4, 2023, there were 58 record holders and 1,701,243 outstanding shares of our Company’s Common Stock.</w:t>
      </w:r>
    </w:p>
    <w:p>
      <w:pPr>
        <w:spacing w:after="0" w:line="112"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December 4, 2023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December 1, 2023,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21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42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5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Principal Stockholders</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Alyeska Investment Group, L.P.</w:t>
            </w:r>
            <w:r>
              <w:rPr>
                <w:rFonts w:ascii="Times New Roman" w:cs="Times New Roman" w:eastAsia="Times New Roman" w:hAnsi="Times New Roman"/>
                <w:sz w:val="20"/>
                <w:szCs w:val="20"/>
                <w:color w:val="auto"/>
                <w:vertAlign w:val="superscript"/>
              </w:rPr>
              <w:t>(2)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161,701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77 West Wacker Drive,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Chicago, IL 60601</w:t>
            </w: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color w:val="auto"/>
                <w:vertAlign w:val="superscript"/>
              </w:rPr>
              <w:t>(3)(5)</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Raymond Chang</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356,958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David Kessler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1,032</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30,702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52,724</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45,064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41,986</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36,724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Timothy Oakes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208</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Massie</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2,057</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(10 persons)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567,455</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ind w:left="1000" w:right="57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number of shares of Common Stock actually owned as of December 1, 2023 plus (b) the number of shares of Common Stock that may be acquired through the exercise of stock options, warrants or any other rights or the vesting of Restricted Stock Units within 60 days thereof (“Currently Exercisable Awards”) by (ii) the sum of 1,701,243 shares of Common Stock outstanding as of December 1, 2023, plus the amount referenced in clause (i)(b) for such individual or group.</w:t>
      </w:r>
    </w:p>
    <w:p>
      <w:pPr>
        <w:spacing w:after="0" w:line="1" w:lineRule="exact"/>
        <w:rPr>
          <w:rFonts w:ascii="Times New Roman" w:cs="Times New Roman" w:eastAsia="Times New Roman" w:hAnsi="Times New Roman"/>
          <w:sz w:val="16"/>
          <w:szCs w:val="16"/>
          <w:color w:val="auto"/>
        </w:rPr>
      </w:pPr>
    </w:p>
    <w:p>
      <w:pPr>
        <w:ind w:left="1000" w:right="699" w:hanging="426"/>
        <w:spacing w:after="0" w:line="273" w:lineRule="auto"/>
        <w:tabs>
          <w:tab w:leader="none" w:pos="10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61,701 shares of Common Stock and warrants to purchase 100,000 shares of Common Stock. For purposes of the reporting requirements of the Exchange Act, Alyeska Fund GP, LLC and Anand Parekh are deemed to be beneficial owners of such securities. Information set forth above and in this note (2) is based upon the Schedule 13G filed by Alyeska Investment Group, L.P., Alyeska Fund GP, LLC and Anand Parekh on February 14, 2023.</w:t>
      </w:r>
    </w:p>
    <w:p>
      <w:pPr>
        <w:spacing w:after="0" w:line="1" w:lineRule="exact"/>
        <w:rPr>
          <w:rFonts w:ascii="Times New Roman" w:cs="Times New Roman" w:eastAsia="Times New Roman" w:hAnsi="Times New Roman"/>
          <w:sz w:val="15"/>
          <w:szCs w:val="15"/>
          <w:color w:val="auto"/>
        </w:rPr>
      </w:pPr>
    </w:p>
    <w:p>
      <w:pPr>
        <w:ind w:left="1000" w:right="899" w:hanging="426"/>
        <w:spacing w:after="0" w:line="272"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2468 Industrial Row Dr., Troy, MI 48084.</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799" w:hanging="426"/>
        <w:spacing w:after="0" w:line="271" w:lineRule="auto"/>
        <w:tabs>
          <w:tab w:leader="none" w:pos="10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options to purchase 6,244 shares of Common Stock that are exercisable within 60 days of December 1, 2023, (ii) 575 shares of Common Stock owned by Mr. Chang, (iii) 118,077 shares of common stock held by RTC3 2020 Irrevocable Family Trust, of which Mr. Chang retains the authority to remove the independent trustee,</w:t>
      </w:r>
    </w:p>
    <w:p>
      <w:pPr>
        <w:spacing w:after="0" w:line="1" w:lineRule="exact"/>
        <w:rPr>
          <w:rFonts w:ascii="Times New Roman" w:cs="Times New Roman" w:eastAsia="Times New Roman" w:hAnsi="Times New Roman"/>
          <w:sz w:val="15"/>
          <w:szCs w:val="15"/>
          <w:color w:val="auto"/>
        </w:rPr>
      </w:pPr>
    </w:p>
    <w:p>
      <w:pPr>
        <w:ind w:left="1000" w:right="85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(iv) 648 shares of common stock held by NXT3J Capital, LLC, an entity controlled by Mr. Chang, (v) warrants to purchase 317 shares of common stock associated with our 2020 convertible promissory notes held by RTC3 2020 Irrevocable Family Trust, (vi) options to purchase 186 shares of common stock held by Mr. Chang’s son that are exercisable within 60 days of December 1, 2023, and (vii) warrants to purchase 230,906 shares of Common Stock that are held by RTC3 2020 Irrevocable Family Trust, but only to the extent exercisable due to a 9.99% beneficial ownership limitation.</w:t>
      </w:r>
    </w:p>
    <w:p>
      <w:pPr>
        <w:spacing w:after="0" w:line="1" w:lineRule="exact"/>
        <w:rPr>
          <w:rFonts w:ascii="Times New Roman" w:cs="Times New Roman" w:eastAsia="Times New Roman" w:hAnsi="Times New Roman"/>
          <w:sz w:val="15"/>
          <w:szCs w:val="15"/>
          <w:color w:val="auto"/>
        </w:rPr>
      </w:pPr>
    </w:p>
    <w:p>
      <w:pPr>
        <w:ind w:left="1000" w:right="599" w:hanging="426"/>
        <w:spacing w:after="0" w:line="273" w:lineRule="auto"/>
        <w:tabs>
          <w:tab w:leader="none" w:pos="10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the following shares subject to options that are exercisable within 60 days of December 1, 2023: Mr. Kessler, 782; Mr. Hua, 449; Mr. Holtzman, 0; Mr. Mahoney, 449; Mr. Varier, 447; Mr. Sokolow, 174; Mr. Oakes, 0; and</w:t>
      </w:r>
    </w:p>
    <w:p>
      <w:pPr>
        <w:ind w:left="1000" w:right="639"/>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Mr. Massie, 954. Includes the following shares subject to Restricted Stock Units that vest within 60 days of December 1, 2023, subject to shareholder approval of Item 6: Mr. Hua, 26,686; Mr. Holtzman, 52,635; Mr. Mahoney, 44,526; Mr. Varier, 41, 450; and Mr. Sokolow, 36,461.</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Under the U.S. securities laws, directors, executive officers and persons holding more than 10% of the Company’s Common Stock must report their initial ownership of the Common Stock and any changes in that ownership to the SEC. The SEC has designated specific due dates for these reports and we must identify in this proxy statement those persons who did not file these reports when due. Based solely on our review of the copies of these forms received by us or written representations furnished to us, we believe that, for the reporting period covering our 2022 fiscal year, our executive officers and directors complied with all their reporting requirements under Section 16(a) for this fiscal year, except for (i) Form 4s filed by Messrs. Chang and Wilcox on February 2, 2022 relating to transactions that occurred on January 28, 2022 due to an administrative oversight, (ii) a Form 4 filed by Mr. Holtzman on July 21, 2022 relating to a grant that occurred on July 14, 2022 due to a delay in obtaining EDGAR codes, (iii) Form 3s filed by Steve Drucker and Chris Benyo on July 28, 2022 relating to a reportable event on July 14, 2022 due to a delay in obtaining EDGAR codes, (iv) a Form 3 filed by David Kessler on August 5, 2022 relating to a reportable event on July 14, 2022 due to a delay in obtaining EDGAR codes, (v) a Form 3 filed by Timothy Hayden on November 14, 2022 relating to a reportable event on November 1, 2022 due to an administrative oversight, and (vi) a Form 4 filed by Timothy Oakes on December 19, 2022 relating to a grant that occurred on November 10, 2022 due to an administrative oversight.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During April 2022, our Board of Directors, and on June 8, 2022, our stockholders, adopted and approved the 2022 Omnibus Plan. The 2022 Omnibus Plan provides for the grant of stock options, SARs, restricted stock, restricted stock units, performance share awards, and other stock-based and cash-based awards to our non-employee directors, officers, employees and non-employee consultants. The aggregate number of shares of Common Stock that may be reserved and available for grant and issuance under the 2022 Omnibus Plan is</w:t>
      </w:r>
    </w:p>
    <w:p>
      <w:pPr>
        <w:spacing w:after="0" w:line="3" w:lineRule="exact"/>
        <w:rPr>
          <w:sz w:val="20"/>
          <w:szCs w:val="20"/>
          <w:color w:val="auto"/>
        </w:rPr>
      </w:pPr>
    </w:p>
    <w:p>
      <w:pPr>
        <w:ind w:left="580" w:right="619"/>
        <w:spacing w:after="0" w:line="261" w:lineRule="auto"/>
        <w:rPr>
          <w:sz w:val="20"/>
          <w:szCs w:val="20"/>
          <w:color w:val="auto"/>
        </w:rPr>
      </w:pPr>
      <w:r>
        <w:rPr>
          <w:rFonts w:ascii="Times New Roman" w:cs="Times New Roman" w:eastAsia="Times New Roman" w:hAnsi="Times New Roman"/>
          <w:sz w:val="17"/>
          <w:szCs w:val="17"/>
          <w:color w:val="auto"/>
        </w:rPr>
        <w:t>9,354 shares. Shares will be deemed to have been issued under the 2022 Omnibus Plan solely to the extent actually issued and delivered pursuant to an award. If any award expires, is cancelled, or terminates unexercised or is forfeited, the number of shares subject thereto is again available for grant under the 2022 Omnibus Plan. The 2022 Omnibus Plan will continue in effect, unless sooner terminated, until the tenth (10) anniversary of the date on which it is adopted by the Board of Directors.</w:t>
      </w:r>
    </w:p>
    <w:p>
      <w:pPr>
        <w:spacing w:after="0" w:line="111"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On December 18, 2020, the Company’s Board of Directors, and on January 11, 2021, the Company’s stockholders, adopted and approved the 2020 Omnibus Plan. The 2020 Omnibus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Omnibus Plan is 0 shares. Shares will be deemed to have been issued under the 2020 Omnibus Plan solely to the extent actually issued and delivered pursuant to an award. If any award expires, is cancelled, or terminates unexercised or is forfeited, the number of shares subject thereto is again available for grant under the 2020 Omnibus Plan.</w:t>
      </w:r>
    </w:p>
    <w:p>
      <w:pPr>
        <w:spacing w:after="0" w:line="110"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For additional information regarding the above plans, see Note 13 to our audited consolidated financial statements in the Company’s Annual Report on Form 10-K for the year ended December 31, 2022.</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Table</w:t>
      </w:r>
    </w:p>
    <w:p>
      <w:pPr>
        <w:spacing w:after="0" w:line="147"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as of December 31, 2022, for our 2022 Omnibus Equity Incentive Plan and 2020 Omnibus Equity Incentive Plan:</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(C)</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Remaining</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 Issuance</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to</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under Equity</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 Issued</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upon Exercise</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(Excluding</w:t>
            </w:r>
          </w:p>
        </w:tc>
      </w:tr>
      <w:tr>
        <w:trPr>
          <w:trHeight w:val="196"/>
        </w:trPr>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Outstanding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 Reflected</w:t>
            </w:r>
          </w:p>
        </w:tc>
      </w:tr>
      <w:tr>
        <w:trPr>
          <w:trHeight w:val="208"/>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Stock Options</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Stock Options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Column (A))</w:t>
            </w:r>
          </w:p>
        </w:tc>
      </w:tr>
      <w:tr>
        <w:trPr>
          <w:trHeight w:val="44"/>
        </w:trPr>
        <w:tc>
          <w:tcPr>
            <w:tcW w:w="26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5"/>
        </w:trPr>
        <w:tc>
          <w:tcPr>
            <w:tcW w:w="26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 Omnibus Plan</w:t>
            </w: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9,354</w:t>
            </w:r>
          </w:p>
        </w:tc>
      </w:tr>
      <w:tr>
        <w:trPr>
          <w:trHeight w:val="295"/>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2020 Omnibus Plan</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2,768</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9,354</w:t>
            </w:r>
          </w:p>
        </w:tc>
      </w:tr>
      <w:tr>
        <w:trPr>
          <w:trHeight w:val="380"/>
        </w:trPr>
        <w:tc>
          <w:tcPr>
            <w:tcW w:w="26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147" w:lineRule="exact"/>
        <w:rPr>
          <w:sz w:val="20"/>
          <w:szCs w:val="20"/>
          <w:color w:val="auto"/>
        </w:rPr>
      </w:pPr>
    </w:p>
    <w:p>
      <w:pPr>
        <w:ind w:left="580" w:right="107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Agrify’s current executive officers, the year they became a named executive officer, and their principal occupations or employment for at least the past five years.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5920" w:type="dxa"/>
            <w:vAlign w:val="bottom"/>
          </w:tcPr>
          <w:p>
            <w:pPr>
              <w:ind w:left="258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5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2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5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3"/>
              </w:rPr>
              <w:t>53</w:t>
            </w:r>
          </w:p>
        </w:tc>
        <w:tc>
          <w:tcPr>
            <w:tcW w:w="80" w:type="dxa"/>
            <w:vAlign w:val="bottom"/>
            <w:vMerge w:val="continue"/>
          </w:tcPr>
          <w:p>
            <w:pPr>
              <w:spacing w:after="0"/>
              <w:rPr>
                <w:sz w:val="16"/>
                <w:szCs w:val="16"/>
                <w:color w:val="auto"/>
              </w:rPr>
            </w:pPr>
          </w:p>
        </w:tc>
        <w:tc>
          <w:tcPr>
            <w:tcW w:w="59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on page 5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this Proxy.</w:t>
            </w:r>
          </w:p>
        </w:tc>
        <w:tc>
          <w:tcPr>
            <w:tcW w:w="0" w:type="dxa"/>
            <w:vAlign w:val="bottom"/>
          </w:tcPr>
          <w:p>
            <w:pPr>
              <w:spacing w:after="0"/>
              <w:rPr>
                <w:sz w:val="1"/>
                <w:szCs w:val="1"/>
                <w:color w:val="auto"/>
              </w:rPr>
            </w:pPr>
          </w:p>
        </w:tc>
      </w:tr>
      <w:tr>
        <w:trPr>
          <w:trHeight w:val="362"/>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Kessler</w:t>
            </w:r>
          </w:p>
        </w:tc>
        <w:tc>
          <w:tcPr>
            <w:tcW w:w="6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3"/>
              </w:rPr>
              <w:t>45</w:t>
            </w:r>
          </w:p>
        </w:tc>
        <w:tc>
          <w:tcPr>
            <w:tcW w:w="8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Mr. Kessler has served as our Chief Science Officer since July 2022. Since 2013,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has served as owner and operator of Willowbrook Orchids LLC, a national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winning boutique orchid nursery. From 2006 through 2016, Mr. Kessler served as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Horticulturist at Atlantic Hydroponics, where he oversaw project management.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Mr. Kessler has over twenty years of cannabis cultivation experience including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ten years of CEA (closed environmental agriculture) indoor farm design.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Mr. Kessler’s focus on the application of technology to optimize process &amp;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workflow while reducing operational costs are a common theme throughout his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prolific industry publications having written for such companies as Sunlight Supply,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Maximum Yield Magazine, Botanicare, and Hawthorne Gardening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Mr. Kessler also regularly lectures at many cannabis industry events and appears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regularly on industry podcasts. Mr. Kessler’s decades of experience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horticultural lighting have allowed him the opportunity to be a product tester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companies such as Sharp Electronics and the Horticultural Lighting Group. He has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worked with independent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party laboratories to provide unbiased testing data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comparing product performance from a multitude of horticultural lighting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manufacturers. Mr. Kessler received a Bachelor of Arts degree and undertook post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graduate studies in biology at SUNY-Oswego.</w:t>
            </w:r>
          </w:p>
        </w:tc>
        <w:tc>
          <w:tcPr>
            <w:tcW w:w="0" w:type="dxa"/>
            <w:vAlign w:val="bottom"/>
          </w:tcPr>
          <w:p>
            <w:pPr>
              <w:spacing w:after="0"/>
              <w:rPr>
                <w:sz w:val="1"/>
                <w:szCs w:val="1"/>
                <w:color w:val="auto"/>
              </w:rPr>
            </w:pPr>
          </w:p>
        </w:tc>
      </w:tr>
      <w:tr>
        <w:trPr>
          <w:trHeight w:val="375"/>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Brian Towns</w:t>
            </w:r>
          </w:p>
        </w:tc>
        <w:tc>
          <w:tcPr>
            <w:tcW w:w="62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Mr. Towns has served as the Executive Vice President and General Manager of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Extraction Division since May 2023, and previously served as Vice President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Operations from October 2021 through May 2023. Prior to that role, Mr. Towns</w:t>
            </w:r>
          </w:p>
        </w:tc>
        <w:tc>
          <w:tcPr>
            <w:tcW w:w="0" w:type="dxa"/>
            <w:vAlign w:val="bottom"/>
          </w:tcPr>
          <w:p>
            <w:pPr>
              <w:spacing w:after="0"/>
              <w:rPr>
                <w:sz w:val="1"/>
                <w:szCs w:val="1"/>
                <w:color w:val="auto"/>
              </w:rPr>
            </w:pPr>
          </w:p>
        </w:tc>
      </w:tr>
    </w:tbl>
    <w:p>
      <w:pPr>
        <w:ind w:left="2520" w:right="599"/>
        <w:spacing w:after="0" w:line="258" w:lineRule="auto"/>
        <w:rPr>
          <w:sz w:val="20"/>
          <w:szCs w:val="20"/>
          <w:color w:val="auto"/>
        </w:rPr>
      </w:pPr>
      <w:r>
        <w:rPr>
          <w:rFonts w:ascii="Times New Roman" w:cs="Times New Roman" w:eastAsia="Times New Roman" w:hAnsi="Times New Roman"/>
          <w:sz w:val="17"/>
          <w:szCs w:val="17"/>
          <w:color w:val="auto"/>
        </w:rPr>
        <w:t>served as Operations Manager of Precision Extraction from October 2016 through January 2019, at which time, Mr. Towns was 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 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This section describes the compensation paid, or payable, for the last two fiscal years to our named executive officers. Our named executive officers during the fiscal year ended December 31, 2022 were Raymond Chang, our Chairman and Chief Executive Officer, David Kessler, our Chief Science Officer, Thomas Massie, our former President and Chief Operating Officer, and Timothy Oakes, our former Chief Financial Officer. Mr. Massie resigned as President and Chief Operating Officer on July 8, 2022. Mr. Oakes resigned as Chief Financial Officer effective as of February 28, 2023.</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The table below summarizes the total compensation paid or earned by each of the named executive officers noted below for services rendered in all capacities, during the fiscal years ended December 31, 2022 and 2021. As a smaller reporting company, we are only required to provide two years of compensation information for our named executive officers.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640" w:type="dxa"/>
            <w:vAlign w:val="bottom"/>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jc w:val="right"/>
              <w:ind w:right="100"/>
              <w:spacing w:after="0" w:line="116"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9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 w:type="dxa"/>
            <w:vAlign w:val="bottom"/>
          </w:tcPr>
          <w:p>
            <w:pPr>
              <w:spacing w:after="0"/>
              <w:rPr>
                <w:sz w:val="9"/>
                <w:szCs w:val="9"/>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60" w:type="dxa"/>
            <w:vAlign w:val="bottom"/>
            <w:vMerge w:val="restart"/>
          </w:tcPr>
          <w:p>
            <w:pPr>
              <w:spacing w:after="0"/>
              <w:rPr>
                <w:sz w:val="9"/>
                <w:szCs w:val="9"/>
                <w:color w:val="auto"/>
              </w:rPr>
            </w:pPr>
          </w:p>
        </w:tc>
        <w:tc>
          <w:tcPr>
            <w:tcW w:w="6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0" w:type="dxa"/>
            <w:vAlign w:val="bottom"/>
            <w:vMerge w:val="restart"/>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ind w:right="5"/>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b w:val="1"/>
                <w:bCs w:val="1"/>
                <w:color w:val="auto"/>
              </w:rPr>
              <w:t>(2)</w:t>
            </w:r>
          </w:p>
        </w:tc>
        <w:tc>
          <w:tcPr>
            <w:tcW w:w="900" w:type="dxa"/>
            <w:vAlign w:val="bottom"/>
            <w:gridSpan w:val="4"/>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8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85"/>
              </w:rPr>
              <w:t>(3)</w:t>
            </w:r>
          </w:p>
        </w:tc>
        <w:tc>
          <w:tcPr>
            <w:tcW w:w="7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tcPr>
          <w:p>
            <w:pPr>
              <w:jc w:val="right"/>
              <w:ind w:right="65"/>
              <w:spacing w:after="0" w:line="131"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right"/>
              <w:ind w:right="125"/>
              <w:spacing w:after="0" w:line="131"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43"/>
              <w:spacing w:after="0" w:line="131"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$350,479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$471,000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$1,029,578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Chairman and Chief</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290,000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4,559,100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31,951</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220,233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177,550</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Science Officer</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2021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210,750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350,700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29,919</w:t>
            </w:r>
          </w:p>
        </w:tc>
        <w:tc>
          <w:tcPr>
            <w:tcW w:w="6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671,369</w:t>
            </w:r>
          </w:p>
        </w:tc>
        <w:tc>
          <w:tcPr>
            <w:tcW w:w="0" w:type="dxa"/>
            <w:vAlign w:val="bottom"/>
          </w:tcPr>
          <w:p>
            <w:pPr>
              <w:spacing w:after="0"/>
              <w:rPr>
                <w:sz w:val="1"/>
                <w:szCs w:val="1"/>
                <w:color w:val="auto"/>
              </w:rPr>
            </w:pPr>
          </w:p>
        </w:tc>
      </w:tr>
      <w:tr>
        <w:trPr>
          <w:trHeight w:val="44"/>
        </w:trPr>
        <w:tc>
          <w:tcPr>
            <w:tcW w:w="17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Massie</w:t>
            </w:r>
            <w:r>
              <w:rPr>
                <w:rFonts w:ascii="Times New Roman" w:cs="Times New Roman" w:eastAsia="Times New Roman" w:hAnsi="Times New Roman"/>
                <w:sz w:val="20"/>
                <w:szCs w:val="20"/>
                <w:color w:val="auto"/>
                <w:vertAlign w:val="superscript"/>
              </w:rPr>
              <w:t>(4)</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655,605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384,000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117,033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33,033</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1,189,671</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Former President and</w:t>
            </w:r>
          </w:p>
        </w:tc>
        <w:tc>
          <w:tcPr>
            <w:tcW w:w="420" w:type="dxa"/>
            <w:vAlign w:val="bottom"/>
            <w:gridSpan w:val="3"/>
            <w:shd w:val="clear" w:color="auto" w:fill="CCEEFF"/>
          </w:tcPr>
          <w:p>
            <w:pPr>
              <w:ind w:left="60"/>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64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70,686</w:t>
            </w:r>
          </w:p>
        </w:tc>
        <w:tc>
          <w:tcPr>
            <w:tcW w:w="64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828,137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42,033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8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2,663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943,519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Timothy Oakes</w:t>
            </w:r>
            <w:r>
              <w:rPr>
                <w:rFonts w:ascii="Times New Roman" w:cs="Times New Roman" w:eastAsia="Times New Roman" w:hAnsi="Times New Roman"/>
                <w:sz w:val="20"/>
                <w:szCs w:val="20"/>
                <w:color w:val="auto"/>
                <w:vertAlign w:val="superscript"/>
              </w:rPr>
              <w:t>(5)</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264,454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247,625</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609,727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Financial</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2021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63,667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442,389</w:t>
            </w:r>
          </w:p>
        </w:tc>
        <w:tc>
          <w:tcPr>
            <w:tcW w:w="0" w:type="dxa"/>
            <w:vAlign w:val="bottom"/>
          </w:tcPr>
          <w:p>
            <w:pPr>
              <w:spacing w:after="0"/>
              <w:rPr>
                <w:sz w:val="1"/>
                <w:szCs w:val="1"/>
                <w:color w:val="auto"/>
              </w:rPr>
            </w:pPr>
          </w:p>
        </w:tc>
      </w:tr>
      <w:tr>
        <w:trPr>
          <w:trHeight w:val="208"/>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79" w:hanging="426"/>
        <w:spacing w:after="0" w:line="258"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the Company’s equity awards in 2022 and 2021.</w:t>
      </w:r>
    </w:p>
    <w:p>
      <w:pPr>
        <w:spacing w:after="0" w:line="3" w:lineRule="exact"/>
        <w:rPr>
          <w:rFonts w:ascii="Times New Roman" w:cs="Times New Roman" w:eastAsia="Times New Roman" w:hAnsi="Times New Roman"/>
          <w:sz w:val="16"/>
          <w:szCs w:val="16"/>
          <w:color w:val="auto"/>
        </w:rPr>
      </w:pPr>
    </w:p>
    <w:p>
      <w:pPr>
        <w:ind w:left="1000" w:right="1099" w:hanging="426"/>
        <w:spacing w:after="0" w:line="256"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amounts earned by each Named Executive Officer under the Company’s performance-based annual incentive plan.</w:t>
      </w:r>
    </w:p>
    <w:p>
      <w:pPr>
        <w:ind w:left="1000" w:hanging="426"/>
        <w:spacing w:after="0"/>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payment of health plan premiums as per Company policy.</w:t>
      </w:r>
    </w:p>
    <w:p>
      <w:pPr>
        <w:spacing w:after="0" w:line="12" w:lineRule="exact"/>
        <w:rPr>
          <w:rFonts w:ascii="Times New Roman" w:cs="Times New Roman" w:eastAsia="Times New Roman" w:hAnsi="Times New Roman"/>
          <w:sz w:val="16"/>
          <w:szCs w:val="16"/>
          <w:color w:val="auto"/>
        </w:rPr>
      </w:pPr>
    </w:p>
    <w:p>
      <w:pPr>
        <w:ind w:left="1000" w:right="759" w:hanging="426"/>
        <w:spacing w:after="0" w:line="256"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Massie resigned as President and Chief Operating Officer on July 8, 2022. Mr. Massie’s reported salary amount for the year ended December 31, 2022 includes $500,000 in severance payments.</w:t>
      </w:r>
    </w:p>
    <w:p>
      <w:pPr>
        <w:ind w:left="1000" w:hanging="426"/>
        <w:spacing w:after="0"/>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Oakes resigned as Chief Financial Officer effective February 28,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ind w:left="580" w:right="15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outstanding equity awards for Named Executive Officers as of December 31, 2022.</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3"/>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4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64"/>
        </w:trPr>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5"/>
                <w:szCs w:val="5"/>
                <w:color w:val="auto"/>
              </w:rPr>
            </w:pPr>
          </w:p>
        </w:tc>
        <w:tc>
          <w:tcPr>
            <w:tcW w:w="64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Vesting</w:t>
            </w: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2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900" w:type="dxa"/>
            <w:vAlign w:val="bottom"/>
            <w:gridSpan w:val="3"/>
            <w:vMerge w:val="restart"/>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Have</w:t>
            </w:r>
          </w:p>
        </w:tc>
        <w:tc>
          <w:tcPr>
            <w:tcW w:w="740" w:type="dxa"/>
            <w:vAlign w:val="bottom"/>
            <w:vMerge w:val="restart"/>
          </w:tcPr>
          <w:p>
            <w:pPr>
              <w:jc w:val="center"/>
              <w:ind w:right="23"/>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60"/>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6"/>
                <w:szCs w:val="16"/>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7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1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720" w:type="dxa"/>
            <w:vAlign w:val="bottom"/>
            <w:gridSpan w:val="2"/>
            <w:vMerge w:val="restart"/>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5/6/20</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ind w:left="220"/>
              <w:spacing w:after="0" w:line="98" w:lineRule="exact"/>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1,689</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456.00</w:t>
            </w:r>
          </w:p>
        </w:tc>
        <w:tc>
          <w:tcPr>
            <w:tcW w:w="8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5/6/30</w:t>
            </w:r>
          </w:p>
        </w:tc>
        <w:tc>
          <w:tcPr>
            <w:tcW w:w="100" w:type="dxa"/>
            <w:vAlign w:val="bottom"/>
            <w:shd w:val="clear" w:color="auto" w:fill="CCEEFF"/>
          </w:tcPr>
          <w:p>
            <w:pPr>
              <w:spacing w:after="0"/>
              <w:rPr>
                <w:sz w:val="8"/>
                <w:szCs w:val="8"/>
                <w:color w:val="auto"/>
              </w:rPr>
            </w:pPr>
          </w:p>
        </w:tc>
        <w:tc>
          <w:tcPr>
            <w:tcW w:w="90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36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10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10/19/20</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1,324</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10/19/30</w:t>
            </w:r>
          </w:p>
        </w:tc>
        <w:tc>
          <w:tcPr>
            <w:tcW w:w="10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10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8/8/22</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rPr>
              <w:t>5/6/20</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168</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5/6/30</w:t>
            </w:r>
          </w:p>
        </w:tc>
        <w:tc>
          <w:tcPr>
            <w:tcW w:w="100" w:type="dxa"/>
            <w:vAlign w:val="bottom"/>
          </w:tcPr>
          <w:p>
            <w:pPr>
              <w:spacing w:after="0"/>
              <w:rPr>
                <w:sz w:val="10"/>
                <w:szCs w:val="10"/>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8"/>
              </w:rPr>
              <w:t>7/20/20</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159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4"/>
              </w:rPr>
              <w:t>10/19/20</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10/19/30</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8"/>
              </w:rPr>
              <w:t>2/17/21</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2,768.00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rPr>
              <w:t>8/8/22</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8"/>
              </w:rPr>
              <w:t>9/30/22</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Oakes</w:t>
            </w:r>
          </w:p>
        </w:tc>
        <w:tc>
          <w:tcPr>
            <w:tcW w:w="720" w:type="dxa"/>
            <w:vAlign w:val="bottom"/>
            <w:gridSpan w:val="2"/>
            <w:vMerge w:val="restart"/>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4"/>
              </w:rPr>
              <w:t>10/19/20</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10/19/30</w:t>
            </w:r>
          </w:p>
        </w:tc>
        <w:tc>
          <w:tcPr>
            <w:tcW w:w="10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36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2,768.00</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10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8/8/22</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8/8/22</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220"/>
              <w:spacing w:after="0" w:line="15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Thomas Massie</w:t>
            </w: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rPr>
              <w:t>5/6/20</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5/6/30</w:t>
            </w:r>
          </w:p>
        </w:tc>
        <w:tc>
          <w:tcPr>
            <w:tcW w:w="100" w:type="dxa"/>
            <w:vAlign w:val="bottom"/>
          </w:tcPr>
          <w:p>
            <w:pPr>
              <w:spacing w:after="0"/>
              <w:rPr>
                <w:sz w:val="10"/>
                <w:szCs w:val="10"/>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8"/>
              </w:rPr>
              <w:t>8/10/20</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4"/>
              </w:rPr>
              <w:t>10/19/20</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185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10/19/30</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4"/>
              </w:rPr>
              <w:t>12/21/20</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12/21/30</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8"/>
              </w:rPr>
              <w:t>2/17/21</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250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2,768.00</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100" w:type="dxa"/>
            <w:vAlign w:val="bottom"/>
          </w:tcPr>
          <w:p>
            <w:pPr>
              <w:spacing w:after="0"/>
              <w:rPr>
                <w:sz w:val="9"/>
                <w:szCs w:val="9"/>
                <w:color w:val="auto"/>
              </w:rPr>
            </w:pP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7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4"/>
              </w:rPr>
              <w:t>11/10/21</w:t>
            </w:r>
          </w:p>
        </w:tc>
        <w:tc>
          <w:tcPr>
            <w:tcW w:w="620" w:type="dxa"/>
            <w:vAlign w:val="bottom"/>
            <w:gridSpan w:val="2"/>
          </w:tcPr>
          <w:p>
            <w:pPr>
              <w:ind w:left="300"/>
              <w:spacing w:after="0" w:line="105" w:lineRule="exact"/>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9"/>
                <w:szCs w:val="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73" w:lineRule="exact"/>
        <w:rPr>
          <w:sz w:val="20"/>
          <w:szCs w:val="20"/>
          <w:color w:val="auto"/>
        </w:rPr>
      </w:pPr>
    </w:p>
    <w:p>
      <w:pPr>
        <w:ind w:left="1000" w:right="659" w:hanging="426"/>
        <w:spacing w:after="0" w:line="259"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p>
      <w:pPr>
        <w:spacing w:after="0" w:line="1" w:lineRule="exact"/>
        <w:rPr>
          <w:rFonts w:ascii="Times New Roman" w:cs="Times New Roman" w:eastAsia="Times New Roman" w:hAnsi="Times New Roman"/>
          <w:sz w:val="16"/>
          <w:szCs w:val="16"/>
          <w:color w:val="auto"/>
        </w:rPr>
      </w:pPr>
    </w:p>
    <w:p>
      <w:pPr>
        <w:ind w:left="1000" w:right="99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options granted will vest 12 months from the date of grant with the balance vesting in 36 equal monthly installments thereafter. 50% of the options vested upon the initial public offering.</w:t>
      </w:r>
    </w:p>
    <w:p>
      <w:pPr>
        <w:ind w:left="1000" w:hanging="426"/>
        <w:spacing w:after="0"/>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will vest in 36 equal monthly installments from the date of grant.</w:t>
      </w:r>
    </w:p>
    <w:p>
      <w:pPr>
        <w:spacing w:after="0" w:line="12" w:lineRule="exact"/>
        <w:rPr>
          <w:rFonts w:ascii="Times New Roman" w:cs="Times New Roman" w:eastAsia="Times New Roman" w:hAnsi="Times New Roman"/>
          <w:sz w:val="16"/>
          <w:szCs w:val="16"/>
          <w:color w:val="auto"/>
        </w:rPr>
      </w:pPr>
    </w:p>
    <w:p>
      <w:pPr>
        <w:ind w:left="1000" w:right="99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options granted will vest 12 months from the date of grant with the balance vesting in 24 equal monthly installments thereafter.</w:t>
      </w:r>
    </w:p>
    <w:p>
      <w:pPr>
        <w:ind w:left="1000" w:hanging="426"/>
        <w:spacing w:after="0"/>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the restricted stock units vest on each of the 1-year, 2-year and 3-year anniversaries of grant.</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the restricted stock units vest on each of November 10, 2022, November 10, 2023 and November 10, 2024.</w:t>
      </w:r>
    </w:p>
    <w:p>
      <w:pPr>
        <w:spacing w:after="0" w:line="12" w:lineRule="exact"/>
        <w:rPr>
          <w:rFonts w:ascii="Times New Roman" w:cs="Times New Roman" w:eastAsia="Times New Roman" w:hAnsi="Times New Roman"/>
          <w:sz w:val="16"/>
          <w:szCs w:val="16"/>
          <w:color w:val="auto"/>
        </w:rPr>
      </w:pPr>
    </w:p>
    <w:p>
      <w:pPr>
        <w:ind w:left="1000" w:right="699" w:hanging="426"/>
        <w:spacing w:after="0" w:line="272"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his separation agreement, all of Mr. Massie’s options vested upon his departure in July 2022 and remain exercisable through December 31, 2023.</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Separation Agreements</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it is in the Company’s best interest as well as the interests of its stockholders to offer severance and change in control benefits to certain of its Named Executive Officers. The Company competes for talent in a highly competitive market in which companies routinely offer similar benefits to senior executives. The Compensation Committee believes that providing severance and change in control benefits to its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ectPr>
          <w:pgSz w:w="11900" w:h="16838" w:orient="portrait"/>
          <w:cols w:equalWidth="0" w:num="1">
            <w:col w:w="9019"/>
          </w:cols>
          <w:pgMar w:left="1440" w:top="26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Chang</w:t>
      </w:r>
      <w:r>
        <w:rPr>
          <w:rFonts w:ascii="Times New Roman" w:cs="Times New Roman" w:eastAsia="Times New Roman" w:hAnsi="Times New Roman"/>
          <w:sz w:val="17"/>
          <w:szCs w:val="17"/>
          <w:color w:val="auto"/>
        </w:rPr>
        <w:t>: On January 4, 2021, the Company entered into a three-year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Chang as the Company’s Chief Executive Officer, effective February 1, 2021 (the “Mr. Chang’s Employment Agreement”). The agreement, at the end of the initial three-year term, if not terminated by either Mr. Chang or the Company, automatically renews for a successive three-year period.</w:t>
      </w:r>
    </w:p>
    <w:p>
      <w:pPr>
        <w:spacing w:after="0" w:line="101"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Mr. Chang’s Employment Agreement establishes a minimum annual base salary level of $300,000 and provides for a discretionary bonus of $300,000, with payment subject to Mr. Chang being employed by the Company at this time of payment.</w:t>
      </w:r>
    </w:p>
    <w:p>
      <w:pPr>
        <w:spacing w:after="0" w:line="98"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Chang’s employment is terminated by the Company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0"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3"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103" w:lineRule="exact"/>
        <w:rPr>
          <w:sz w:val="20"/>
          <w:szCs w:val="20"/>
          <w:color w:val="auto"/>
        </w:rPr>
      </w:pPr>
    </w:p>
    <w:p>
      <w:pPr>
        <w:ind w:left="580" w:right="101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Employment Offer Letter for Mr. Kessler</w:t>
      </w:r>
      <w:r>
        <w:rPr>
          <w:rFonts w:ascii="Times New Roman" w:cs="Times New Roman" w:eastAsia="Times New Roman" w:hAnsi="Times New Roman"/>
          <w:sz w:val="17"/>
          <w:szCs w:val="17"/>
          <w:color w:val="auto"/>
        </w:rPr>
        <w:t>: On January 20, 2020, the Company provided a letter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offer to Mr. Kessler, as amended by the updated offer letter effective as of August 9, 2022 (as amended, the “Offer Letter”).</w:t>
      </w:r>
    </w:p>
    <w:p>
      <w:pPr>
        <w:spacing w:after="0" w:line="82"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Mr. Kessler’s Offer Letter establishes a minimum annual base salary level of $250,000 and provided for a discretionary performance-based bonus of $150,000. Mr. Kessler is an at will employee of the Company, and there are no severance benefits.</w:t>
      </w:r>
    </w:p>
    <w:p>
      <w:pPr>
        <w:spacing w:after="0" w:line="96" w:lineRule="exact"/>
        <w:rPr>
          <w:sz w:val="20"/>
          <w:szCs w:val="20"/>
          <w:color w:val="auto"/>
        </w:rPr>
      </w:pPr>
    </w:p>
    <w:p>
      <w:pPr>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Employment Agreement for Mr. Towns</w:t>
      </w:r>
      <w:r>
        <w:rPr>
          <w:rFonts w:ascii="Times New Roman" w:cs="Times New Roman" w:eastAsia="Times New Roman" w:hAnsi="Times New Roman"/>
          <w:sz w:val="17"/>
          <w:szCs w:val="17"/>
          <w:color w:val="auto"/>
        </w:rPr>
        <w:t>: On October 22, 2021, the Company provided a letter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offer to Mr. Towns, as amended by the memos effective as of March 1, 2023, and May 25, 2023 (as amended, the “Offer Letter”).</w:t>
      </w:r>
    </w:p>
    <w:p>
      <w:pPr>
        <w:spacing w:after="0" w:line="96"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Mr. Towns’ Offer Letter establishes a minimum annual base salary level of $250,000. Mr. Towns is an at will employee of the Company, and there are no severance benefits.</w:t>
      </w:r>
    </w:p>
    <w:p>
      <w:pPr>
        <w:spacing w:after="0" w:line="66" w:lineRule="exact"/>
        <w:rPr>
          <w:sz w:val="20"/>
          <w:szCs w:val="20"/>
          <w:color w:val="auto"/>
        </w:rPr>
      </w:pPr>
    </w:p>
    <w:p>
      <w:pPr>
        <w:ind w:left="580" w:right="73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Massie</w:t>
      </w:r>
      <w:r>
        <w:rPr>
          <w:rFonts w:ascii="Times New Roman" w:cs="Times New Roman" w:eastAsia="Times New Roman" w:hAnsi="Times New Roman"/>
          <w:sz w:val="17"/>
          <w:szCs w:val="17"/>
          <w:color w:val="auto"/>
        </w:rPr>
        <w:t>: On November 10, 2021, the Company entered into a two-year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Massie as the Company’s President and Chief Operating Officer, effective November 10, 2021. The agreement, at the end of the initial two-year term, if not terminated by either Mr. Massie or the Company, would automatically renew for a successive one-year periods.</w:t>
      </w:r>
    </w:p>
    <w:p>
      <w:pPr>
        <w:spacing w:after="0" w:line="101"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Mr. Massie’s Employment Agreement established a minimum annual base salary level of $300,000 and provided for a discretionary performance-based bonus of $300,000, payable in quarterly $75,000 installment, with payment subject to Mr. Massie being employed by the Company at this time of payment. The Board could from time to time elect to pay additional bonuses based on performance that exceeds the mutually agreed upon goals</w:t>
      </w:r>
    </w:p>
    <w:p>
      <w:pPr>
        <w:spacing w:after="0" w:line="319" w:lineRule="exact"/>
        <w:rPr>
          <w:sz w:val="20"/>
          <w:szCs w:val="20"/>
          <w:color w:val="auto"/>
        </w:rPr>
      </w:pPr>
    </w:p>
    <w:p>
      <w:pPr>
        <w:ind w:left="580" w:right="1159" w:firstLine="419"/>
        <w:spacing w:after="0" w:line="268" w:lineRule="auto"/>
        <w:rPr>
          <w:sz w:val="20"/>
          <w:szCs w:val="20"/>
          <w:color w:val="auto"/>
        </w:rPr>
      </w:pPr>
      <w:r>
        <w:rPr>
          <w:rFonts w:ascii="Times New Roman" w:cs="Times New Roman" w:eastAsia="Times New Roman" w:hAnsi="Times New Roman"/>
          <w:sz w:val="17"/>
          <w:szCs w:val="17"/>
          <w:color w:val="auto"/>
        </w:rPr>
        <w:t>In accordance with the terms of the agreement, if Mr. Massie’s employment was terminated by the Company without cause, or in connection with a change of control, or by Mr. Massie for good reason,</w:t>
      </w:r>
    </w:p>
    <w:p>
      <w:pPr>
        <w:spacing w:after="0" w:line="1" w:lineRule="exact"/>
        <w:rPr>
          <w:sz w:val="20"/>
          <w:szCs w:val="20"/>
          <w:color w:val="auto"/>
        </w:rPr>
      </w:pPr>
    </w:p>
    <w:p>
      <w:pPr>
        <w:ind w:left="580" w:right="679"/>
        <w:spacing w:after="0" w:line="257" w:lineRule="auto"/>
        <w:rPr>
          <w:sz w:val="20"/>
          <w:szCs w:val="20"/>
          <w:color w:val="auto"/>
        </w:rPr>
      </w:pPr>
      <w:r>
        <w:rPr>
          <w:rFonts w:ascii="Times New Roman" w:cs="Times New Roman" w:eastAsia="Times New Roman" w:hAnsi="Times New Roman"/>
          <w:sz w:val="17"/>
          <w:szCs w:val="17"/>
          <w:color w:val="auto"/>
        </w:rPr>
        <w:t>Mr. Massie would be entitled to receive certain severance benefits, including severance pay equal to the greater of (a) 100% of his annual base salary plus his projected bonus for such fiscal year and (b) $1,000,000.</w:t>
      </w:r>
    </w:p>
    <w:p>
      <w:pPr>
        <w:ind w:left="580" w:right="799"/>
        <w:spacing w:after="0" w:line="274" w:lineRule="auto"/>
        <w:rPr>
          <w:sz w:val="20"/>
          <w:szCs w:val="20"/>
          <w:color w:val="auto"/>
        </w:rPr>
      </w:pPr>
      <w:r>
        <w:rPr>
          <w:rFonts w:ascii="Times New Roman" w:cs="Times New Roman" w:eastAsia="Times New Roman" w:hAnsi="Times New Roman"/>
          <w:sz w:val="17"/>
          <w:szCs w:val="17"/>
          <w:color w:val="auto"/>
        </w:rPr>
        <w:t>Mr. Massie would also be eligible to receive insurance benefits for a period of up to twelve months following his termination of employment. We could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19"/>
        <w:spacing w:after="0" w:line="270" w:lineRule="auto"/>
        <w:rPr>
          <w:sz w:val="20"/>
          <w:szCs w:val="20"/>
          <w:color w:val="auto"/>
        </w:rPr>
      </w:pPr>
      <w:r>
        <w:rPr>
          <w:rFonts w:ascii="Times New Roman" w:cs="Times New Roman" w:eastAsia="Times New Roman" w:hAnsi="Times New Roman"/>
          <w:sz w:val="17"/>
          <w:szCs w:val="17"/>
          <w:color w:val="auto"/>
        </w:rPr>
        <w:t>terminate Mr. Massie’s employment for cause only if we receive the unanimous agreement of our board of directors. In addition, if we terminated his employment without cause, or if Mr. Massie resigned for good reason, or upon the occurrence of a change of control, all of his issued but unvested options will immediately vest.</w:t>
      </w:r>
    </w:p>
    <w:p>
      <w:pPr>
        <w:spacing w:after="0" w:line="103"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Massie’s employment agreement contained confidentiality, non-solicitation and non-competition provisions, whereby Mr. Massie is subject to non-solicitation restrictions for a period of at least one year and to non-competition restrictions for a period of at least six months following his employment period. Mr. Massie resigned as President and Chief Operating Officer effective July 8, 2022.</w:t>
      </w:r>
    </w:p>
    <w:p>
      <w:pPr>
        <w:spacing w:after="0" w:line="103" w:lineRule="exact"/>
        <w:rPr>
          <w:sz w:val="20"/>
          <w:szCs w:val="20"/>
          <w:color w:val="auto"/>
        </w:rPr>
      </w:pPr>
    </w:p>
    <w:p>
      <w:pPr>
        <w:ind w:left="580" w:right="71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Separation Agreement for Mr. Massie</w:t>
      </w:r>
      <w:r>
        <w:rPr>
          <w:rFonts w:ascii="Times New Roman" w:cs="Times New Roman" w:eastAsia="Times New Roman" w:hAnsi="Times New Roman"/>
          <w:sz w:val="17"/>
          <w:szCs w:val="17"/>
          <w:color w:val="auto"/>
        </w:rPr>
        <w:t>: On July 8, 2022, we entered into a separation agreement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Massie (the “Separation Agreement”). Per the terms of the Separation Agreement, Mr. Massie will receive</w:t>
      </w:r>
    </w:p>
    <w:p>
      <w:pPr>
        <w:spacing w:after="0" w:line="1" w:lineRule="exact"/>
        <w:rPr>
          <w:sz w:val="20"/>
          <w:szCs w:val="20"/>
          <w:color w:val="auto"/>
        </w:rPr>
      </w:pPr>
    </w:p>
    <w:p>
      <w:pPr>
        <w:ind w:left="580" w:right="699" w:hanging="6"/>
        <w:spacing w:after="0" w:line="261" w:lineRule="auto"/>
        <w:tabs>
          <w:tab w:leader="none" w:pos="81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of $1,000,000 in severance payments, payable in monthly installments of $83,333.33 from July 2022 through December 2022 and one installment of $500,000 in January 2023, (b) continuation of health insurance benefits through June 30, 2023, subject to certain conditions, (c) full vesting of all of Mr. Massie’s outstanding stock options and restricted stock units, and (d) an extended exercise period for Mr. Massie’s outstanding stock options through December 31, 2023.</w:t>
      </w:r>
    </w:p>
    <w:p>
      <w:pPr>
        <w:spacing w:after="0" w:line="96" w:lineRule="exact"/>
        <w:rPr>
          <w:sz w:val="20"/>
          <w:szCs w:val="20"/>
          <w:color w:val="auto"/>
        </w:rPr>
      </w:pPr>
    </w:p>
    <w:p>
      <w:pPr>
        <w:ind w:left="580" w:right="7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Oakes</w:t>
      </w:r>
      <w:r>
        <w:rPr>
          <w:rFonts w:ascii="Times New Roman" w:cs="Times New Roman" w:eastAsia="Times New Roman" w:hAnsi="Times New Roman"/>
          <w:sz w:val="17"/>
          <w:szCs w:val="17"/>
          <w:color w:val="auto"/>
        </w:rPr>
        <w:t>: On November 10, 2021, the Company entered into a two-year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Massie as the Company’s Chief Financial Officer, effective November 10, 2021. The agreement, at the end of the initial one-year term, if not terminated by either Mr. Oakes or the Company, automatically renews for a successive one-year periods.</w:t>
      </w:r>
    </w:p>
    <w:p>
      <w:pPr>
        <w:spacing w:after="0" w:line="101"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Mr. Oakes’ Employment Agreement established a minimum annual base salary level of $250,000 and provided for a discretionary performance-based bonus of $200,000, payable in quarterly $50,000 installment, with payment subject to Mr. Oakes being employed by the Company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$275,000 per year, and an increase in his maximum discretionary bonus opportunity from $200,000 to $250,000 per year.</w:t>
      </w:r>
    </w:p>
    <w:p>
      <w:pPr>
        <w:spacing w:after="0" w:line="113"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Oakes’ employment was terminated by the Company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 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00"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Oakes’ employment agreement contained confidentiality, non-solicitation and non-competition provisions, whereby Mr. Oakes is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Termination Payments and Equity Awards</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If the Named Executive Officers covered by employment agreements or severance agreements had their employment terminated as of December 31, 2022, the Named Executive Officers would have been eligible to receive payments, depending upon whether the termination was for Good Reason or based upon a Change in Control, as set forth in the following table.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 Payout Table</w:t>
      </w:r>
    </w:p>
    <w:p>
      <w:pPr>
        <w:spacing w:after="0" w:line="160" w:lineRule="exact"/>
        <w:rPr>
          <w:sz w:val="20"/>
          <w:szCs w:val="20"/>
          <w:color w:val="auto"/>
        </w:rPr>
      </w:pPr>
    </w:p>
    <w:p>
      <w:pPr>
        <w:jc w:val="both"/>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concerning termination payouts for Named Executive Officers as of December 31, 2022.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Potential Termination Payments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60" w:type="dxa"/>
            <w:vAlign w:val="bottom"/>
            <w:tcBorders>
              <w:bottom w:val="single" w:sz="8" w:color="auto"/>
            </w:tcBorders>
            <w:gridSpan w:val="10"/>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6"/>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10"/>
          </w:tcPr>
          <w:p>
            <w:pPr>
              <w:ind w:left="460"/>
              <w:spacing w:after="0"/>
              <w:rPr>
                <w:sz w:val="20"/>
                <w:szCs w:val="20"/>
                <w:color w:val="auto"/>
              </w:rPr>
            </w:pPr>
            <w:r>
              <w:rPr>
                <w:rFonts w:ascii="Times New Roman" w:cs="Times New Roman" w:eastAsia="Times New Roman" w:hAnsi="Times New Roman"/>
                <w:sz w:val="16"/>
                <w:szCs w:val="16"/>
                <w:b w:val="1"/>
                <w:bCs w:val="1"/>
                <w:color w:val="auto"/>
              </w:rPr>
              <w:t>Without Cause or for Good Reason</w:t>
            </w:r>
            <w:r>
              <w:rPr>
                <w:rFonts w:ascii="Times New Roman" w:cs="Times New Roman" w:eastAsia="Times New Roman" w:hAnsi="Times New Roman"/>
                <w:sz w:val="18"/>
                <w:szCs w:val="18"/>
                <w:b w:val="1"/>
                <w:bCs w:val="1"/>
                <w:color w:val="auto"/>
                <w:vertAlign w:val="superscript"/>
              </w:rPr>
              <w:t>(1)</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78"/>
              <w:spacing w:after="0" w:line="174"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Salary and</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Salary and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Award</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Benefits</w:t>
            </w:r>
            <w:r>
              <w:rPr>
                <w:rFonts w:ascii="Times New Roman" w:cs="Times New Roman" w:eastAsia="Times New Roman" w:hAnsi="Times New Roman"/>
                <w:sz w:val="18"/>
                <w:szCs w:val="18"/>
                <w:b w:val="1"/>
                <w:bCs w:val="1"/>
                <w:color w:val="auto"/>
                <w:w w:val="98"/>
                <w:vertAlign w:val="superscript"/>
              </w:rPr>
              <w:t>(3)</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Acceleration</w:t>
            </w:r>
            <w:r>
              <w:rPr>
                <w:rFonts w:ascii="Times New Roman" w:cs="Times New Roman" w:eastAsia="Times New Roman" w:hAnsi="Times New Roman"/>
                <w:sz w:val="18"/>
                <w:szCs w:val="18"/>
                <w:b w:val="1"/>
                <w:bCs w:val="1"/>
                <w:color w:val="auto"/>
                <w:w w:val="97"/>
                <w:vertAlign w:val="superscript"/>
              </w:rPr>
              <w:t>(4)</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Acceleration</w:t>
            </w:r>
          </w:p>
        </w:tc>
        <w:tc>
          <w:tcPr>
            <w:tcW w:w="20" w:type="dxa"/>
            <w:vAlign w:val="bottom"/>
          </w:tcPr>
          <w:p>
            <w:pPr>
              <w:spacing w:after="0"/>
              <w:rPr>
                <w:sz w:val="21"/>
                <w:szCs w:val="21"/>
                <w:color w:val="auto"/>
              </w:rPr>
            </w:pPr>
          </w:p>
        </w:tc>
        <w:tc>
          <w:tcPr>
            <w:tcW w:w="82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Raymond</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$ 1,050,000</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$ 35,858</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8,598</w:t>
            </w: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$ 1,094,456</w:t>
            </w: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$ 1,050,000</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$ 35,858</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8,598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$ 1,094,456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Timothy</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Oakes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525,000</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19,626</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545,287</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525,000</w:t>
            </w:r>
          </w:p>
        </w:tc>
        <w:tc>
          <w:tcPr>
            <w:tcW w:w="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19,626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545,287</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circumstances involving termination without cause or for Good Reason outside of any Change in Control.</w:t>
      </w:r>
    </w:p>
    <w:p>
      <w:pPr>
        <w:spacing w:after="0" w:line="33" w:lineRule="exact"/>
        <w:rPr>
          <w:rFonts w:ascii="Times New Roman" w:cs="Times New Roman" w:eastAsia="Times New Roman" w:hAnsi="Times New Roman"/>
          <w:sz w:val="15"/>
          <w:szCs w:val="15"/>
          <w:color w:val="auto"/>
        </w:rPr>
      </w:pPr>
    </w:p>
    <w:p>
      <w:pPr>
        <w:ind w:left="1000" w:right="819" w:hanging="426"/>
        <w:spacing w:after="0" w:line="256"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in connection with a Change in Control.</w:t>
      </w:r>
    </w:p>
    <w:p>
      <w:pPr>
        <w:ind w:left="1000" w:right="619" w:hanging="426"/>
        <w:spacing w:after="0" w:line="256"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health, dental, and life insurance coverage for a period of twelve months. The reported value is based upon the type of insurance coverage carried by each Named Executive Officer as of December 31, 2022 and is valued at the premiums in effect on December 31, 2022.</w:t>
      </w:r>
    </w:p>
    <w:p>
      <w:pPr>
        <w:ind w:left="1000" w:right="799" w:hanging="426"/>
        <w:spacing w:after="0" w:line="261"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unvested outstanding equity awards contain acceleration provisions, and assuming the applicability and operation of such provisions as of December 31, 2022, the Named Executive Officer could have realized the following values from acceleration (based on the closing price of $6.66 on December 30, 2022 over any applicable exercise price or par value payment obligation for such accelerated awards).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Agreements</w:t>
      </w:r>
    </w:p>
    <w:p>
      <w:pPr>
        <w:spacing w:after="0" w:line="160"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47" w:lineRule="exact"/>
        <w:rPr>
          <w:sz w:val="20"/>
          <w:szCs w:val="20"/>
          <w:color w:val="auto"/>
        </w:rPr>
      </w:pPr>
    </w:p>
    <w:p>
      <w:pPr>
        <w:ind w:left="580" w:right="979" w:firstLine="419"/>
        <w:spacing w:after="0" w:line="276" w:lineRule="auto"/>
        <w:rPr>
          <w:sz w:val="20"/>
          <w:szCs w:val="20"/>
          <w:color w:val="auto"/>
        </w:rPr>
      </w:pPr>
      <w:r>
        <w:rPr>
          <w:rFonts w:ascii="Times New Roman" w:cs="Times New Roman" w:eastAsia="Times New Roman" w:hAnsi="Times New Roman"/>
          <w:sz w:val="17"/>
          <w:szCs w:val="17"/>
          <w:color w:val="auto"/>
        </w:rPr>
        <w:t>We are providing the following information about the relationship between executive compensation actually paid and certain financial performance of our company as required by Section 953(a) of the Dodd-Frank Wall Street Reform and Consumer Protection Act and Item 402(v) of Regulation S-K.</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1"/>
              </w:rPr>
              <w:t>Table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Fixed $100</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Total for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Non-PEO</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Principal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Named</w:t>
            </w:r>
          </w:p>
        </w:tc>
        <w:tc>
          <w:tcPr>
            <w:tcW w:w="4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On Total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Executive</w:t>
            </w:r>
          </w:p>
        </w:tc>
        <w:tc>
          <w:tcPr>
            <w:tcW w:w="12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Executive</w:t>
            </w:r>
          </w:p>
        </w:tc>
        <w:tc>
          <w:tcPr>
            <w:tcW w:w="4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Shareholder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 Income</w:t>
            </w: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Officer</w:t>
            </w:r>
          </w:p>
        </w:tc>
        <w:tc>
          <w:tcPr>
            <w:tcW w:w="12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Actually Paid</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Officers</w:t>
            </w:r>
          </w:p>
        </w:tc>
        <w:tc>
          <w:tcPr>
            <w:tcW w:w="4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 Non-PEO</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Return</w:t>
            </w:r>
          </w:p>
        </w:tc>
        <w:tc>
          <w:tcPr>
            <w:tcW w:w="140" w:type="dxa"/>
            <w:vAlign w:val="bottom"/>
          </w:tcPr>
          <w:p>
            <w:pPr>
              <w:spacing w:after="0"/>
              <w:rPr>
                <w:sz w:val="17"/>
                <w:szCs w:val="17"/>
                <w:color w:val="auto"/>
              </w:rPr>
            </w:pPr>
          </w:p>
        </w:tc>
        <w:tc>
          <w:tcPr>
            <w:tcW w:w="8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5"/>
              </w:rPr>
              <w:t>(Loss)</w:t>
            </w:r>
          </w:p>
        </w:tc>
      </w:tr>
      <w:tr>
        <w:trPr>
          <w:trHeight w:val="19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 PEO</w:t>
            </w:r>
          </w:p>
        </w:tc>
        <w:tc>
          <w:tcPr>
            <w:tcW w:w="12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(“TSR”)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(thousands)</w:t>
            </w:r>
          </w:p>
        </w:tc>
      </w:tr>
      <w:tr>
        <w:trPr>
          <w:trHeight w:val="208"/>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w:t>
            </w: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89"/>
              </w:rPr>
              <w:t>(e)</w:t>
            </w: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40" w:type="dxa"/>
            <w:vAlign w:val="bottom"/>
          </w:tcPr>
          <w:p>
            <w:pPr>
              <w:spacing w:after="0"/>
              <w:rPr>
                <w:sz w:val="18"/>
                <w:szCs w:val="18"/>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(g)</w:t>
            </w:r>
          </w:p>
        </w:tc>
      </w:tr>
      <w:tr>
        <w:trPr>
          <w:trHeight w:val="44"/>
        </w:trPr>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5"/>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1,029,578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(4,173,035)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759,782</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(188,173)</w:t>
            </w:r>
          </w:p>
        </w:tc>
      </w:tr>
      <w:tr>
        <w:trPr>
          <w:trHeight w:val="23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5,206,051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4,542,923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685,759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488,274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(32,325)</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1119" w:hanging="426"/>
        <w:spacing w:after="0" w:line="260"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column (b) are the amounts of total compensation reported for Mr. Chang (our President and Chief Executive Officer) for each corresponding year in the “Total” column of the Summary Compensation Table. Refer to “Executive Compensation — Summary Compensation Table”.</w:t>
      </w:r>
    </w:p>
    <w:p>
      <w:pPr>
        <w:spacing w:after="0" w:line="1" w:lineRule="exact"/>
        <w:rPr>
          <w:rFonts w:ascii="Times New Roman" w:cs="Times New Roman" w:eastAsia="Times New Roman" w:hAnsi="Times New Roman"/>
          <w:sz w:val="16"/>
          <w:szCs w:val="16"/>
          <w:color w:val="auto"/>
        </w:rPr>
      </w:pPr>
    </w:p>
    <w:p>
      <w:pPr>
        <w:ind w:left="1000" w:right="699" w:hanging="426"/>
        <w:spacing w:after="0" w:line="260"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column (c) represent the amount of “compensation actually paid” to Mr. Chang, as computed in accordance with Item 402(v) of Regulation S-K. The dollar amounts do not reflect the actual amount of compensation earned by or paid to Mr. Chang during the applicable year. In accordance with the requirements of Item 402(v) of Regulation S-K, the following adjustments were made to Mr. Chang’s total compensation for each year to determine the compensation actually paid:</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060" w:type="dxa"/>
            <w:vAlign w:val="bottom"/>
            <w:vMerge w:val="restart"/>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20" w:type="dxa"/>
            <w:vAlign w:val="bottom"/>
          </w:tcPr>
          <w:p>
            <w:pPr>
              <w:spacing w:after="0"/>
              <w:rPr>
                <w:sz w:val="12"/>
                <w:szCs w:val="12"/>
                <w:color w:val="auto"/>
              </w:rPr>
            </w:pPr>
          </w:p>
        </w:tc>
        <w:tc>
          <w:tcPr>
            <w:tcW w:w="1060" w:type="dxa"/>
            <w:vAlign w:val="bottom"/>
          </w:tcPr>
          <w:p>
            <w:pPr>
              <w:jc w:val="center"/>
              <w:ind w:right="87"/>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0" w:type="dxa"/>
            <w:vAlign w:val="bottom"/>
          </w:tcPr>
          <w:p>
            <w:pPr>
              <w:spacing w:after="0"/>
              <w:rPr>
                <w:sz w:val="1"/>
                <w:szCs w:val="1"/>
                <w:color w:val="auto"/>
              </w:rPr>
            </w:pPr>
          </w:p>
        </w:tc>
      </w:tr>
      <w:tr>
        <w:trPr>
          <w:trHeight w:val="146"/>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w w:val="99"/>
              </w:rPr>
              <w:t>for PEO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11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6"/>
                <w:szCs w:val="16"/>
                <w:b w:val="1"/>
                <w:bCs w:val="1"/>
                <w:color w:val="auto"/>
                <w:vertAlign w:val="superscript"/>
              </w:rPr>
              <w:t>(b)</w:t>
            </w:r>
          </w:p>
        </w:tc>
        <w:tc>
          <w:tcPr>
            <w:tcW w:w="120" w:type="dxa"/>
            <w:vAlign w:val="bottom"/>
          </w:tcPr>
          <w:p>
            <w:pPr>
              <w:spacing w:after="0"/>
              <w:rPr>
                <w:sz w:val="12"/>
                <w:szCs w:val="12"/>
                <w:color w:val="auto"/>
              </w:rPr>
            </w:pPr>
          </w:p>
        </w:tc>
        <w:tc>
          <w:tcPr>
            <w:tcW w:w="1060" w:type="dxa"/>
            <w:vAlign w:val="bottom"/>
          </w:tcPr>
          <w:p>
            <w:pPr>
              <w:jc w:val="center"/>
              <w:ind w:right="87"/>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to PEO</w:t>
            </w:r>
          </w:p>
        </w:tc>
        <w:tc>
          <w:tcPr>
            <w:tcW w:w="0" w:type="dxa"/>
            <w:vAlign w:val="bottom"/>
          </w:tcPr>
          <w:p>
            <w:pPr>
              <w:spacing w:after="0"/>
              <w:rPr>
                <w:sz w:val="1"/>
                <w:szCs w:val="1"/>
                <w:color w:val="auto"/>
              </w:rPr>
            </w:pPr>
          </w:p>
        </w:tc>
      </w:tr>
      <w:tr>
        <w:trPr>
          <w:trHeight w:val="184"/>
        </w:trPr>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6"/>
              </w:rPr>
              <w:t>1,029,578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(4,731,613)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(4,173,035)</w:t>
            </w:r>
          </w:p>
        </w:tc>
        <w:tc>
          <w:tcPr>
            <w:tcW w:w="0" w:type="dxa"/>
            <w:vAlign w:val="bottom"/>
          </w:tcPr>
          <w:p>
            <w:pPr>
              <w:spacing w:after="0"/>
              <w:rPr>
                <w:sz w:val="1"/>
                <w:szCs w:val="1"/>
                <w:color w:val="auto"/>
              </w:rPr>
            </w:pPr>
          </w:p>
        </w:tc>
      </w:tr>
      <w:tr>
        <w:trPr>
          <w:trHeight w:val="231"/>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6"/>
              </w:rPr>
              <w:t>5,206,051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4,559,100</w:t>
            </w:r>
          </w:p>
        </w:tc>
        <w:tc>
          <w:tcPr>
            <w:tcW w:w="10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3,895,972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4,542,923</w:t>
            </w:r>
          </w:p>
        </w:tc>
        <w:tc>
          <w:tcPr>
            <w:tcW w:w="0" w:type="dxa"/>
            <w:vAlign w:val="bottom"/>
          </w:tcPr>
          <w:p>
            <w:pPr>
              <w:spacing w:after="0"/>
              <w:rPr>
                <w:sz w:val="1"/>
                <w:szCs w:val="1"/>
                <w:color w:val="auto"/>
              </w:rPr>
            </w:pPr>
          </w:p>
        </w:tc>
      </w:tr>
      <w:tr>
        <w:trPr>
          <w:trHeight w:val="288"/>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1019" w:hanging="426"/>
        <w:spacing w:after="0" w:line="280" w:lineRule="auto"/>
        <w:tabs>
          <w:tab w:leader="none" w:pos="991"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date fair value of equity awards represents the sum of the totals of the amounts reported in the “Stock Awards” and “Option Awards” columns in the Summary Compensation Table for the applicable year.</w:t>
      </w:r>
    </w:p>
    <w:p>
      <w:pPr>
        <w:ind w:left="1000" w:right="719" w:hanging="426"/>
        <w:spacing w:after="0" w:line="258"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99"/>
        <w:spacing w:after="0" w:line="259" w:lineRule="auto"/>
        <w:rPr>
          <w:sz w:val="20"/>
          <w:szCs w:val="20"/>
          <w:color w:val="auto"/>
        </w:rPr>
      </w:pPr>
      <w:r>
        <w:rPr>
          <w:rFonts w:ascii="Times New Roman" w:cs="Times New Roman" w:eastAsia="Times New Roman" w:hAnsi="Times New Roman"/>
          <w:sz w:val="16"/>
          <w:szCs w:val="16"/>
          <w:color w:val="auto"/>
        </w:rPr>
        <w:t>value of any dividends or other earnings paid on stock or option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Dividends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80" w:type="dxa"/>
            <w:vAlign w:val="bottom"/>
          </w:tcPr>
          <w:p>
            <w:pPr>
              <w:spacing w:after="0"/>
              <w:rPr>
                <w:sz w:val="12"/>
                <w:szCs w:val="12"/>
                <w:color w:val="auto"/>
              </w:rPr>
            </w:pPr>
          </w:p>
        </w:tc>
        <w:tc>
          <w:tcPr>
            <w:tcW w:w="88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80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at the End</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of the</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Paid on</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Prior Year</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9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2"/>
                <w:szCs w:val="12"/>
                <w:color w:val="auto"/>
              </w:rPr>
            </w:pPr>
          </w:p>
        </w:tc>
        <w:tc>
          <w:tcPr>
            <w:tcW w:w="10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80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Vesting Date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Unvested</w:t>
            </w:r>
          </w:p>
        </w:tc>
        <w:tc>
          <w:tcPr>
            <w:tcW w:w="9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and Unvested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that Failed</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to Meet</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Reflected in</w:t>
            </w:r>
          </w:p>
        </w:tc>
        <w:tc>
          <w:tcPr>
            <w:tcW w:w="80" w:type="dxa"/>
            <w:vAlign w:val="bottom"/>
          </w:tcPr>
          <w:p>
            <w:pPr>
              <w:spacing w:after="0"/>
              <w:rPr>
                <w:sz w:val="12"/>
                <w:szCs w:val="12"/>
                <w:color w:val="auto"/>
              </w:rPr>
            </w:pPr>
          </w:p>
        </w:tc>
        <w:tc>
          <w:tcPr>
            <w:tcW w:w="880" w:type="dxa"/>
            <w:vAlign w:val="bottom"/>
            <w:vMerge w:val="restart"/>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7"/>
              </w:rPr>
              <w:t>Granted in</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and Vested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that Vested</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9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4"/>
              </w:rPr>
              <w:t>or Total</w:t>
            </w:r>
          </w:p>
        </w:tc>
        <w:tc>
          <w:tcPr>
            <w:tcW w:w="9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 Award</w:t>
            </w:r>
          </w:p>
        </w:tc>
        <w:tc>
          <w:tcPr>
            <w:tcW w:w="0" w:type="dxa"/>
            <w:vAlign w:val="bottom"/>
          </w:tcPr>
          <w:p>
            <w:pPr>
              <w:spacing w:after="0"/>
              <w:rPr>
                <w:sz w:val="1"/>
                <w:szCs w:val="1"/>
                <w:color w:val="auto"/>
              </w:rPr>
            </w:pPr>
          </w:p>
        </w:tc>
      </w:tr>
      <w:tr>
        <w:trPr>
          <w:trHeight w:val="144"/>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80" w:type="dxa"/>
            <w:vAlign w:val="bottom"/>
          </w:tcPr>
          <w:p>
            <w:pPr>
              <w:spacing w:after="0"/>
              <w:rPr>
                <w:sz w:val="12"/>
                <w:szCs w:val="12"/>
                <w:color w:val="auto"/>
              </w:rPr>
            </w:pPr>
          </w:p>
        </w:tc>
        <w:tc>
          <w:tcPr>
            <w:tcW w:w="88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9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880" w:type="dxa"/>
            <w:vAlign w:val="bottom"/>
          </w:tcPr>
          <w:p>
            <w:pPr>
              <w:jc w:val="center"/>
              <w:ind w:right="47"/>
              <w:spacing w:after="0" w:line="144" w:lineRule="exact"/>
              <w:rPr>
                <w:sz w:val="20"/>
                <w:szCs w:val="20"/>
                <w:color w:val="auto"/>
              </w:rPr>
            </w:pPr>
            <w:r>
              <w:rPr>
                <w:rFonts w:ascii="Times New Roman" w:cs="Times New Roman" w:eastAsia="Times New Roman" w:hAnsi="Times New Roman"/>
                <w:sz w:val="14"/>
                <w:szCs w:val="14"/>
                <w:b w:val="1"/>
                <w:bCs w:val="1"/>
                <w:color w:val="auto"/>
                <w:w w:val="99"/>
              </w:rPr>
              <w:t>Adjustments</w:t>
            </w:r>
          </w:p>
        </w:tc>
        <w:tc>
          <w:tcPr>
            <w:tcW w:w="0" w:type="dxa"/>
            <w:vAlign w:val="bottom"/>
          </w:tcPr>
          <w:p>
            <w:pPr>
              <w:spacing w:after="0"/>
              <w:rPr>
                <w:sz w:val="1"/>
                <w:szCs w:val="1"/>
                <w:color w:val="auto"/>
              </w:rPr>
            </w:pPr>
          </w:p>
        </w:tc>
      </w:tr>
      <w:tr>
        <w:trPr>
          <w:trHeight w:val="184"/>
        </w:trPr>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(3,286,581)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w w:val="99"/>
              </w:rPr>
              <w:t>(1,455,022)</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(4,731,613)</w:t>
            </w:r>
          </w:p>
        </w:tc>
        <w:tc>
          <w:tcPr>
            <w:tcW w:w="0" w:type="dxa"/>
            <w:vAlign w:val="bottom"/>
          </w:tcPr>
          <w:p>
            <w:pPr>
              <w:spacing w:after="0"/>
              <w:rPr>
                <w:sz w:val="1"/>
                <w:szCs w:val="1"/>
                <w:color w:val="auto"/>
              </w:rPr>
            </w:pPr>
          </w:p>
        </w:tc>
      </w:tr>
      <w:tr>
        <w:trPr>
          <w:trHeight w:val="23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1,646,423</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(877,569)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1,553,066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1,574,052</w:t>
            </w:r>
          </w:p>
        </w:tc>
        <w:tc>
          <w:tcPr>
            <w:tcW w:w="80" w:type="dxa"/>
            <w:vAlign w:val="bottom"/>
          </w:tcPr>
          <w:p>
            <w:pPr>
              <w:spacing w:after="0"/>
              <w:rPr>
                <w:sz w:val="20"/>
                <w:szCs w:val="20"/>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3,895,972</w:t>
            </w:r>
          </w:p>
        </w:tc>
        <w:tc>
          <w:tcPr>
            <w:tcW w:w="0" w:type="dxa"/>
            <w:vAlign w:val="bottom"/>
          </w:tcPr>
          <w:p>
            <w:pPr>
              <w:spacing w:after="0"/>
              <w:rPr>
                <w:sz w:val="1"/>
                <w:szCs w:val="1"/>
                <w:color w:val="auto"/>
              </w:rPr>
            </w:pPr>
          </w:p>
        </w:tc>
      </w:tr>
      <w:tr>
        <w:trPr>
          <w:trHeight w:val="288"/>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000" w:right="779" w:hanging="426"/>
        <w:spacing w:after="0" w:line="260"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column (d) represent the average of the amounts reported for our company’s named executive officers as a group (excluding Mr. Chang) in the “Total” column of the Summary Compensation Table in each applicable year.</w:t>
      </w:r>
    </w:p>
    <w:p>
      <w:pPr>
        <w:spacing w:after="0" w:line="1" w:lineRule="exact"/>
        <w:rPr>
          <w:rFonts w:ascii="Times New Roman" w:cs="Times New Roman" w:eastAsia="Times New Roman" w:hAnsi="Times New Roman"/>
          <w:sz w:val="16"/>
          <w:szCs w:val="16"/>
          <w:color w:val="auto"/>
        </w:rPr>
      </w:pPr>
    </w:p>
    <w:p>
      <w:pPr>
        <w:ind w:left="1000" w:right="699" w:hanging="426"/>
        <w:spacing w:after="0" w:line="259"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column (e) represent the average amount of “compensation actually paid” to the named executive officers as a group (excluding Mr. Chang), as computed in accordance with Item 402(v) of Regulation S-K. The dollar amounts do not reflect the actual average amount of compensation earned by or paid to the named executive officers as a group (excluding Mr. Chang) during the applicable year. In accordance with the requirements of Item 402(v) of Regulation S-K, the following adjustments were made to average total compensation for the named executive officers as a group (excluding Mr. Chang) for each year to determine the compensation actually paid, using the same methodology described above in Note (2):</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6"/>
              </w:rPr>
              <w:t>Reported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6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7"/>
              </w:rPr>
              <w:t>for Non-PEO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Equity Award</w:t>
            </w:r>
          </w:p>
        </w:tc>
        <w:tc>
          <w:tcPr>
            <w:tcW w:w="120" w:type="dxa"/>
            <w:vAlign w:val="bottom"/>
          </w:tcPr>
          <w:p>
            <w:pPr>
              <w:spacing w:after="0"/>
              <w:rPr>
                <w:sz w:val="12"/>
                <w:szCs w:val="12"/>
                <w:color w:val="auto"/>
              </w:rPr>
            </w:pPr>
          </w:p>
        </w:tc>
        <w:tc>
          <w:tcPr>
            <w:tcW w:w="106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0" w:type="dxa"/>
            <w:vAlign w:val="bottom"/>
          </w:tcPr>
          <w:p>
            <w:pPr>
              <w:spacing w:after="0"/>
              <w:rPr>
                <w:sz w:val="1"/>
                <w:szCs w:val="1"/>
                <w:color w:val="auto"/>
              </w:rPr>
            </w:pPr>
          </w:p>
        </w:tc>
      </w:tr>
      <w:tr>
        <w:trPr>
          <w:trHeight w:val="144"/>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w w:val="94"/>
              </w:rPr>
              <w:t>NEOs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Adjustments</w:t>
            </w:r>
          </w:p>
        </w:tc>
        <w:tc>
          <w:tcPr>
            <w:tcW w:w="120" w:type="dxa"/>
            <w:vAlign w:val="bottom"/>
          </w:tcPr>
          <w:p>
            <w:pPr>
              <w:spacing w:after="0"/>
              <w:rPr>
                <w:sz w:val="12"/>
                <w:szCs w:val="12"/>
                <w:color w:val="auto"/>
              </w:rPr>
            </w:pPr>
          </w:p>
        </w:tc>
        <w:tc>
          <w:tcPr>
            <w:tcW w:w="1060" w:type="dxa"/>
            <w:vAlign w:val="bottom"/>
          </w:tcPr>
          <w:p>
            <w:pPr>
              <w:jc w:val="center"/>
              <w:ind w:right="68"/>
              <w:spacing w:after="0" w:line="144"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4"/>
        </w:trPr>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759,782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269,725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(660,725)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(170,668)</w:t>
            </w:r>
          </w:p>
        </w:tc>
        <w:tc>
          <w:tcPr>
            <w:tcW w:w="0" w:type="dxa"/>
            <w:vAlign w:val="bottom"/>
          </w:tcPr>
          <w:p>
            <w:pPr>
              <w:spacing w:after="0"/>
              <w:rPr>
                <w:sz w:val="1"/>
                <w:szCs w:val="1"/>
                <w:color w:val="auto"/>
              </w:rPr>
            </w:pPr>
          </w:p>
        </w:tc>
      </w:tr>
      <w:tr>
        <w:trPr>
          <w:trHeight w:val="231"/>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509,846</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(197,485)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6"/>
                <w:szCs w:val="16"/>
                <w:color w:val="auto"/>
              </w:rPr>
              <w:t>488,274</w:t>
            </w:r>
          </w:p>
        </w:tc>
        <w:tc>
          <w:tcPr>
            <w:tcW w:w="0" w:type="dxa"/>
            <w:vAlign w:val="bottom"/>
          </w:tcPr>
          <w:p>
            <w:pPr>
              <w:spacing w:after="0"/>
              <w:rPr>
                <w:sz w:val="1"/>
                <w:szCs w:val="1"/>
                <w:color w:val="auto"/>
              </w:rPr>
            </w:pPr>
          </w:p>
        </w:tc>
      </w:tr>
      <w:tr>
        <w:trPr>
          <w:trHeight w:val="288"/>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80" w:hanging="406"/>
        <w:spacing w:after="0"/>
        <w:tabs>
          <w:tab w:leader="none" w:pos="9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deducted or added in calculating the total average equity award adjustments are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 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8"/>
              <w:spacing w:after="0" w:line="144"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at the End</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Year End</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80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2"/>
                <w:szCs w:val="12"/>
                <w:color w:val="auto"/>
              </w:rPr>
            </w:pPr>
          </w:p>
        </w:tc>
        <w:tc>
          <w:tcPr>
            <w:tcW w:w="740" w:type="dxa"/>
            <w:vAlign w:val="bottom"/>
          </w:tcPr>
          <w:p>
            <w:pPr>
              <w:jc w:val="center"/>
              <w:ind w:right="28"/>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 the</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Paid 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40" w:type="dxa"/>
            <w:vAlign w:val="bottom"/>
          </w:tcPr>
          <w:p>
            <w:pPr>
              <w:spacing w:after="0"/>
              <w:rPr>
                <w:sz w:val="12"/>
                <w:szCs w:val="12"/>
                <w:color w:val="auto"/>
              </w:rPr>
            </w:pPr>
          </w:p>
        </w:tc>
        <w:tc>
          <w:tcPr>
            <w:tcW w:w="9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2"/>
                <w:szCs w:val="12"/>
                <w:color w:val="auto"/>
              </w:rPr>
            </w:pPr>
          </w:p>
        </w:tc>
        <w:tc>
          <w:tcPr>
            <w:tcW w:w="740" w:type="dxa"/>
            <w:vAlign w:val="bottom"/>
          </w:tcPr>
          <w:p>
            <w:pPr>
              <w:jc w:val="center"/>
              <w:ind w:right="48"/>
              <w:spacing w:after="0" w:line="144"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Prior Year</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80" w:type="dxa"/>
            <w:vAlign w:val="bottom"/>
          </w:tcPr>
          <w:p>
            <w:pPr>
              <w:spacing w:after="0"/>
              <w:rPr>
                <w:sz w:val="12"/>
                <w:szCs w:val="12"/>
                <w:color w:val="auto"/>
              </w:rPr>
            </w:pPr>
          </w:p>
        </w:tc>
        <w:tc>
          <w:tcPr>
            <w:tcW w:w="740" w:type="dxa"/>
            <w:vAlign w:val="bottom"/>
          </w:tcPr>
          <w:p>
            <w:pPr>
              <w:jc w:val="center"/>
              <w:ind w:right="48"/>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of Equity</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Date of</w:t>
            </w:r>
          </w:p>
        </w:tc>
        <w:tc>
          <w:tcPr>
            <w:tcW w:w="80" w:type="dxa"/>
            <w:vAlign w:val="bottom"/>
          </w:tcPr>
          <w:p>
            <w:pPr>
              <w:spacing w:after="0"/>
              <w:rPr>
                <w:sz w:val="12"/>
                <w:szCs w:val="12"/>
                <w:color w:val="auto"/>
              </w:rPr>
            </w:pPr>
          </w:p>
        </w:tc>
        <w:tc>
          <w:tcPr>
            <w:tcW w:w="740" w:type="dxa"/>
            <w:vAlign w:val="bottom"/>
          </w:tcPr>
          <w:p>
            <w:pPr>
              <w:jc w:val="center"/>
              <w:ind w:right="28"/>
              <w:spacing w:after="0" w:line="144"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 not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Unvested</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2"/>
                <w:szCs w:val="12"/>
                <w:color w:val="auto"/>
              </w:rPr>
            </w:pPr>
          </w:p>
        </w:tc>
        <w:tc>
          <w:tcPr>
            <w:tcW w:w="740" w:type="dxa"/>
            <w:vAlign w:val="bottom"/>
          </w:tcPr>
          <w:p>
            <w:pPr>
              <w:jc w:val="center"/>
              <w:ind w:right="48"/>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to Meet</w:t>
            </w:r>
          </w:p>
        </w:tc>
        <w:tc>
          <w:tcPr>
            <w:tcW w:w="9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Reflected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8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8"/>
              <w:spacing w:after="0" w:line="144"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Granted in</w:t>
            </w:r>
          </w:p>
        </w:tc>
        <w:tc>
          <w:tcPr>
            <w:tcW w:w="80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and Vested</w:t>
            </w:r>
          </w:p>
        </w:tc>
        <w:tc>
          <w:tcPr>
            <w:tcW w:w="8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that Vested</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 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44"/>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86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4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Prior Years</w:t>
            </w:r>
          </w:p>
        </w:tc>
        <w:tc>
          <w:tcPr>
            <w:tcW w:w="80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in the Year</w:t>
            </w:r>
          </w:p>
        </w:tc>
        <w:tc>
          <w:tcPr>
            <w:tcW w:w="8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92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2"/>
                <w:szCs w:val="12"/>
                <w:color w:val="auto"/>
              </w:rPr>
            </w:pPr>
          </w:p>
        </w:tc>
        <w:tc>
          <w:tcPr>
            <w:tcW w:w="9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Adjustments</w:t>
            </w:r>
          </w:p>
        </w:tc>
        <w:tc>
          <w:tcPr>
            <w:tcW w:w="0" w:type="dxa"/>
            <w:vAlign w:val="bottom"/>
          </w:tcPr>
          <w:p>
            <w:pPr>
              <w:spacing w:after="0"/>
              <w:rPr>
                <w:sz w:val="1"/>
                <w:szCs w:val="1"/>
                <w:color w:val="auto"/>
              </w:rPr>
            </w:pPr>
          </w:p>
        </w:tc>
      </w:tr>
      <w:tr>
        <w:trPr>
          <w:trHeight w:val="184"/>
        </w:trPr>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4,400</w:t>
            </w: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 (356,966)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(260,921)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(49,498)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(660,725)</w:t>
            </w:r>
          </w:p>
        </w:tc>
        <w:tc>
          <w:tcPr>
            <w:tcW w:w="0" w:type="dxa"/>
            <w:vAlign w:val="bottom"/>
          </w:tcPr>
          <w:p>
            <w:pPr>
              <w:spacing w:after="0"/>
              <w:rPr>
                <w:sz w:val="1"/>
                <w:szCs w:val="1"/>
                <w:color w:val="auto"/>
              </w:rPr>
            </w:pP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176,146</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 (196,018)</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119,467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205,379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6"/>
                <w:szCs w:val="16"/>
                <w:color w:val="auto"/>
              </w:rPr>
              <w:t>312,360</w:t>
            </w:r>
          </w:p>
        </w:tc>
        <w:tc>
          <w:tcPr>
            <w:tcW w:w="0" w:type="dxa"/>
            <w:vAlign w:val="bottom"/>
          </w:tcPr>
          <w:p>
            <w:pPr>
              <w:spacing w:after="0"/>
              <w:rPr>
                <w:sz w:val="1"/>
                <w:szCs w:val="1"/>
                <w:color w:val="auto"/>
              </w:rPr>
            </w:pPr>
          </w:p>
        </w:tc>
      </w:tr>
      <w:tr>
        <w:trPr>
          <w:trHeight w:val="288"/>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right="739" w:hanging="426"/>
        <w:spacing w:after="0" w:line="259"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2021 or 2022).</w:t>
      </w:r>
    </w:p>
    <w:p>
      <w:pPr>
        <w:spacing w:after="0" w:line="1" w:lineRule="exact"/>
        <w:rPr>
          <w:rFonts w:ascii="Times New Roman" w:cs="Times New Roman" w:eastAsia="Times New Roman" w:hAnsi="Times New Roman"/>
          <w:sz w:val="16"/>
          <w:szCs w:val="16"/>
          <w:color w:val="auto"/>
        </w:rPr>
      </w:pPr>
    </w:p>
    <w:p>
      <w:pPr>
        <w:ind w:left="1000" w:right="659" w:hanging="426"/>
        <w:spacing w:after="0" w:line="272"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amount of net income (loss) reflected in our consolidated audited financial statements for the applicable year.</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Analysis of the Information Presented in the Pay versus Performance Table</w:t>
      </w:r>
    </w:p>
    <w:p>
      <w:pPr>
        <w:spacing w:after="0" w:line="147"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Actually Paid and Net Income (Loss)</w:t>
      </w:r>
    </w:p>
    <w:p>
      <w:pPr>
        <w:spacing w:after="0" w:line="160"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Our company has not historically looked to net income (loss) as a performance measure for our executive compensation program. Our net loss was approximately $(32.3) million in 2021 and approximately $(188.2) million in 2022.</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Actually Paid and Cumulative TSR</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As shown in the following graph, the compensation actually paid to Mr. Chang and the average amount of compensation actually paid to our non-PEO NEOs as a group (excluding Mr. Chang) during the periods presented do have some correlation because a significant portion of their compensation is in the form of long-term equity awards. The equity awards values are significantly impacted by changes in our stock price each period. These equity awards strongly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74295</wp:posOffset>
            </wp:positionV>
            <wp:extent cx="3842385" cy="2312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2385" cy="231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580" w:right="6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spacing w:after="0" w:line="111"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met 7 times during 2022 and took 1 action by written consent.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spacing w:after="0" w:line="10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the audited consolidated financial statements of the Company for the fiscal year ended December 31, 2022 and has discussed them with both management and the independent auditors. The Audit Committee also discussed with management and the independent auditors the process used to support certifications by the Company’s Chief Executive Officer and Chief Financial Officer that are required by the Securities and Exchange Commission and the Sarbanes-Oxley Act of 2002 to accompany the Company’s periodic filings with the Securities and Exchange Commission.</w:t>
      </w:r>
    </w:p>
    <w:p>
      <w:pPr>
        <w:spacing w:after="0" w:line="93"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spacing w:after="0" w:line="111"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2022.</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Audit Committee: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Krishnan Varier, Chairman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Timothy Mahoney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Leonard J. Sokolow</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 RATIFICATION OF THE AUDITOR APPOINTMENT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Marcum, LLP (“Marcum”) as our independent registered public accounting firm for the fiscal year ending December 31, 2023 and has further directed that management submit the selection of our accountants for ratification by our stockholders at the Annual Meeting. Marcum has served as the Company’s independent registered public accounting firm since the Company’s fiscal year ended December 31, 2020.</w:t>
      </w:r>
    </w:p>
    <w:p>
      <w:pPr>
        <w:spacing w:after="0" w:line="105"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Before selecting Marcum, the Audit Committee carefully considered the qualifications of Marcum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spacing w:after="0" w:line="106"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We expect representatives of Marcum to be present at the Annual Meeting with the opportunity to make a statement if they desire to do so and to be available to respond to appropriate questions.</w:t>
      </w:r>
    </w:p>
    <w:p>
      <w:pPr>
        <w:spacing w:after="0" w:line="68"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Selection of our Company’s independent registered public accounting firm is not required by our Bylaws or otherwise to be submitted to a vote of the stockholders of our Company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Marcum,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our Company and its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affirmative vote of a majority of the votes cast on the ratification of the appointment of Marcum as the Company’s independent registered public accounting firm at our Annual Meeting is required to ratify the appointment of Marcum.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Marcum. If the stockholders do not ratify the selection of Marcum, the Audit Committee will review the Company’s relationship with Marcum and take such action as it deems appropriate, which may include continuing to retain Marcum as the Company’s independent registered public accounting firm.</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105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the appointment of Marcum, LLP.</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Fees and Non-Audit Services</w:t>
      </w:r>
    </w:p>
    <w:p>
      <w:pPr>
        <w:spacing w:after="0" w:line="147"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for professional services rendered during the fiscal years ended December 31, 2022 and 2021:</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26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241,535</w:t>
            </w:r>
          </w:p>
        </w:tc>
        <w:tc>
          <w:tcPr>
            <w:tcW w:w="0" w:type="dxa"/>
            <w:vAlign w:val="bottom"/>
          </w:tcPr>
          <w:p>
            <w:pPr>
              <w:spacing w:after="0"/>
              <w:rPr>
                <w:sz w:val="1"/>
                <w:szCs w:val="1"/>
                <w:color w:val="auto"/>
              </w:rPr>
            </w:pPr>
          </w:p>
        </w:tc>
      </w:tr>
      <w:tr>
        <w:trPr>
          <w:trHeight w:val="235"/>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31,003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123,085</w:t>
            </w: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2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23,433</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15,450</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600" w:type="dxa"/>
            <w:vAlign w:val="bottom"/>
            <w:vMerge w:val="continue"/>
          </w:tcPr>
          <w:p>
            <w:pPr>
              <w:spacing w:after="0"/>
              <w:rPr>
                <w:sz w:val="20"/>
                <w:szCs w:val="20"/>
                <w:color w:val="auto"/>
              </w:rPr>
            </w:pPr>
          </w:p>
        </w:tc>
        <w:tc>
          <w:tcPr>
            <w:tcW w:w="2840" w:type="dxa"/>
            <w:vAlign w:val="bottom"/>
            <w:gridSpan w:val="2"/>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473,131</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380,070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760" w:type="dxa"/>
            <w:vAlign w:val="bottom"/>
            <w:vMerge w:val="restart"/>
          </w:tcPr>
          <w:p>
            <w:pPr>
              <w:jc w:val="right"/>
              <w:ind w:right="1253"/>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“Tax Fees” are fees billed by Marcum either for corporate income tax return preparation and filing services and/or individual expatriate income tax services and advice.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110"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2022 and 2021 were compatible.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3 — APPROVAL OF AN AMENDMENT TO OUR ARTICLES OF INCORPORATION TO INCREASE THE AUTHORIZED SHARES OF COMMON STOCK</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This section provides a summary of the proposal to amend our Articles of Incorporation to increase the number of authorized shares of Common Stock from 10,000,000 to 35,000,000, and to correspondingly increase the total authorized shares of stock from 13,000,000 to 38,000,000 (the “Authorized Share Increase”).</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On November 28, 2023, our Board voted to recommend an amendment to our Articles of Incorporation to increase the number of authorized shares of Common Stock, as described below (the “Charter Amendment”). Under the terms of our Articles of Incorporation and Nevada law, this amendment must be approved by the holders of a majority of the outstanding shares of Common Stock. This amendment makes no other changes to our Articles of Incorporation.</w:t>
      </w:r>
    </w:p>
    <w:p>
      <w:pPr>
        <w:spacing w:after="0" w:line="105" w:lineRule="exact"/>
        <w:rPr>
          <w:sz w:val="20"/>
          <w:szCs w:val="20"/>
          <w:color w:val="auto"/>
        </w:rPr>
      </w:pPr>
    </w:p>
    <w:p>
      <w:pPr>
        <w:ind w:left="580" w:right="799" w:firstLine="419"/>
        <w:spacing w:after="0" w:line="262" w:lineRule="auto"/>
        <w:rPr>
          <w:sz w:val="20"/>
          <w:szCs w:val="20"/>
          <w:color w:val="auto"/>
        </w:rPr>
      </w:pPr>
      <w:r>
        <w:rPr>
          <w:rFonts w:ascii="Times New Roman" w:cs="Times New Roman" w:eastAsia="Times New Roman" w:hAnsi="Times New Roman"/>
          <w:sz w:val="17"/>
          <w:szCs w:val="17"/>
          <w:color w:val="auto"/>
        </w:rPr>
        <w:t>This proposal is intended to give us flexibility to issue Common Stock or securities convertible into Common Stock if an attractive opportunity to do so arises. In particular, the proposal would allow us to move quickly if an increase in the market price of our Common Stock allows us to replace, reduce or eliminate our existing indebtedness by selling Common Stock or convertible securities on terms that we and our Board believe enhance long-term value for our stockholders. In addition, the newly authorized shares of Common Stock would be issuable for any other proper corporate purpose, including, but not limited to, capital raising transactions, grants under equity compensation plans, potential strategic transactions, including mergers, acquisitions, and other general corporate transactions.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Amendment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December 2, 2023, our current authorized capital stock of 13,000,000 consisted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10,000,000 shares of Common Stock, of which 1,701,243 shares were outstanding, and 3,000,000 shares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preferred stock, none of which were outstanding. Approximately 4,730,846 shares may be issued under existing</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obligations associated with our existing outstanding warrants, stock options and restricted stock units. Our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Board proposes to amend the first full sentence of Article 3 of our Articles of Incorporation so that it would read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 its entirety as follows:</w:t>
      </w:r>
    </w:p>
    <w:p>
      <w:pPr>
        <w:spacing w:after="0" w:line="140" w:lineRule="exact"/>
        <w:rPr>
          <w:sz w:val="20"/>
          <w:szCs w:val="20"/>
          <w:color w:val="auto"/>
        </w:rPr>
      </w:pPr>
    </w:p>
    <w:p>
      <w:pPr>
        <w:ind w:left="1000" w:right="879"/>
        <w:spacing w:after="0" w:line="276" w:lineRule="auto"/>
        <w:rPr>
          <w:sz w:val="20"/>
          <w:szCs w:val="20"/>
          <w:color w:val="auto"/>
        </w:rPr>
      </w:pPr>
      <w:r>
        <w:rPr>
          <w:rFonts w:ascii="Times New Roman" w:cs="Times New Roman" w:eastAsia="Times New Roman" w:hAnsi="Times New Roman"/>
          <w:sz w:val="17"/>
          <w:szCs w:val="17"/>
          <w:color w:val="auto"/>
        </w:rPr>
        <w:t>“The total number of shares of stock that the Corporation shall have authority to issue is 38 million, consisting of: 35 million shares of Common Stock, par value $0.001 per share (“Common Stock”) and 3 million shares of Preferred Stock, par value $0.001 per share (“Preferred Stock”).”</w:t>
      </w:r>
    </w:p>
    <w:p>
      <w:pPr>
        <w:spacing w:after="0" w:line="98"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Under the terms of the Charter Amendment, the total number of authorized shares of capital stock would be increased to 38,000,000. The number of shares of Common Stock authorized will be increased to 35,000,000. The number of shares of preferred stock would remain unchanged at 3,000,000.</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Rights of Additional Authorized Shares</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Any authorized shares of Common Stock, if and when issued, would be part of our existing class of Common Stock and would have the same rights and privileges as the shares of Common Stock currently outstanding. 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the Charter Amendment</w:t>
      </w:r>
    </w:p>
    <w:p>
      <w:pPr>
        <w:spacing w:after="0" w:line="147"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Future issuances of Common Stock could have a dilutive effect on our earnings per share, book value per share and the voting power and interest of current stockholders. In addition, the availability of additional shares of Common Stock for issuance could, under certain circumstances, discourage or make more difficult any efforts to obtain control of Agrify.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Pursuant to the Nevada Revised Statutes, stockholders are not entitled to appraisal rights with respect to the Charter Amendment.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60"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If the proposed amendment is adopted, it will become effective upon the filing of a certificate of amendment to our Articles of Incorporation with the Secretary of State of the State of Nevada, which we expect to file promptly after the Annual Meeting. If the proposed amendment is not approved by stockholders, the number of authorized shares of Common Stock will remain unchanged.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 xml:space="preserve">If a quorum is present, the affirmative vote of holders of a majority of the outstanding shares of Common Stock will be required to approve the proposed Charter Amendment to effect the Authorized Share Increase. </w:t>
      </w:r>
      <w:r>
        <w:rPr>
          <w:rFonts w:ascii="Times New Roman" w:cs="Times New Roman" w:eastAsia="Times New Roman" w:hAnsi="Times New Roman"/>
          <w:sz w:val="17"/>
          <w:szCs w:val="17"/>
          <w:b w:val="1"/>
          <w:bCs w:val="1"/>
          <w:color w:val="auto"/>
        </w:rPr>
        <w:t>Any shares not voted (whether by abstention or otherwise) will have the same effect as a 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“against” Item 3. Accordingly, it is important that beneficial owners instruct their brokers how they wish to vote their shares on Item 3.</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61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Authorized Share Increase.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ITEM 4 — APPROVAL OF AN INCREASE IN THE NUMBER OF SHARES OF COMMON STOCK UNDERLYING A WARRANT UPON CERTAIN EQUITY ISSUANCES OR CONVERSIONS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are asking stockholders to approve the issuance of up to 21,108,751 shares of our Common Stock upon the exercise of Warrants issued in connection with the issuance of a senior secured note and the exchange of previously issued warrants in August 2022, as required by Nasdaq Listing Rule 5635(d), the increase in the number of shares of Common Stock underlying a warrant that is currently exercisable for up to 2,809,669 shares of Common Stock that were issued to our former senior lender (the “Former Lender”) in October 2023 (the “Warrant”) under certain circumstances, as described in more detail below.</w:t>
      </w:r>
    </w:p>
    <w:p>
      <w:pPr>
        <w:spacing w:after="0" w:line="106"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On March 14, 2022, we entered into a Securities Purchase Agreement with the Former Lender, pursuant to which, among other things, we agreed to issue and sell to the Former Lender, in a private placement transaction, in exchange for the payment by the Former Lender of $65,000,000, less applicable expenses as set forth in the Securities Purchase Agreement, (i) a senior secured promissory note in an aggregate principal amount of $65,000,000 (the “Prior Note”), and (ii) a warrant to purchase up to an aggregate of 6,881,108 shares of Common Stock.</w:t>
      </w:r>
    </w:p>
    <w:p>
      <w:pPr>
        <w:spacing w:after="0" w:line="106" w:lineRule="exact"/>
        <w:rPr>
          <w:sz w:val="20"/>
          <w:szCs w:val="20"/>
          <w:color w:val="auto"/>
        </w:rPr>
      </w:pPr>
    </w:p>
    <w:p>
      <w:pPr>
        <w:ind w:left="580" w:right="819" w:firstLine="419"/>
        <w:spacing w:after="0" w:line="263" w:lineRule="auto"/>
        <w:rPr>
          <w:sz w:val="20"/>
          <w:szCs w:val="20"/>
          <w:color w:val="auto"/>
        </w:rPr>
      </w:pPr>
      <w:r>
        <w:rPr>
          <w:rFonts w:ascii="Times New Roman" w:cs="Times New Roman" w:eastAsia="Times New Roman" w:hAnsi="Times New Roman"/>
          <w:sz w:val="17"/>
          <w:szCs w:val="17"/>
          <w:color w:val="auto"/>
        </w:rPr>
        <w:t>On August 18, 2022, we entered into a Securities Exchange Agreement (the “Exchange Agreement”). Pursuant to the Exchange Agreement, we partially prepaid $35.2 million under the Prior Note and exchanged the remaining balance of the Prior Note for (i) a new senior secured note (the “Exchange Note”) with an aggregate original principal amount of $35.0 million and (ii) a new warrant to purchase 14,227,643 shares of Common Stock. Additionally, we exchanged the original warrant for a new warrant for the same number of underlying shares but with a reduced exercise price. The closing under the Exchange Agreement occurred on August 19, 2022.</w:t>
      </w:r>
    </w:p>
    <w:p>
      <w:pPr>
        <w:spacing w:after="0" w:line="98" w:lineRule="exact"/>
        <w:rPr>
          <w:sz w:val="20"/>
          <w:szCs w:val="20"/>
          <w:color w:val="auto"/>
        </w:rPr>
      </w:pPr>
    </w:p>
    <w:p>
      <w:pPr>
        <w:jc w:val="both"/>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On March 14, 2023, we entered into a Securities Exchange Agreement with the Former Lender, pursuant to which we prepaid approximately $10.3 million in principal amount under the Exchange Note and exchanged $10.0 in principal amount of the remaining balance of the Exchange Note for a new senior secured convertible note (the “</w:t>
      </w:r>
      <w:r>
        <w:rPr>
          <w:rFonts w:ascii="Times New Roman" w:cs="Times New Roman" w:eastAsia="Times New Roman" w:hAnsi="Times New Roman"/>
          <w:sz w:val="17"/>
          <w:szCs w:val="17"/>
          <w:u w:val="single" w:color="auto"/>
          <w:color w:val="auto"/>
        </w:rPr>
        <w:t>Convertible Note</w:t>
      </w:r>
      <w:r>
        <w:rPr>
          <w:rFonts w:ascii="Times New Roman" w:cs="Times New Roman" w:eastAsia="Times New Roman" w:hAnsi="Times New Roman"/>
          <w:sz w:val="17"/>
          <w:szCs w:val="17"/>
          <w:color w:val="auto"/>
        </w:rPr>
        <w:t>”) with an original principal amount of $10.0 million.</w:t>
      </w:r>
    </w:p>
    <w:p>
      <w:pPr>
        <w:spacing w:after="0" w:line="103"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On October 27, 2023, we entered into a letter agreement (the “Letter Agreement”) with the Former Lender. Pursuant to the Letter Agreement, we agreed to exchange $3.0 million in principal and approximately $1.1 million in accrued but unpaid interest outstanding under the Exchange Note for the Warrant.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Warrant</w:t>
      </w:r>
    </w:p>
    <w:p>
      <w:pPr>
        <w:spacing w:after="0" w:line="160" w:lineRule="exact"/>
        <w:rPr>
          <w:sz w:val="20"/>
          <w:szCs w:val="20"/>
          <w:color w:val="auto"/>
        </w:rPr>
      </w:pPr>
    </w:p>
    <w:p>
      <w:pPr>
        <w:jc w:val="both"/>
        <w:ind w:left="580" w:right="1019" w:firstLine="419"/>
        <w:spacing w:after="0" w:line="276" w:lineRule="auto"/>
        <w:rPr>
          <w:sz w:val="20"/>
          <w:szCs w:val="20"/>
          <w:color w:val="auto"/>
        </w:rPr>
      </w:pPr>
      <w:r>
        <w:rPr>
          <w:rFonts w:ascii="Times New Roman" w:cs="Times New Roman" w:eastAsia="Times New Roman" w:hAnsi="Times New Roman"/>
          <w:sz w:val="17"/>
          <w:szCs w:val="17"/>
          <w:color w:val="auto"/>
        </w:rPr>
        <w:t>The Warrant has an exercise price of $0.001 per share, was exercisable upon issuance, has a term of five years from the date of issuance and is exercisable on a cash basis or on a cashless exercise basis at the Former Lender’s election.</w:t>
      </w:r>
    </w:p>
    <w:p>
      <w:pPr>
        <w:spacing w:after="0" w:line="85"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Warrant provides that in the event that Raymond Chang or his affiliates acquire securities from us, exercise convertible securities or amend the terms of convertible securities at a purchase or conversion price lower than $1.46, then the number of shares of Common Stock underlying the Warrant will be increased to an amount equal to $3.0 million divided by such purchase or conversion price, subject to proportional adjustment in the event the Warrant has been partially exercised. Additionally, in the event that we have not issued equity securities in exchange for gross proceeds of at least $3.0 million to Mr. Chang or his affiliates (subject to certain offsets) by the third calendar day after the date when the we receive stockholder approval, then on December 26, 2023, the number of shares of Common Stock underlying the Warrant will be increased to an amount equal to $3.0 million divided by the Minimum Price as defined under Nasdaq listing rules, subject to proportional adjustment in the event the Warrant has been partially exercised. We refer to this provision in this Item 4 as the “Reset Provision.” Under the Letter Agreement, we are required to use our reasonable best efforts to obtain approval for this Item 4 by December 31, 2023.</w:t>
      </w:r>
    </w:p>
    <w:p>
      <w:pPr>
        <w:spacing w:after="0" w:line="118" w:lineRule="exact"/>
        <w:rPr>
          <w:sz w:val="20"/>
          <w:szCs w:val="20"/>
          <w:color w:val="auto"/>
        </w:rPr>
      </w:pPr>
    </w:p>
    <w:p>
      <w:pPr>
        <w:ind w:left="580" w:right="679" w:firstLine="419"/>
        <w:spacing w:after="0" w:line="274" w:lineRule="auto"/>
        <w:rPr>
          <w:sz w:val="20"/>
          <w:szCs w:val="20"/>
          <w:color w:val="auto"/>
        </w:rPr>
      </w:pPr>
      <w:r>
        <w:rPr>
          <w:rFonts w:ascii="Times New Roman" w:cs="Times New Roman" w:eastAsia="Times New Roman" w:hAnsi="Times New Roman"/>
          <w:sz w:val="17"/>
          <w:szCs w:val="17"/>
          <w:color w:val="auto"/>
        </w:rPr>
        <w:t>We do not plan on making an application to list the Warrant on The Nasdaq Capital Market, any national securities exchange or other nationally recognized trading system. Except as otherwise provided in the Warrant or by virtue of such holder’s ownership of shares of our Common Stock, the holder of the Warrant does not have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99"/>
        <w:spacing w:after="0" w:line="276" w:lineRule="auto"/>
        <w:rPr>
          <w:sz w:val="20"/>
          <w:szCs w:val="20"/>
          <w:color w:val="auto"/>
        </w:rPr>
      </w:pPr>
      <w:r>
        <w:rPr>
          <w:rFonts w:ascii="Times New Roman" w:cs="Times New Roman" w:eastAsia="Times New Roman" w:hAnsi="Times New Roman"/>
          <w:sz w:val="17"/>
          <w:szCs w:val="17"/>
          <w:color w:val="auto"/>
        </w:rPr>
        <w:t>rights or privileges of holders of our Common Stock, including any voting rights, until they exercise the Warrant. No fractional shares of Common Stock will be issued upon the exercise of the Warrant. Rather, the number of shares of Common Stock to be issued will be rounded up to the nearest whole number.</w:t>
      </w:r>
    </w:p>
    <w:p>
      <w:pPr>
        <w:spacing w:after="0" w:line="98"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The foregoing descriptions of the Warrant and the Letter Agreement are not complete and are qualified in their entirety by reference to the full text of the form of the Warrant and the Letter Agreement, copies of which are attached as Exhibits 4.1 and 10.2, respectively, to the Current Report on Form 8-K that we filed with the Securities and Exchange Commission on October 30, 2023, which are incorporated by reference herein.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Item 4</w:t>
      </w:r>
    </w:p>
    <w:p>
      <w:pPr>
        <w:spacing w:after="0" w:line="160"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at a price that is less than the lower of (i) the Nasdaq Official Closing Price immediately preceding the signing of the binding agreement, or (ii) the average Nasdaq Official Closing Price for the five trading days immediately preceding the signing of the binding agreement (the “Minimum Price”).</w:t>
      </w:r>
    </w:p>
    <w:p>
      <w:pPr>
        <w:spacing w:after="0" w:line="93"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The conversion price used for the partial exchange of the Exchange Note for the Warrant was equal to the Minimum Price at the time the Letter Agreement was executed. However, the Reset Provision, as described above, could result in a larger number of shares of Common Stock underlying the Warrant, which would effectively reduce the conversion price under the Letter Agreement to an amount that is lower than the Minimum Price. Therefore, to comply with Rule 5635(d), we are seeking shareholder approval to permit the increase in the number of shares of Common Stock underlying the Warrant pursuant to the Reset Provision in the event we undertake any transaction that results in the application of that provision.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Item 4 is Not Approved</w:t>
      </w:r>
    </w:p>
    <w:p>
      <w:pPr>
        <w:spacing w:after="0" w:line="160"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is not seeking the approval of our stockholders to authorize our entry into the Letter Agreement, as the issuance of the Warrant has already occurred. The failure of our stockholders to approve this Item 4 will mean that the Reset Provision of the Warrant will not be effective. If this Item 4 is not approved at the Annual Meeting, we will need to hold special meetings of our stockholders at least every 90 days under the terms of the Letter Agreement until we receive approval of the Reset Provision.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Item 4</w:t>
      </w:r>
    </w:p>
    <w:p>
      <w:pPr>
        <w:spacing w:after="0" w:line="160" w:lineRule="exact"/>
        <w:rPr>
          <w:sz w:val="20"/>
          <w:szCs w:val="20"/>
          <w:color w:val="auto"/>
        </w:rPr>
      </w:pPr>
    </w:p>
    <w:p>
      <w:pPr>
        <w:ind w:left="580" w:right="819" w:firstLine="419"/>
        <w:spacing w:after="0" w:line="270" w:lineRule="auto"/>
        <w:rPr>
          <w:sz w:val="20"/>
          <w:szCs w:val="20"/>
          <w:color w:val="auto"/>
        </w:rPr>
      </w:pPr>
      <w:r>
        <w:rPr>
          <w:rFonts w:ascii="Times New Roman" w:cs="Times New Roman" w:eastAsia="Times New Roman" w:hAnsi="Times New Roman"/>
          <w:sz w:val="17"/>
          <w:szCs w:val="17"/>
          <w:color w:val="auto"/>
        </w:rPr>
        <w:t>If this Item 4 is approved, existing stockholders will suffer dilution in their ownership interests in the future as a result of the potential issuance of shares of Common Stock upon exercise of the Warrant. The sale into the public market of these shares also could materially and adversely affect the market price of our Common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47"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increase in the number of shares of Common Stock underlying the Warrant upon the occurrence of certain equity issuances or conversions.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111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increase in the number of shares of Common Stock underlying the Warrant upon the occurrence of certain equity issuances or conversions.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5 — APPROVAL OF AN AMENDMENT TO THE SENIOR SECURED CONVERTIBLE NOTE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As described in Item 4 above, on March 10, 2023, we issued the Convertible Note to the Former Lender. On October 27, 2023, CP Acquisitions LLC (“CP Acquisitions”), an entity that is controlled and owned by Raymond Chang, our Chairman and Chief Executive Officer, and I-Tseng Jenny Chan, a nominee for a director seat on the Board of Directors, acquired the Convertible Note and the Exchange Note from the Former Lender. At the time of acquisition, the Convertible Note had an outstanding principal amount of approximately</w:t>
      </w:r>
    </w:p>
    <w:p>
      <w:pPr>
        <w:spacing w:after="0" w:line="3" w:lineRule="exact"/>
        <w:rPr>
          <w:sz w:val="20"/>
          <w:szCs w:val="20"/>
          <w:color w:val="auto"/>
        </w:rPr>
      </w:pPr>
    </w:p>
    <w:p>
      <w:pPr>
        <w:ind w:left="580" w:right="759"/>
        <w:spacing w:after="0" w:line="274" w:lineRule="auto"/>
        <w:rPr>
          <w:sz w:val="20"/>
          <w:szCs w:val="20"/>
          <w:color w:val="auto"/>
        </w:rPr>
      </w:pPr>
      <w:r>
        <w:rPr>
          <w:rFonts w:ascii="Times New Roman" w:cs="Times New Roman" w:eastAsia="Times New Roman" w:hAnsi="Times New Roman"/>
          <w:sz w:val="17"/>
          <w:szCs w:val="17"/>
          <w:color w:val="auto"/>
        </w:rPr>
        <w:t>$8.84 million. As of December 1, 2023, CP Acquisitions has lent $2,999,410 to us and intends to lend another $1,500,590 on or about December 1, 2023.</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Current Convertible Note Terms</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Convertible Note is a senior secured obligation and ranks senior to all of our indebtedness. The Convertible Note will mature on August 19, 2025 and has a 9.0% annualized interest rate, with interest to be paid monthly, in cash. The principal amount of the Convertible Note will be payable on the maturity date. At any time, we may prepay all of the Convertible Note by redemption at a price equal to 102.5% of the then-outstanding principal amount under the Convertible Note plus accrued but unpaid interest. CP Acquisitions also has the option of requiring us to redeem the Convertible Note on August 19, 2024 at a price equal to the then-outstanding principal amount under the Convertible Note plus accrued but unpaid interest.</w:t>
      </w:r>
    </w:p>
    <w:p>
      <w:pPr>
        <w:spacing w:after="0" w:line="112"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The Convertible Note imposes certain customary affirmative and negative covenants upon us, as well as covenants that will (i) restrict us and our subsidiaries from incurring any additional indebtedness or suffering any liens, subject to specified exceptions, (ii) restrict our ability from making certain investments, subject to specified exceptions, and (iii) restrict the declaration of any dividends or other distributions, subject to specified exceptions. If an event of default under the Convertible Note occurs, CP Acquisitions can elect to redeem the Convertible Note for cash equal to (A) 115% of the then-outstanding principal amount (or such lesser principal amount accelerated by the holder),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holder delivers a notice of acceleration; (b) the total then outstanding principal amount under the Convertible Note (in thousands); and</w:t>
      </w:r>
    </w:p>
    <w:p>
      <w:pPr>
        <w:spacing w:after="0" w:line="3" w:lineRule="exact"/>
        <w:rPr>
          <w:sz w:val="20"/>
          <w:szCs w:val="20"/>
          <w:color w:val="auto"/>
        </w:rPr>
      </w:pPr>
    </w:p>
    <w:p>
      <w:pPr>
        <w:ind w:left="580" w:right="719" w:hanging="6"/>
        <w:spacing w:after="0" w:line="261" w:lineRule="auto"/>
        <w:tabs>
          <w:tab w:leader="none" w:pos="81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greater of (1) the highest daily volume weighted average price (“VWAP”) per share of Common Stock occurring during the fifteen consecutive trading days ending on, and including, the trading day immediately before the date the holder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307"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Until the date the Convertible Note is fully repaid, CP Acquisitions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03"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The conversion price per share of Common Stock under the Convertible Note is $7.64, subject to customary adjustments for certain corporate events. The Convertible Note may not be converted into shares of Common Stock if such conversion would result in the holder and its affiliates owning an aggregate of in excess of 4.99% of the then-outstanding shares of Common Stock, provided that upon 61 days’ notice, the ownership limitation may be adjusted by the holder, but in any case, to no greater than 9.99%. In connection with the acquisition of the Convertible Note and the Exchange Note, CP Acquisitions has agreed to waive any events of default under the notes through December 31, 2023 and to enter into an agreement with us to extend the maturity date thereon to December 31, 2025.</w:t>
      </w:r>
    </w:p>
    <w:p>
      <w:pPr>
        <w:spacing w:after="0" w:line="113"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Convertible Note is not complete and is qualified in its entirety by reference to the full text of the Convertible Note, a copy of which is attached as Exhibit 4.1 to the Current Report on Form 8-K that we filed with the Securities and Exchange Commission on March 9, 2023, which is incorporated by reference herein.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Item 5</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at a price that is less than the lower of (i) the Nasdaq Official Closing Price immediately preceding the signing of the binding agreement, or (ii) the average Nasdaq Official Closing Price for the five trading days immediately preceding the signing of the binding agreement (the “Minimum Price”). Nasdaq Listing Rule 5635(c) requires stockholder approval for, among other things, any equity compensation arrangement with an officer, director, employee or consultant, which includes any issuances of Common Stock or securities convertible into Common Stock to such persons outside of a public offering, at a price that is less than the closing price on the trading day immediately preceding the binding agreement for such issuance. Nasdaq Listing Rule 5635(b) requires stockholder approval for any issuance of securities that will result in a change of control, which Nasdaq generally defines as when one investor or group of investors owns, or has the right to acquire, 20% of more of a company’s outstanding Common Stock or voting power.</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Amendment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proposing to amend the Convertible Note as follows:</w:t>
      </w:r>
    </w:p>
    <w:p>
      <w:pPr>
        <w:spacing w:after="0" w:line="158" w:lineRule="exact"/>
        <w:rPr>
          <w:sz w:val="20"/>
          <w:szCs w:val="20"/>
          <w:color w:val="auto"/>
        </w:rPr>
      </w:pPr>
    </w:p>
    <w:p>
      <w:pPr>
        <w:ind w:left="1420" w:right="619" w:hanging="426"/>
        <w:spacing w:after="0" w:line="270"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the Exchange Note, with outstanding principal and accrued interest of $5,766,618.19 as of December 1, 2023, and the junior secured promissory note issued to CP Acquisitions on October 27, 2023, into the Convertible Note by exchanging such notes for an equivalent increase in the outstanding principal amount under the Convertible Note;</w:t>
      </w:r>
    </w:p>
    <w:p>
      <w:pPr>
        <w:spacing w:after="0" w:line="8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conversion price to $1.46 per share of Common Stock</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beneficial ownership limitation to 49.99% with respect to any individual or group, provided that CP Acquisitions may assign its right to receive shares upon conversion to its owners, Raymond Chang and I-Tseng Jenny Chan, in which case the 49.99% beneficial ownership limitation will apply to each of them individually</w:t>
      </w:r>
    </w:p>
    <w:p>
      <w:pPr>
        <w:spacing w:after="0" w:line="10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maturity date to December 31, 2025</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interest rate from 9% to 10% per annum</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default interest from 15% to 18% per annum</w:t>
      </w:r>
    </w:p>
    <w:p>
      <w:pPr>
        <w:spacing w:after="0" w:line="158" w:lineRule="exact"/>
        <w:rPr>
          <w:rFonts w:ascii="Times New Roman" w:cs="Times New Roman" w:eastAsia="Times New Roman" w:hAnsi="Times New Roman"/>
          <w:sz w:val="17"/>
          <w:szCs w:val="17"/>
          <w:color w:val="auto"/>
        </w:rPr>
      </w:pPr>
    </w:p>
    <w:p>
      <w:pPr>
        <w:ind w:left="1420" w:right="679" w:hanging="426"/>
        <w:spacing w:after="0" w:line="276"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w:t>
      </w:r>
    </w:p>
    <w:p>
      <w:pPr>
        <w:spacing w:after="0" w:line="85"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We are proposing to these amendments in order to provide CP Acquisitions an incentive to convert the outstanding principal into shares of Common Stock, subject to the beneficial ownership limitation. We believe that authorizing us to consolidate the notes held by CP Acquisitions, to reduce the conversion price, and to increase the beneficial ownership limitation, is in the best interest of our company and the stockholders. Providing an incentive for CP Acquisitions to convert the Convertible Note into shares of Common Stock rather than requiring us to repay the Convertible Note in cash will provide us with more cash-flow flexibility and allow us to use such funds instead for working capital and general corporate purposes, rather than repayment of debt. The amendment would also extend the maturity date, giving us additional flexibility to pay off or refinance the Convertible Note. Although the issuance of Common Stock to CP Acquisitions or its assignees will result in significant dilution to existing stockholders, we believe the resulting dilution is outweighed by the benefit of increased cash available for our operations.</w:t>
      </w:r>
    </w:p>
    <w:p>
      <w:pPr>
        <w:spacing w:after="0" w:line="111"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conversion price used for the Convertible Note was equal to the Minimum Price at the time the Letter Agreement was executed. However, the amendment described in this Item 5 would reduce the conversion price under the Convertible Note to an amount that is lower than the Minimum Price and lower than the closing price on the day immediately prior to such amendment. Further, the proposed increase to the beneficial ownership limitation could result in Mr. Chang, Ms. Chan and their respective affiliates holding more than 20% of our outstanding Common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979"/>
        <w:spacing w:after="0" w:line="276" w:lineRule="auto"/>
        <w:rPr>
          <w:sz w:val="20"/>
          <w:szCs w:val="20"/>
          <w:color w:val="auto"/>
        </w:rPr>
      </w:pPr>
      <w:r>
        <w:rPr>
          <w:rFonts w:ascii="Times New Roman" w:cs="Times New Roman" w:eastAsia="Times New Roman" w:hAnsi="Times New Roman"/>
          <w:sz w:val="17"/>
          <w:szCs w:val="17"/>
          <w:color w:val="auto"/>
        </w:rPr>
        <w:t>Stock and voting power. Therefore, to comply with Rules 5635(b), (c) and (d), we are seeking shareholder approval to permit amendment of the Convertible Note to reduce the conversion price to $1.46 per share of Common Stock and to increase the beneficial ownership limitation to 49.99%.</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Item 5 is Not Approved</w:t>
      </w:r>
    </w:p>
    <w:p>
      <w:pPr>
        <w:spacing w:after="0" w:line="160"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The board of directors is not seeking the approval of our stockholders to authorize the issuance of the Convertible Note or its sale to CP Acquisitions, as the issuance of the Convertible Note and its sale by the Former Lender to CP Acquisitions has already occurred. The failure of our stockholders to approve this Item 5 will mean that the conversion price of the Convertible Note will remain at $7.64, and the beneficial ownership limitation will remain at 4.99% (adjustable to up to 9.99% at the holder’s election). Consequently, based on current stock ownership by Mr. Chang and his affiliates, the Convertible Note could not be converted into Common Stock, we will be obligated to repay principal and interest under the Convertible Note in accordance with its terms, which would leave us with significantly less cash to use for general corporate and working capital purposes.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Item 5</w:t>
      </w:r>
    </w:p>
    <w:p>
      <w:pPr>
        <w:spacing w:after="0" w:line="16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If this Item 5 is approved, existing stockholders will suffer significant dilution in their ownership interests in the future as a result of the potential issuance of shares of Common Stock upon conversion of the Convertible Note. The amendment to the conversion price and the consolidation of other notes into the Convertible Note pursuant to this Item 5 would increase the total number of shares of Common Stock (disregarding the beneficial ownership limitation) issuable upon conversion of the Convertible Note from 1,175,328 to 12,904,866. The sale into the public market of these shares also could materially and adversely affect the market price of our Common Stock.</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47"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As described above, Mr. Chang and Ms. Chan are the owners, and control, CP Acquisitions. Therefore, Mr. Chang and Ms. Chan will each benefit from the proposed reduction in the conversion price under the Convertible Note, as it will be convertible into a significantly larger number of shares of Common Stock. Additionally, the proposed increase to the beneficial ownership limitation to 49.99% will significantly increase Mr. Chang’s voting power and control over us.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amendment of the Convertible Note as set forth in Item 5. Broker non-votes and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101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amendment of the Convertible Note as set forth in this Item 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6 — APPROVAL OF AMENDMENT TO THE 2022 OMNIBUS EQUITY INCENTIVE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We are proposing that our stockholders approve the amendment of the Agrify Corporation 2022 Omnibus Equity Incentive Plan (as amended, the “2022 Omnibus Plan” and such amendment, the “Plan Amendment”) to increase by 250,000 shares the number of authorized shares of Common Stock available for issuance under the 2022 Omnibus Plan and to revise the minimum vesting condition to allow for awards granted to directors that may vest within one year from grant. Our Board of Directors believes that our continued growth and success depends, in large part, on our ability to maintain a competitive position by attracting, retaining and motivating key employees with experience and ability, which is vital to our future success, and to align our employees’ compensation with building shareholder value. Our 2022 Omnibus Plan is an integral part of this strategy. During the second half of 2023, certain of our directors voluntarily accepted reduced director compensation due to cash constraints. In lieu of that cash compensation, our Compensation Committee and Board of Directors granted an aggregate of 201,938 restricted stock units to our non-employee directors, with all vesting conditioned upon shareholder approval of this Item 6. We currently have 4,411 shares available under our 2022 Omnibus Plan, thus potentially impairing our ability to attract and retain key employees through the grant of stock-based awards. The 2022 Omnibus Plan is designed to attract, motivate and retain employees, directors and consultants and to further our growth and financial success by aligning the interests of those persons through ownership with the interests of our stockholders.</w:t>
      </w:r>
    </w:p>
    <w:p>
      <w:pPr>
        <w:spacing w:after="0" w:line="122"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The 2022 Omnibus Plan currently authorizes the grant of stock options and other stock-based awards to our officers, employees, non-employee directors and consultants. On November 28, 2023, the Board of Directors approved the Plan Amendment, subject to stockholder approval.</w:t>
      </w:r>
    </w:p>
    <w:p>
      <w:pPr>
        <w:spacing w:after="0" w:line="98"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Our Board of Directors believes that the proposed amendment of the 2022 Omnibus Plan is in the best interests of, and will provide long-term advantages to, us and our stockholders and recommends the approval by our stockholders of the Plan Amendment. Stock options and other stock-based incentive awards are given to our employees, officers, directors and consultants upon whose judgment, initiative and efforts we largely depend for the successful conduct of our business. These incentives provide our employees, consultants and directors with a proprietary interest in our Company, thereby stimulating their commitment on our behalf and strengthening their desire to remain with us. Our Board of Directors anticipates that this direct stake in our future success also assures a closer alignment of the interests of employees with those of our stockholders. Further, removing awards granted to Board members from the minimum vesting provision will give us greater flexibility to compensation our directors.</w:t>
      </w:r>
    </w:p>
    <w:p>
      <w:pPr>
        <w:spacing w:after="0" w:line="101"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If we cannot increase the amount of shares of Common Stock available for issuance pursuant to the Plan Amendment, it could have a negative impact on our ability to retain and attract Board members.</w:t>
      </w:r>
    </w:p>
    <w:p>
      <w:pPr>
        <w:spacing w:after="0" w:line="81" w:lineRule="exact"/>
        <w:rPr>
          <w:sz w:val="20"/>
          <w:szCs w:val="20"/>
          <w:color w:val="auto"/>
        </w:rPr>
      </w:pPr>
    </w:p>
    <w:p>
      <w:pPr>
        <w:ind w:left="580" w:right="999" w:firstLine="419"/>
        <w:spacing w:after="0" w:line="276" w:lineRule="auto"/>
        <w:rPr>
          <w:sz w:val="20"/>
          <w:szCs w:val="20"/>
          <w:color w:val="auto"/>
        </w:rPr>
      </w:pPr>
      <w:r>
        <w:rPr>
          <w:rFonts w:ascii="Times New Roman" w:cs="Times New Roman" w:eastAsia="Times New Roman" w:hAnsi="Times New Roman"/>
          <w:sz w:val="17"/>
          <w:szCs w:val="17"/>
          <w:color w:val="auto"/>
        </w:rPr>
        <w:t>Accordingly, we are seeking stockholder approval of the Plan Amendment. In the event that the Plan Amendment is not approved by stockholders, the 2022 Omnibus Plan will continue in effect without the amendment described above.</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December 1, 2023: (i) 4,411 shares of our Common Stock remained available for future awards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under the 2022 Omnibus Plan, (ii) 11,013 shares of our Common Stock were subject to outstanding options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under the 2022 Omnibus Plan (with the outstanding options having a weighted average exercise price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$1,589.43 per share and a weighted average term to scheduled expiration of 6.52 years), and (iii) 7,425 shares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our Common Stock were subject to unvested restricted stock units. During the fiscal year ended December 31,</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2022, our board of directors approved the grant of options to purchase 10,000 shares of Common Stock and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grant of 22,379 restricted stock units under the 2022 Omnibus Plan.</w:t>
      </w:r>
    </w:p>
    <w:p>
      <w:pPr>
        <w:spacing w:after="0" w:line="1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Based solely on the closing price of our Common Stock as reported on The Nasdaq Capital Market 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1, 2023, the maximum aggregate market value of the 250,000 additional shares that could potentially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 issued under the 2022 Omnibus Plan, assuming the Plan Amendment is approved, is approximately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$352,500. The shares available for issuance by us under the 2022 Omnibus Plan will be authorized but unissued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shares.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Highlights</w:t>
      </w:r>
    </w:p>
    <w:p>
      <w:pPr>
        <w:spacing w:after="0" w:line="147"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Some of the key features of the 2022 Omnibus Plan, as proposed to be amended by the Plan Amendment, that reflect Agrify’s commitment to effective management of incentive compensation are as follows:</w:t>
      </w:r>
    </w:p>
    <w:p>
      <w:pPr>
        <w:spacing w:after="0" w:line="79" w:lineRule="exact"/>
        <w:rPr>
          <w:sz w:val="20"/>
          <w:szCs w:val="20"/>
          <w:color w:val="auto"/>
        </w:rPr>
      </w:pPr>
    </w:p>
    <w:p>
      <w:pPr>
        <w:ind w:left="1420" w:right="619" w:hanging="426"/>
        <w:spacing w:after="0" w:line="267"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Plan Limits. </w:t>
      </w:r>
      <w:r>
        <w:rPr>
          <w:rFonts w:ascii="Times New Roman" w:cs="Times New Roman" w:eastAsia="Times New Roman" w:hAnsi="Times New Roman"/>
          <w:sz w:val="17"/>
          <w:szCs w:val="17"/>
          <w:color w:val="auto"/>
        </w:rPr>
        <w:t>Total awards under the 2022 Omnibus Plan in general are limited to a maximum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2,000,000 authorized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of Common Stock underlying any award granted under the Agrify Corporation 2020 Omnibus Equity Incentive Plan (the “2020 Omnibus Plan”) that expires, terminates or is canceled or forfeited under the terms of the 2020 Omnibus Plan.</w:t>
      </w:r>
    </w:p>
    <w:p>
      <w:pPr>
        <w:spacing w:after="0" w:line="104" w:lineRule="exact"/>
        <w:rPr>
          <w:rFonts w:ascii="Times New Roman" w:cs="Times New Roman" w:eastAsia="Times New Roman" w:hAnsi="Times New Roman"/>
          <w:sz w:val="17"/>
          <w:szCs w:val="17"/>
          <w:color w:val="auto"/>
        </w:rPr>
      </w:pPr>
    </w:p>
    <w:p>
      <w:pPr>
        <w:ind w:left="1420" w:right="599" w:hanging="426"/>
        <w:spacing w:after="0" w:line="263"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Liberal Share Recycling on Stock Options or SARs. </w:t>
      </w:r>
      <w:r>
        <w:rPr>
          <w:rFonts w:ascii="Times New Roman" w:cs="Times New Roman" w:eastAsia="Times New Roman" w:hAnsi="Times New Roman"/>
          <w:sz w:val="17"/>
          <w:szCs w:val="17"/>
          <w:color w:val="auto"/>
        </w:rPr>
        <w:t>The 2022 Omnibus Plan provides that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spacing w:after="0" w:line="308" w:lineRule="exact"/>
        <w:rPr>
          <w:rFonts w:ascii="Times New Roman" w:cs="Times New Roman" w:eastAsia="Times New Roman" w:hAnsi="Times New Roman"/>
          <w:sz w:val="17"/>
          <w:szCs w:val="17"/>
          <w:color w:val="auto"/>
        </w:rPr>
      </w:pPr>
    </w:p>
    <w:p>
      <w:pPr>
        <w:jc w:val="both"/>
        <w:ind w:left="1420" w:right="699" w:hanging="426"/>
        <w:spacing w:after="0" w:line="278"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or Cash Buyouts. </w:t>
      </w:r>
      <w:r>
        <w:rPr>
          <w:rFonts w:ascii="Times New Roman" w:cs="Times New Roman" w:eastAsia="Times New Roman" w:hAnsi="Times New Roman"/>
          <w:sz w:val="17"/>
          <w:szCs w:val="17"/>
          <w:color w:val="auto"/>
        </w:rPr>
        <w:t>Stock option and SAR repricing (including reducing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stock options or replacing an award with cash or another award type) is prohibited without stockholder approval under the 2022 Omnibus Plan.</w:t>
      </w:r>
    </w:p>
    <w:p>
      <w:pPr>
        <w:spacing w:after="0" w:line="93" w:lineRule="exact"/>
        <w:rPr>
          <w:rFonts w:ascii="Times New Roman" w:cs="Times New Roman" w:eastAsia="Times New Roman" w:hAnsi="Times New Roman"/>
          <w:sz w:val="17"/>
          <w:szCs w:val="17"/>
          <w:color w:val="auto"/>
        </w:rPr>
      </w:pPr>
    </w:p>
    <w:p>
      <w:pPr>
        <w:ind w:left="1420" w:right="719" w:hanging="426"/>
        <w:spacing w:after="0" w:line="278"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Dividends on Unvested Restricted Shares or RSUs. </w:t>
      </w:r>
      <w:r>
        <w:rPr>
          <w:rFonts w:ascii="Times New Roman" w:cs="Times New Roman" w:eastAsia="Times New Roman" w:hAnsi="Times New Roman"/>
          <w:sz w:val="17"/>
          <w:szCs w:val="17"/>
          <w:color w:val="auto"/>
        </w:rPr>
        <w:t>Under the 2022 Omnibus Plan,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Restricted Stock or Restricted Stock Units will not have any rights to receive dividends with respect to such Awards.</w:t>
      </w:r>
    </w:p>
    <w:p>
      <w:pPr>
        <w:spacing w:after="0" w:line="93" w:lineRule="exact"/>
        <w:rPr>
          <w:rFonts w:ascii="Times New Roman" w:cs="Times New Roman" w:eastAsia="Times New Roman" w:hAnsi="Times New Roman"/>
          <w:sz w:val="17"/>
          <w:szCs w:val="17"/>
          <w:color w:val="auto"/>
        </w:rPr>
      </w:pPr>
    </w:p>
    <w:p>
      <w:pPr>
        <w:ind w:left="1420" w:right="599" w:hanging="426"/>
        <w:spacing w:after="0" w:line="267"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Vesting Period. </w:t>
      </w:r>
      <w:r>
        <w:rPr>
          <w:rFonts w:ascii="Times New Roman" w:cs="Times New Roman" w:eastAsia="Times New Roman" w:hAnsi="Times New Roman"/>
          <w:sz w:val="17"/>
          <w:szCs w:val="17"/>
          <w:color w:val="auto"/>
        </w:rPr>
        <w:t>Generally, all awards will have a minimum vesting period of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subject to an exception of 5% of the aggregate shares authorized for grant under the 2022 Omnibus Plan and certain other limited exceptions as described below and in the 2022 Omnibus Plan. The Plan Amendment would provide that awards granted to directors will not be subject to a minimum vesting period.</w:t>
      </w:r>
    </w:p>
    <w:p>
      <w:pPr>
        <w:spacing w:after="0" w:line="91" w:lineRule="exact"/>
        <w:rPr>
          <w:rFonts w:ascii="Times New Roman" w:cs="Times New Roman" w:eastAsia="Times New Roman" w:hAnsi="Times New Roman"/>
          <w:sz w:val="17"/>
          <w:szCs w:val="17"/>
          <w:color w:val="auto"/>
        </w:rPr>
      </w:pPr>
    </w:p>
    <w:p>
      <w:pPr>
        <w:ind w:left="1420" w:right="719" w:hanging="426"/>
        <w:spacing w:after="0" w:line="278"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Subject to Forfeiture or Clawback. </w:t>
      </w:r>
      <w:r>
        <w:rPr>
          <w:rFonts w:ascii="Times New Roman" w:cs="Times New Roman" w:eastAsia="Times New Roman" w:hAnsi="Times New Roman"/>
          <w:sz w:val="17"/>
          <w:szCs w:val="17"/>
          <w:color w:val="auto"/>
        </w:rPr>
        <w:t>Awards under the 2022 Omnibus Plan will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clawback in certain circumstances as well as any other forfeiture and penalty conditions determined by the Compensation Committee in the Company’s clawback policy.</w:t>
      </w:r>
    </w:p>
    <w:p>
      <w:pPr>
        <w:spacing w:after="0" w:line="93" w:lineRule="exact"/>
        <w:rPr>
          <w:rFonts w:ascii="Times New Roman" w:cs="Times New Roman" w:eastAsia="Times New Roman" w:hAnsi="Times New Roman"/>
          <w:sz w:val="17"/>
          <w:szCs w:val="17"/>
          <w:color w:val="auto"/>
        </w:rPr>
      </w:pPr>
    </w:p>
    <w:p>
      <w:pPr>
        <w:jc w:val="both"/>
        <w:ind w:left="1420" w:right="799" w:hanging="426"/>
        <w:spacing w:after="0" w:line="278"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Automatic “Single Trigger” Vesting. </w:t>
      </w:r>
      <w:r>
        <w:rPr>
          <w:rFonts w:ascii="Times New Roman" w:cs="Times New Roman" w:eastAsia="Times New Roman" w:hAnsi="Times New Roman"/>
          <w:sz w:val="17"/>
          <w:szCs w:val="17"/>
          <w:color w:val="auto"/>
        </w:rPr>
        <w:t>The 2022 Omnibus Plan does not contain an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single-trigger vesting provision that would accelerate awards solely upon a change-in-control (as defined in the 2022 Omnibus Plan).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2022 Omnibus Plan</w:t>
      </w:r>
    </w:p>
    <w:p>
      <w:pPr>
        <w:spacing w:after="0" w:line="160"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A description of the provisions of the 2022 Omnibus Plan, as proposed to be amended by the Plan Amendment, is set forth below. This summary is qualified in its entirety by the detailed provisions of the amended 2022 Omnibus Plan. A copy of the 2022 Omnibus Plan, with the proposed amendments marked,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14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2022 Omnibus Plan will be administered a Committee, which shall consist of two (2) or more members of our Board appointed by our Board or such other committee of our Board to which it has properly delegated power, or if no such committee or subcommittee exists, our Board. To the extent required by applicable law, rule, or regulation, it is intended that each member of the Committee shall qualify as (a) a “non-employee director” under Rule 16b-3, and (b) an “independent director” under the rules of any national securities exchange or national securities association, as applicable.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 (b) promulgate, amend, and rescind any rules and regulations relating to the 2022 Omnibus Plan; (c) adopt sub-plans; and (d) to make any other determination and take any other action that the Committee deems necessary or desirable for the administration of the 2022 Omnibus Plan. Except to the extent prohibited by applicable law regulations, the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spacing w:after="0" w:line="11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Committee, may be made at any time and are final, conclusive, and binding upon all persons or entities, including, without limitation, Agrify, any Participant, any holder or beneficiary of any Award, and any of our stockholders. The Committee may make grants of the following Awards to Eligible Persons (defined below) pursuant to terms and conditions set forth in the applicable Award Agreement, including, subjecting such Awards to performance goals listed in the 2022 Omnibus Plan.</w:t>
      </w:r>
    </w:p>
    <w:p>
      <w:pPr>
        <w:spacing w:after="0" w:line="113" w:lineRule="exact"/>
        <w:rPr>
          <w:sz w:val="20"/>
          <w:szCs w:val="20"/>
          <w:color w:val="auto"/>
        </w:rPr>
      </w:pPr>
    </w:p>
    <w:p>
      <w:pPr>
        <w:ind w:left="1400" w:hanging="406"/>
        <w:spacing w:after="0"/>
        <w:tabs>
          <w:tab w:leader="none" w:pos="14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and Cash-Based Awards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maximum aggregate number of shares of Common Stock that may be issued or used for reference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purposes or with respect to which Awards may be granted under the 2022 Omnibus Plan shall be equal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2,000,000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number of shares of Common Stock underlying any award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granted under the 2020 Omnibus Equity Incentive Plan that expires, terminates or is canceled or forfeited under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terms of the 2020 Omnibus Plan. The maximum number of shares of Common Stock with respect to which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incentive stock options may be granted under the Plan shall be equal to the maximum number of shares issuable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under the 2022 Omnibus Plan. If any Option, Stock Appreciation Right, or Other Stock-Based Awards granted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under the Plan expires, terminates, or is canceled for any reason without having been exercised in full,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number of shares of Common Stock underlying any unexercised Award shall again be available for the purpose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Awards under the Plan. If any shares of Restricted Stock, Performance Share Awards, or Other Stock-</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Based Awards denominated in shares of Common Stock awarded under the Plan to a Participant are forfeited for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any reason, the number of forfeited shares of Restricted Stock, Performance Share Awards, or Other Stock-</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Based Awards denominated in shares of Common Stock shall again be available for purposes of Awards under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Plan. Shares of Common Stock subject to an Award shall not again be made available for issuance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delivery under the Plan if such shares are (a) shares tendered in payment of an Option, (b) shares delivered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withheld by Agrify to satisfy any tax withholding obligation (other than with respect to Restricted Stock,</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Restricted Stock Units and Performance Share Awards, in which case such shares will again be available for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issuance), or (c) shares covered by a stock-settled Stock Appreciation Right or other Awards that were not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issued upon the settlement of the Award. Any Award under the Plan settled in cash shall not be counted against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foregoing maximum share limitations. No shares have yet been issued nor Awards granted under the 2022</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Omnibus Plan.</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Participants</w:t>
      </w:r>
    </w:p>
    <w:p>
      <w:pPr>
        <w:spacing w:after="0" w:line="160"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Any employee of Agrify or any of its affiliates, any director, or person who is a consultant to Agrify, or any individuals designated by the Committee who are reasonably expected to become employees, consultants, or directors after the receipt of Awards (each, an “Eligible Person”) shall be permitted to participate (a “Participant”)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70" w:lineRule="auto"/>
        <w:rPr>
          <w:sz w:val="20"/>
          <w:szCs w:val="20"/>
          <w:color w:val="auto"/>
        </w:rPr>
      </w:pPr>
      <w:r>
        <w:rPr>
          <w:rFonts w:ascii="Times New Roman" w:cs="Times New Roman" w:eastAsia="Times New Roman" w:hAnsi="Times New Roman"/>
          <w:sz w:val="17"/>
          <w:szCs w:val="17"/>
          <w:color w:val="auto"/>
        </w:rPr>
        <w:t>under the 2022 Omnibus Plan. Only Eligible Persons who are also employees of Agrify or its affiliates are eligible to receive incentive stock options under the 2022 Omnibus Plan. Eligibility for the grant of an incentive stock option and actual participation in the 2022 Omnibus Plan shall be determined by the Committee in its sole discretion.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160"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The holder of an option will be entitled to purchase a number of our shares of Common Stock at a specified exercise price during a specified time period, all as determined by the Compensation Committee. The Committee may grant non-qualified stock options and incentive stock options (“Options”) to Eligible Persons. All Options granted under the 2022 Omnibus Plan are required to have a per share exercise price that is not less than one hundred percent (100%) of the fair market value of Agrify’s Common Stock underlying such stock options on the date such Options are granted (other than in the case of Options that are substitute Awards).</w:t>
      </w:r>
    </w:p>
    <w:p>
      <w:pPr>
        <w:spacing w:after="0" w:line="5" w:lineRule="exact"/>
        <w:rPr>
          <w:sz w:val="20"/>
          <w:szCs w:val="20"/>
          <w:color w:val="auto"/>
        </w:rPr>
      </w:pPr>
    </w:p>
    <w:p>
      <w:pPr>
        <w:ind w:left="580" w:right="659"/>
        <w:spacing w:after="0" w:line="258" w:lineRule="auto"/>
        <w:rPr>
          <w:sz w:val="20"/>
          <w:szCs w:val="20"/>
          <w:color w:val="auto"/>
        </w:rPr>
      </w:pPr>
      <w:r>
        <w:rPr>
          <w:rFonts w:ascii="Times New Roman" w:cs="Times New Roman" w:eastAsia="Times New Roman" w:hAnsi="Times New Roman"/>
          <w:sz w:val="17"/>
          <w:szCs w:val="17"/>
          <w:color w:val="auto"/>
        </w:rPr>
        <w:t>The maximum term for Options granted under the 2022 Omnibus Plan will be ten (10) years from the initial date of grant. The purchase price for the shares as to which a Option is exercised may be paid, to the extent permitted by law, either (a) in cash or by certified or bank check at the time the Option is exercised or (b) in the discretion of the Committee, upon such terms as the Committee shall approve, including: (i) by delivery to Agrify of other Common Stock, duly endorsed for transfer to Agrify,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160"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Committee may grant Stock Appreciation Rights under the 2022 Omnibus Plan, with terms and conditions determined by the Committee that are not inconsistent with the 2022 Omnibus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(i) the excess of</w:t>
      </w:r>
    </w:p>
    <w:p>
      <w:pPr>
        <w:spacing w:after="0" w:line="3" w:lineRule="exact"/>
        <w:rPr>
          <w:sz w:val="20"/>
          <w:szCs w:val="20"/>
          <w:color w:val="auto"/>
        </w:rPr>
      </w:pPr>
    </w:p>
    <w:p>
      <w:pPr>
        <w:ind w:left="580" w:right="599" w:hanging="6"/>
        <w:spacing w:after="0" w:line="261" w:lineRule="auto"/>
        <w:tabs>
          <w:tab w:leader="none" w:pos="86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Committee at the time of grant, but in no event may such amount be less than one hundred percent (100%) of the fair market value of a share of Common Stock on the date the Stock Appreciation Right is granted.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147"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color w:val="auto"/>
        </w:rPr>
        <w:t>The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w:t>
      </w:r>
    </w:p>
    <w:p>
      <w:pPr>
        <w:spacing w:after="0" w:line="2"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sole discretion of the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60" w:lineRule="exact"/>
        <w:rPr>
          <w:sz w:val="20"/>
          <w:szCs w:val="20"/>
          <w:color w:val="auto"/>
        </w:rPr>
      </w:pPr>
    </w:p>
    <w:p>
      <w:pPr>
        <w:ind w:left="580" w:right="639" w:firstLine="419"/>
        <w:spacing w:after="0" w:line="274" w:lineRule="auto"/>
        <w:rPr>
          <w:sz w:val="20"/>
          <w:szCs w:val="20"/>
          <w:color w:val="auto"/>
        </w:rPr>
      </w:pPr>
      <w:r>
        <w:rPr>
          <w:rFonts w:ascii="Times New Roman" w:cs="Times New Roman" w:eastAsia="Times New Roman" w:hAnsi="Times New Roman"/>
          <w:sz w:val="17"/>
          <w:szCs w:val="17"/>
          <w:color w:val="auto"/>
        </w:rPr>
        <w:t>The Committee may grant Performance Share Awards to a Participant payable upon the attainment of specific performance goals. Each Performance Share Award shall be evidenced by an Award Agreement in such form that is not inconsistent with the 2022 Omnibus Plan and that the Committee may from time to time approve.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Equity-Based and Cash-Based Awards</w:t>
      </w:r>
    </w:p>
    <w:p>
      <w:pPr>
        <w:spacing w:after="0" w:line="147"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Committee may grant other equity-based or cash-based Awards under the 2022 Omnibus Plan, with terms and conditions determined by the Committee that are not inconsistent with the 2022 Omnibus Plan.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Certain Corporate Transactions and Events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spacing w:after="0" w:line="113"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any Change in Control of Agrify (as such term is defined in the 2022 Omnibus Plan, a “Change in Control”), the Committee may, in its sole discretion,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Nontransferability of Awards</w:t>
      </w:r>
    </w:p>
    <w:p>
      <w:pPr>
        <w:spacing w:after="0" w:line="147"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Committee may determine, in its sole discretion, that a non-qualified stock option may be transferred to a family member, or to certain trusts or foundations or other transferees as permitted by the Committee (“Permitted Transferee”). A non-qualified stock option that is transferred to a Permitted Transferee will remain subject to the terms of the 2022 Omnibus Plan and the applicable Award Agreement.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Minimum Vesting Requirements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No award will be granted with a lapse of any vesting obligations earlier than at least one year following the date of grant. Notwithstanding the foregoing, the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and (iv) the Committee’s discretion to provide for accelerated exercisability or vesting of any award, including in cases of retirement, death, disability or a change-in-control, in the terms of the award or otherwise.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Clawback and Recoupment</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Awards under the 2022 Omnibus Plan will be subject to recovery or “clawback” by us if and to the extent that the vesting of such awards was determined or calculated based on materially inaccurate financial statements or any other material inaccurate performance metric criteria, and if the Company or any of its subsidiaries terminate a participant’s service relationship due to the grantee’s gross negligence or willful misconduct, which conduct, directly or indirectly, results in the Company preparing an accounting restatement. Awards will also be subject to any clawback policy we may have in effect from time to time.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shareholder approval of the 2022 Omnibus Plan.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162(m) of the Internal Revenue Code</w:t>
      </w:r>
    </w:p>
    <w:p>
      <w:pPr>
        <w:spacing w:after="0" w:line="160"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As a general rule, we will be entitled to a deduction in the same amount and at the same time as the compensation income is received by the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Federal Income Tax Consequences</w:t>
      </w:r>
    </w:p>
    <w:p>
      <w:pPr>
        <w:spacing w:after="0" w:line="147"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federal income tax (and to some extent, estate tax) consequences that would accrue to Agrify and the grantee under current tax laws. Such laws and their interpretation by the Internal Revenue Service are subject to change. The general consequences described in this summary may not apply in unusual situations.</w:t>
      </w:r>
    </w:p>
    <w:p>
      <w:pPr>
        <w:spacing w:after="0" w:line="101" w:lineRule="exact"/>
        <w:rPr>
          <w:sz w:val="20"/>
          <w:szCs w:val="20"/>
          <w:color w:val="auto"/>
        </w:rPr>
      </w:pPr>
    </w:p>
    <w:p>
      <w:pPr>
        <w:ind w:left="580" w:right="7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Non-Qualified Options. </w:t>
      </w:r>
      <w:r>
        <w:rPr>
          <w:rFonts w:ascii="Times New Roman" w:cs="Times New Roman" w:eastAsia="Times New Roman" w:hAnsi="Times New Roman"/>
          <w:sz w:val="17"/>
          <w:szCs w:val="17"/>
          <w:color w:val="auto"/>
        </w:rPr>
        <w:t>The grant of an option will not be a taxable event for the grantee 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spacing w:after="0" w:line="10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If we comply with applicable reporting requirements and with the restrictions of Section 162(m), we will be entitled to a business expense deduction in the same amount and generally at the same time as the grantee recognizes ordinary income.</w:t>
      </w:r>
    </w:p>
    <w:p>
      <w:pPr>
        <w:spacing w:after="0" w:line="85"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spacing w:after="0" w:line="110" w:lineRule="exact"/>
        <w:rPr>
          <w:sz w:val="20"/>
          <w:szCs w:val="20"/>
          <w:color w:val="auto"/>
        </w:rPr>
      </w:pPr>
    </w:p>
    <w:p>
      <w:pPr>
        <w:ind w:left="580" w:right="63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The grant of an Option will not be a taxable event for the grantee or for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79"/>
        <w:spacing w:after="0" w:line="276" w:lineRule="auto"/>
        <w:rPr>
          <w:sz w:val="20"/>
          <w:szCs w:val="20"/>
          <w:color w:val="auto"/>
        </w:rPr>
      </w:pPr>
      <w:r>
        <w:rPr>
          <w:rFonts w:ascii="Times New Roman" w:cs="Times New Roman" w:eastAsia="Times New Roman" w:hAnsi="Times New Roman"/>
          <w:sz w:val="17"/>
          <w:szCs w:val="17"/>
          <w:color w:val="auto"/>
        </w:rPr>
        <w:t>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9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spacing w:after="0" w:line="98"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spacing w:after="0" w:line="91" w:lineRule="exact"/>
        <w:rPr>
          <w:sz w:val="20"/>
          <w:szCs w:val="20"/>
          <w:color w:val="auto"/>
        </w:rPr>
      </w:pPr>
    </w:p>
    <w:p>
      <w:pPr>
        <w:jc w:val="both"/>
        <w:ind w:left="580" w:right="6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grantee who is awarded Restricted Stock will not recognize any taxable income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purposes in the year of the Award, provided that the shares of Common Stock are subject to restrictions (that is, the Restricted Stock is nontransferable and subject to a substantial risk of forfeiture).</w:t>
      </w:r>
    </w:p>
    <w:p>
      <w:pPr>
        <w:spacing w:after="0" w:line="1" w:lineRule="exact"/>
        <w:rPr>
          <w:sz w:val="20"/>
          <w:szCs w:val="20"/>
          <w:color w:val="auto"/>
        </w:rPr>
      </w:pPr>
    </w:p>
    <w:p>
      <w:pPr>
        <w:ind w:left="580" w:right="639"/>
        <w:spacing w:after="0" w:line="259" w:lineRule="auto"/>
        <w:rPr>
          <w:sz w:val="20"/>
          <w:szCs w:val="20"/>
          <w:color w:val="auto"/>
        </w:rPr>
      </w:pPr>
      <w:r>
        <w:rPr>
          <w:rFonts w:ascii="Times New Roman" w:cs="Times New Roman" w:eastAsia="Times New Roman" w:hAnsi="Times New Roman"/>
          <w:sz w:val="17"/>
          <w:szCs w:val="17"/>
          <w:color w:val="auto"/>
        </w:rPr>
        <w:t>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spacing w:after="0" w:line="112"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There are no immediate tax consequences of receiving an award of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There are no immediate tax consequences of receiving an award of SARs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spacing w:after="0" w:line="93" w:lineRule="exact"/>
        <w:rPr>
          <w:sz w:val="20"/>
          <w:szCs w:val="20"/>
          <w:color w:val="auto"/>
        </w:rPr>
      </w:pPr>
    </w:p>
    <w:p>
      <w:pPr>
        <w:ind w:left="580" w:right="6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Performance Share Awards, Other Stock-Based Awards, and Cash-Based Awards. </w:t>
      </w:r>
      <w:r>
        <w:rPr>
          <w:rFonts w:ascii="Times New Roman" w:cs="Times New Roman" w:eastAsia="Times New Roman" w:hAnsi="Times New Roman"/>
          <w:sz w:val="17"/>
          <w:szCs w:val="17"/>
          <w:color w:val="auto"/>
        </w:rPr>
        <w:t>The tax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Performance Share Awards, other stock-based awards and cash-based awards will depend on the structure of such awards.</w:t>
      </w:r>
    </w:p>
    <w:p>
      <w:pPr>
        <w:spacing w:after="0" w:line="94" w:lineRule="exact"/>
        <w:rPr>
          <w:sz w:val="20"/>
          <w:szCs w:val="20"/>
          <w:color w:val="auto"/>
        </w:rPr>
      </w:pPr>
    </w:p>
    <w:p>
      <w:pPr>
        <w:ind w:left="580" w:right="65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We intend for awards granted under the plan to comply with Section 409A of the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On November 28, 2023, the Compensation Committee and the Board of Directors approved grants of an aggregate of 201,938 Restricted Stock Units under the Omnibus 2022 Plan to directors, which are contingent on approval of the Plan Amendment by our stockholders (the “Contingent Grants”). The table below provides additional information with respect to the Contingent Grants. Other than the Contingent Grants, it is not possible to</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839"/>
        <w:spacing w:after="0" w:line="276" w:lineRule="auto"/>
        <w:rPr>
          <w:sz w:val="20"/>
          <w:szCs w:val="20"/>
          <w:color w:val="auto"/>
        </w:rPr>
      </w:pPr>
      <w:r>
        <w:rPr>
          <w:rFonts w:ascii="Times New Roman" w:cs="Times New Roman" w:eastAsia="Times New Roman" w:hAnsi="Times New Roman"/>
          <w:sz w:val="17"/>
          <w:szCs w:val="17"/>
          <w:color w:val="auto"/>
        </w:rPr>
        <w:t>determine the benefits that will be received in the future by participants in the 2022 Omnibus Plan because awards to be granted under the 2022 Omnibus Plan are at the discretion of the Compensation Committee and the Board of Directors.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Dollar Value</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208"/>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Raymond Chang </w:t>
            </w:r>
            <w:r>
              <w:rPr>
                <w:rFonts w:ascii="Times New Roman" w:cs="Times New Roman" w:eastAsia="Times New Roman" w:hAnsi="Times New Roman"/>
                <w:sz w:val="17"/>
                <w:szCs w:val="17"/>
                <w:i w:val="1"/>
                <w:iCs w:val="1"/>
                <w:color w:val="auto"/>
              </w:rPr>
              <w:t>– Chairman and Chief Executive Officer</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David Kessler </w:t>
            </w:r>
            <w:r>
              <w:rPr>
                <w:rFonts w:ascii="Times New Roman" w:cs="Times New Roman" w:eastAsia="Times New Roman" w:hAnsi="Times New Roman"/>
                <w:sz w:val="17"/>
                <w:szCs w:val="17"/>
                <w:i w:val="1"/>
                <w:iCs w:val="1"/>
                <w:color w:val="auto"/>
              </w:rPr>
              <w:t>– Chief Science Officer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as a group</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who are not executive officers, as a group</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306,925.57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201,938</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as a group (excluding executive officers)</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40" w:type="dxa"/>
            <w:vAlign w:val="bottom"/>
            <w:gridSpan w:val="2"/>
            <w:vMerge w:val="continue"/>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306,925.57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201,938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Reference is hereby made to the “Equity Compensation Plan Table” table on page 19 of this Proxy</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Statement which is incorporated by reference into this Item 6 and provides certain details on our current plans.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amendment to the 2022 Omnibus Plan to increase the number of shares available for issuance thereunder by 250,000 and to revise the minimum vesting provision.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45" w:lineRule="exact"/>
        <w:rPr>
          <w:sz w:val="20"/>
          <w:szCs w:val="20"/>
          <w:color w:val="auto"/>
        </w:rPr>
      </w:pPr>
    </w:p>
    <w:p>
      <w:pPr>
        <w:ind w:left="580" w:right="65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amendment to the 2022 Omnibus Plan to increase the number of shares available for issuance thereunder by 250,000 and to revise the minimum vesting provision.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ITEM 7 — APPROVAL OF THE ADJOURNMENT OF THE ANNUAL MEETING IN ORDER TO SOLICIT ADDITIONAL PROXIES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 of and Rationale for the Adjournment Proposal</w:t>
      </w:r>
    </w:p>
    <w:p>
      <w:pPr>
        <w:spacing w:after="0" w:line="147" w:lineRule="exact"/>
        <w:rPr>
          <w:sz w:val="20"/>
          <w:szCs w:val="20"/>
          <w:color w:val="auto"/>
        </w:rPr>
      </w:pPr>
    </w:p>
    <w:p>
      <w:pPr>
        <w:jc w:val="both"/>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Our Board of Directors believes that, if the number of affirmative votes received from the holders of our Common Stock are insufficient to approve any of the other Items being considered at the Annual Meeting, it is in the best interests of the stockholders to enable the Board to continue to seek to obtain a sufficient number of additional affirmative votes to approve that Item.</w:t>
      </w:r>
    </w:p>
    <w:p>
      <w:pPr>
        <w:spacing w:after="0" w:line="103" w:lineRule="exact"/>
        <w:rPr>
          <w:sz w:val="20"/>
          <w:szCs w:val="20"/>
          <w:color w:val="auto"/>
        </w:rPr>
      </w:pPr>
    </w:p>
    <w:p>
      <w:pPr>
        <w:jc w:val="both"/>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In this Item 7, we are asking stockholders to authorize the holder of any proxy solicited by the Board to vote in favor of adjourning the Annual Meeting or any adjournment thereof. If our stockholders approve this proposal, we could adjourn the Annual Meeting, and any adjourned session of the Annual Meeting, to use the additional time to solicit additional proxies in favor of the other applicable Items.</w:t>
      </w:r>
    </w:p>
    <w:p>
      <w:pPr>
        <w:spacing w:after="0" w:line="103" w:lineRule="exact"/>
        <w:rPr>
          <w:sz w:val="20"/>
          <w:szCs w:val="20"/>
          <w:color w:val="auto"/>
        </w:rPr>
      </w:pPr>
    </w:p>
    <w:p>
      <w:pPr>
        <w:ind w:left="580" w:right="799" w:firstLine="419"/>
        <w:spacing w:after="0" w:line="267" w:lineRule="auto"/>
        <w:rPr>
          <w:sz w:val="20"/>
          <w:szCs w:val="20"/>
          <w:color w:val="auto"/>
        </w:rPr>
      </w:pPr>
      <w:r>
        <w:rPr>
          <w:rFonts w:ascii="Times New Roman" w:cs="Times New Roman" w:eastAsia="Times New Roman" w:hAnsi="Times New Roman"/>
          <w:sz w:val="17"/>
          <w:szCs w:val="17"/>
          <w:color w:val="auto"/>
        </w:rPr>
        <w:t>Additionally, approval of the Adjournment Proposal could mean that, in the event we receive proxies indicating that a majority of the voting power of the outstanding voting stock present in person or represented by proxy at the Annual Meeting and entitled to vote thereon have voted against any of Items 1 through 6 or abstained from voting on such proposals, we could adjourn the Annual Meeting without a vote on such Items and use the additional time to solicit the holders of those shares to change their vote in favor of such Items.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adjournment of the Annual Meeting in order to solicit additional proxies if there are not sufficient shares to be voted in favor of Items 1 through 6.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65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adjournment of the Annual Meeting in order to solicit additional proxies if there are not sufficient shares to be voted in favor of Items 1 through 6.</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Annual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We have engaged Alliance Advisors, LLC to assist in the solicitation of proxies, for a services fee and the reimbursement of customary disbursements, which are not expected to exceed approximately $15,000 in total.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spacing w:after="0" w:line="106"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In order to identify and address concerns regarding related party transactions and their disclosures, the Company uses Director and Officer Questionnaires and its conduct and ethics policies. The Company also considers the independence of its directors. The discussion of the independence of the directors is included under “</w:t>
      </w:r>
      <w:r>
        <w:rPr>
          <w:rFonts w:ascii="Times New Roman" w:cs="Times New Roman" w:eastAsia="Times New Roman" w:hAnsi="Times New Roman"/>
          <w:sz w:val="17"/>
          <w:szCs w:val="17"/>
          <w:i w:val="1"/>
          <w:iCs w:val="1"/>
          <w:color w:val="auto"/>
        </w:rPr>
        <w:t>Corporate Governance — Board and Board Committee Matters</w:t>
      </w:r>
      <w:r>
        <w:rPr>
          <w:rFonts w:ascii="Times New Roman" w:cs="Times New Roman" w:eastAsia="Times New Roman" w:hAnsi="Times New Roman"/>
          <w:sz w:val="17"/>
          <w:szCs w:val="17"/>
          <w:color w:val="auto"/>
        </w:rPr>
        <w:t>” elsewhere in this proxy statement.</w:t>
      </w:r>
    </w:p>
    <w:p>
      <w:pPr>
        <w:spacing w:after="0" w:line="103"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spacing w:after="0" w:line="31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All Company employees must deal with vendors, customers and others doing business with the Company in a manner that avoids even the appearance of conflict between personal interests and those of the Company. Potential conflicts of interest may arise from any of the following:</w:t>
      </w:r>
    </w:p>
    <w:p>
      <w:pPr>
        <w:spacing w:after="0" w:line="112" w:lineRule="exact"/>
        <w:rPr>
          <w:sz w:val="20"/>
          <w:szCs w:val="20"/>
          <w:color w:val="auto"/>
        </w:rPr>
      </w:pPr>
    </w:p>
    <w:p>
      <w:pPr>
        <w:ind w:left="1420" w:right="879" w:hanging="426"/>
        <w:spacing w:after="0" w:line="276"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or indirect financial interest in any business or organization that is a Company vendor or competitor, if the employee or director can influence decisions with respect to the Company’s business with respect to such business or organization; and</w:t>
      </w:r>
    </w:p>
    <w:p>
      <w:pPr>
        <w:spacing w:after="0" w:line="98"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board of directors of, or being employed in any capacity by, a vendor, competitor or customer of the Company.</w:t>
      </w:r>
    </w:p>
    <w:p>
      <w:pPr>
        <w:spacing w:after="0" w:line="68"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authorized to review all potential conflicts of interest involving directors and executive officers.</w:t>
      </w:r>
    </w:p>
    <w:p>
      <w:pPr>
        <w:spacing w:after="0" w:line="81"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spacing w:after="0" w:line="103" w:lineRule="exact"/>
        <w:rPr>
          <w:sz w:val="20"/>
          <w:szCs w:val="20"/>
          <w:color w:val="auto"/>
        </w:rPr>
      </w:pPr>
    </w:p>
    <w:p>
      <w:pPr>
        <w:ind w:left="1420" w:right="619" w:hanging="426"/>
        <w:spacing w:after="0" w:line="270"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89" w:lineRule="exact"/>
        <w:rPr>
          <w:rFonts w:ascii="Times New Roman" w:cs="Times New Roman" w:eastAsia="Times New Roman" w:hAnsi="Times New Roman"/>
          <w:sz w:val="17"/>
          <w:szCs w:val="17"/>
          <w:color w:val="auto"/>
        </w:rPr>
      </w:pPr>
    </w:p>
    <w:p>
      <w:pPr>
        <w:ind w:left="1420" w:right="619" w:hanging="426"/>
        <w:spacing w:after="0" w:line="274"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p>
      <w:pPr>
        <w:spacing w:after="0" w:line="312"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are prohibited from directly or indirectly competing or performing services for any person or entity in competition with,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779" w:hanging="426"/>
        <w:spacing w:after="0" w:line="29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comply with the policies set forth in this Code of Conduct and Business Ethics regarding the receipt or giving of gifts, favors or entertainment.</w:t>
      </w:r>
    </w:p>
    <w:p>
      <w:pPr>
        <w:spacing w:after="0" w:line="81" w:lineRule="exact"/>
        <w:rPr>
          <w:rFonts w:ascii="Times New Roman" w:cs="Times New Roman" w:eastAsia="Times New Roman" w:hAnsi="Times New Roman"/>
          <w:sz w:val="17"/>
          <w:szCs w:val="17"/>
          <w:color w:val="auto"/>
        </w:rPr>
      </w:pPr>
    </w:p>
    <w:p>
      <w:pPr>
        <w:ind w:left="1420" w:right="639" w:hanging="426"/>
        <w:spacing w:after="0" w:line="270"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p>
      <w:pPr>
        <w:spacing w:after="0" w:line="102" w:lineRule="exact"/>
        <w:rPr>
          <w:rFonts w:ascii="Times New Roman" w:cs="Times New Roman" w:eastAsia="Times New Roman" w:hAnsi="Times New Roman"/>
          <w:sz w:val="17"/>
          <w:szCs w:val="17"/>
          <w:color w:val="auto"/>
        </w:rPr>
      </w:pPr>
    </w:p>
    <w:p>
      <w:pPr>
        <w:ind w:left="1420" w:right="1279" w:hanging="426"/>
        <w:spacing w:after="0" w:line="29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not sell or lease equipment, materials or property to the Company without appropriate corporate authority.</w:t>
      </w:r>
    </w:p>
    <w:p>
      <w:pPr>
        <w:spacing w:after="0" w:line="67"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purchase Company equipment, materials or property only on terms available to the general public.</w:t>
      </w:r>
    </w:p>
    <w:p>
      <w:pPr>
        <w:spacing w:after="0" w:line="81"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Any employee or director who becomes aware of a conflict is required to bring it to the attention of a supervisor, management or other appropriate personnel.</w:t>
      </w:r>
    </w:p>
    <w:p>
      <w:pPr>
        <w:spacing w:after="0" w:line="81"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Directors are expected and required to uphold the same dedication to corporate ethics as the Company’s employees.</w:t>
      </w:r>
    </w:p>
    <w:p>
      <w:pPr>
        <w:spacing w:after="0" w:line="68"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a conflict of interest arises involving an executive officer or director, the Board must approve a waiver to the Code of Conduct and Business Ethics and if a director has the conflict, that director must abstain from the approval. Waivers are made on a case-by-case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Promissory Notes with Entities Affiliated with Raymond Chang</w:t>
      </w:r>
    </w:p>
    <w:p>
      <w:pPr>
        <w:spacing w:after="0" w:line="160"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On July 12, 2023, we issued an unsecured promissory note with an original principal amount of $500,000 in favor of GIC Acquisition, LLC (“GIC”), an entity that is partially owned and managed by Raymond Chang, our Chairman and Chief Executive Officer. The note bears interest at a rate of 10% per annum. On October 27, 2023, we and GIC amended and restated the note. Pursuant to the terms of the restated note, the maturity date was extended until December 31, 2023 and we granted a security interest in our assets that ranks junior to the notes acquired by CP Acquisition from the Former Lender.</w:t>
      </w:r>
    </w:p>
    <w:p>
      <w:pPr>
        <w:spacing w:after="0" w:line="106"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Also on October 27, 2023, we issued a junior secured promissory note to CP Acquisitions. Pursuant to that note, the CP Acquisitions will lend up to $3,000,000 to us, of which $2,000,000 was drawn at the time of issuance. The junior secured promissory note bears interest at a rate of 10% per annum, will mature in full on December 31, 2023, and may be prepaid without any fee or penalty. The note is a secured obligation that ranks junior to the notes acquired by CP Acquisitions from the Former Lender.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Acquisition of Notes from Former Lender</w:t>
      </w:r>
    </w:p>
    <w:p>
      <w:pPr>
        <w:spacing w:after="0" w:line="147" w:lineRule="exact"/>
        <w:rPr>
          <w:sz w:val="20"/>
          <w:szCs w:val="20"/>
          <w:color w:val="auto"/>
        </w:rPr>
      </w:pPr>
    </w:p>
    <w:p>
      <w:pPr>
        <w:jc w:val="both"/>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As further described in Items 4 and 5, on October 27, 2023, CP Acquisitions acquired the Convertible Note and the Exchange Note from the Former Lender. Raymond Chang, our Chairman and Chief Executive Officer, is a part owner of and controls CP Acquisitions.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Enozo</w:t>
      </w:r>
    </w:p>
    <w:p>
      <w:pPr>
        <w:spacing w:after="0" w:line="160"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Guichao Hua, a member of our board of directors, and Raymond Chang, our Chairman of the Board and Chief Executive Officer, each have ownership interests and are board members of Enozo Technologies Inc. (“Enozo”).</w:t>
      </w:r>
    </w:p>
    <w:p>
      <w:pPr>
        <w:spacing w:after="0" w:line="98" w:lineRule="exact"/>
        <w:rPr>
          <w:sz w:val="20"/>
          <w:szCs w:val="20"/>
          <w:color w:val="auto"/>
        </w:rPr>
      </w:pPr>
    </w:p>
    <w:p>
      <w:pPr>
        <w:jc w:val="both"/>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On March 9, 2020, the Company entered into a distribution agreement with Enozo, for an initial term of five years with auto renewal for successive one-year periods unless earlier terminated. The agreement contains the following minimum purchases to retain exclusive distributor status for one of the Company’s products: for the period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from the contract date until December 31, 2021 for $375,000, for the year ended December 31, 2022 for</w:t>
      </w:r>
    </w:p>
    <w:p>
      <w:pPr>
        <w:spacing w:after="0" w:line="32" w:lineRule="exact"/>
        <w:rPr>
          <w:sz w:val="20"/>
          <w:szCs w:val="20"/>
          <w:color w:val="auto"/>
        </w:rPr>
      </w:pPr>
    </w:p>
    <w:p>
      <w:pPr>
        <w:jc w:val="both"/>
        <w:ind w:left="580" w:right="619"/>
        <w:spacing w:after="0" w:line="265" w:lineRule="auto"/>
        <w:rPr>
          <w:sz w:val="20"/>
          <w:szCs w:val="20"/>
          <w:color w:val="auto"/>
        </w:rPr>
      </w:pPr>
      <w:r>
        <w:rPr>
          <w:rFonts w:ascii="Times New Roman" w:cs="Times New Roman" w:eastAsia="Times New Roman" w:hAnsi="Times New Roman"/>
          <w:sz w:val="17"/>
          <w:szCs w:val="17"/>
          <w:color w:val="auto"/>
        </w:rPr>
        <w:t>$750,000, and for the year ended December 31, 2023 for $1,100,000, which amount may increase by 3% for the later years. The Company had no purchases of Enozo product for the year ended December 31, 2022, compared to $40,000 for the year ended December 31, 2021.</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Securities Purchase Agreement with RTC3 2020 Irrevocable Family Trust and Stuart Wilcox</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December 20, 2022, as part of our public offering of shares of Common Stock and warrants, the RTC3</w:t>
      </w:r>
    </w:p>
    <w:p>
      <w:pPr>
        <w:spacing w:after="0" w:line="32"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2020 Irrevocable Family Trust purchased 115,385 shares of Common Stock and warrants to purchase 230,770 shares of Common Stock. The purchase price per share of Common Stock and warrant was $13.00.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Public Offering Purchases by RTC3 2020 Irrevocable Family Trust</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On January 28, 2022, as part of our private placement financing, we entered into a Securities Purchase Agreement with parties including the RTC3 2020 Irrevocable Family Trust and Stuart Wilcox. Pursuant to that agreement, we sold 1,812 shares of Common Stock and warrants to purchase 1,359 shares of Common Stock to each of the RTC3 2020 Irrevocable Family Trust and Mr. Wilcox. The purchase price per share of Common Stock and partial warrant was $138.00.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Greenstone Holdings (“Greenstone”)</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Greenstone is a related party because one of our former Agrify Brands employees and our VP of Engineering had a minority ownership, and is a customer of Agrify’s that is in the process of installing Vertical Farming Units (“VFUs”) in its indoor growing facility in Denver, Colorado. The Company has generated revenues from Greenstone through both construction services and the sale of VFUs. A current and former non-executive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$648,000 during the year ended December 31, 2022 and $9,429,000 during the year ended December 31, 2021. Additionally, the Company made purchases from Greenstone totaling approximately $1.0 million in 2022.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The Board is not aware of any other matter to be presented for action at the Annual Meeting. If any other matter requiring a vote of stockholders should arise, then the proxies (or their substitutes) will vote in accordance with their best judgment.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ind w:left="580" w:right="699" w:firstLine="419"/>
        <w:spacing w:after="0" w:line="259" w:lineRule="auto"/>
        <w:rPr>
          <w:sz w:val="20"/>
          <w:szCs w:val="20"/>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6" w:lineRule="exact"/>
        <w:rPr>
          <w:sz w:val="20"/>
          <w:szCs w:val="20"/>
          <w:color w:val="auto"/>
        </w:rPr>
      </w:pPr>
    </w:p>
    <w:p>
      <w:pPr>
        <w:ind w:left="580" w:right="679" w:hanging="6"/>
        <w:spacing w:after="0" w:line="257" w:lineRule="auto"/>
        <w:tabs>
          <w:tab w:leader="none" w:pos="82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ind w:left="580" w:right="63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 In order for stockholders to give timely notice of nominations for directors for inclusion on a universal proxy card in connection with the 2024 Annual Meeting, notice must be submitted by the same deadline as discussed above under the advance notice provision of our By-laws and must include the information in the notice required by our Amended and Restated Bylaws and by Rule 14a-19(b)(2) under the Securities Exchange Act of 1934, as amended.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2024 Annual Meeting of Stockholders</w:t>
      </w:r>
    </w:p>
    <w:p>
      <w:pPr>
        <w:spacing w:after="0" w:line="147"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To be considered for presentation at our 2024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2024 Annual Meeting of Stockholders, but not included in the proxy statement or on the proxy card that are submitted outside the proposal process identified in the preceding sentence, if we do not receive notice of any such matter that a stockholder wishes to raise at the 2024 Annual Meeting of Stockholders during the period described under “Advance Notice Procedures” above, then no business matters, other than those included in the notice of Annual Meeting for the 2024 Annual Meeting of Stockholders, may properly come before the 2024 Annual Meeting of Stockholders. All proposals and notifications for the 2024 Annual Meeting of Stockholders should be addressed in writing to the attention of the Corporate Secretary, Agrify Corporation, 2468 Industrial Row Drive, Troy, Michigan 48084 and should satisfy the particular requirements of our Amended and Restated Bylaws.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ind w:left="580" w:right="9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2022 Annual Report on Form 10-K accompanies this proxy statement (the Form 10-K”). The Form 10-K for the year ended December 31, 2022 was filed with the SEC on November 28, 2023. </w:t>
      </w:r>
      <w:r>
        <w:rPr>
          <w:rFonts w:ascii="Times New Roman" w:cs="Times New Roman" w:eastAsia="Times New Roman" w:hAnsi="Times New Roman"/>
          <w:sz w:val="17"/>
          <w:szCs w:val="17"/>
          <w:b w:val="1"/>
          <w:bCs w:val="1"/>
          <w:color w:val="auto"/>
        </w:rPr>
        <w:t>We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furnish, upon written request of any stockholder and the payment of an appropriate processing fee, copies of the exhibits to our Annual Report on Form 10-K. Please address all such requests to Agrify Corporation, 2468 Industrial Row Drive, Troy, Michigan 48084, Attention: Corporate Secretary.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Agrify Corporation, 2468 Industrial Row Drive, Troy, Michigan 48084, Attention: Corporate Secretary, (855) 420-0020, or you can request a copy of any such document by visiting the 2022 Annual Meeting page of our Internet website</w:t>
      </w:r>
    </w:p>
    <w:p>
      <w:pPr>
        <w:spacing w:after="0" w:line="5" w:lineRule="exact"/>
        <w:rPr>
          <w:sz w:val="20"/>
          <w:szCs w:val="20"/>
          <w:color w:val="auto"/>
        </w:rPr>
      </w:pPr>
    </w:p>
    <w:p>
      <w:pPr>
        <w:ind w:left="580" w:right="719"/>
        <w:spacing w:after="0" w:line="263" w:lineRule="auto"/>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71"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OMNIBUS EQUITY INCENTIVE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(marked to show proposed changes)</w:t>
      </w:r>
    </w:p>
    <w:p>
      <w:pPr>
        <w:spacing w:after="0" w:line="160" w:lineRule="exact"/>
        <w:rPr>
          <w:sz w:val="20"/>
          <w:szCs w:val="20"/>
          <w:color w:val="auto"/>
        </w:rPr>
      </w:pPr>
    </w:p>
    <w:p>
      <w:pPr>
        <w:ind w:left="1380" w:hanging="386"/>
        <w:spacing w:after="0"/>
        <w:tabs>
          <w:tab w:leader="none" w:pos="13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 Eligibility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right="619" w:firstLine="419"/>
        <w:spacing w:after="0" w:line="265" w:lineRule="auto"/>
        <w:rPr>
          <w:sz w:val="20"/>
          <w:szCs w:val="20"/>
          <w:color w:val="auto"/>
        </w:rPr>
      </w:pPr>
      <w:r>
        <w:rPr>
          <w:rFonts w:ascii="Times New Roman" w:cs="Times New Roman" w:eastAsia="Times New Roman" w:hAnsi="Times New Roman"/>
          <w:sz w:val="17"/>
          <w:szCs w:val="17"/>
          <w:color w:val="auto"/>
        </w:rPr>
        <w:t>1.1 General Purpose. The name of this plan is the Agrify Corporation 2022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purposes of the Plan are to (a) enable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735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86" w:lineRule="exact"/>
        <w:rPr>
          <w:sz w:val="20"/>
          <w:szCs w:val="20"/>
          <w:color w:val="auto"/>
        </w:rPr>
      </w:pPr>
    </w:p>
    <w:p>
      <w:pPr>
        <w:ind w:left="1000" w:right="699" w:firstLine="419"/>
        <w:spacing w:after="0" w:line="270" w:lineRule="auto"/>
        <w:rPr>
          <w:sz w:val="20"/>
          <w:szCs w:val="20"/>
          <w:color w:val="auto"/>
        </w:rPr>
      </w:pPr>
      <w:r>
        <w:rPr>
          <w:rFonts w:ascii="Times New Roman" w:cs="Times New Roman" w:eastAsia="Times New Roman" w:hAnsi="Times New Roman"/>
          <w:sz w:val="17"/>
          <w:szCs w:val="17"/>
          <w:color w:val="auto"/>
        </w:rPr>
        <w:t>1.2 Eligible Award Recipients.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165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3" w:lineRule="exact"/>
        <w:rPr>
          <w:sz w:val="20"/>
          <w:szCs w:val="20"/>
          <w:color w:val="auto"/>
        </w:rPr>
      </w:pPr>
    </w:p>
    <w:p>
      <w:pPr>
        <w:ind w:left="1000" w:right="919" w:firstLine="419"/>
        <w:spacing w:after="0" w:line="276" w:lineRule="auto"/>
        <w:rPr>
          <w:sz w:val="20"/>
          <w:szCs w:val="20"/>
          <w:color w:val="auto"/>
        </w:rPr>
      </w:pPr>
      <w:r>
        <w:rPr>
          <w:rFonts w:ascii="Times New Roman" w:cs="Times New Roman" w:eastAsia="Times New Roman" w:hAnsi="Times New Roman"/>
          <w:sz w:val="17"/>
          <w:szCs w:val="17"/>
          <w:color w:val="auto"/>
        </w:rPr>
        <w:t>1.3 Available Awards. Awards that may be granted under the Plan include: (a) Incentive Stock Options, (b) Non-qualified Stock Options, (c) Stock Appreciation Rights, (d) Restricted Awards, (e) Performance Share Awards, (f) Cash Awards, and (g) Other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78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65" w:lineRule="exact"/>
        <w:rPr>
          <w:sz w:val="20"/>
          <w:szCs w:val="20"/>
          <w:color w:val="auto"/>
        </w:rPr>
      </w:pPr>
    </w:p>
    <w:p>
      <w:pPr>
        <w:ind w:left="1380" w:hanging="386"/>
        <w:spacing w:after="0"/>
        <w:tabs>
          <w:tab w:leader="none" w:pos="13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960" w:right="10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 corporation or other entity that, directly or through one or more intermediaries, controls, is controlled by or is under common control with, the Company.</w:t>
      </w:r>
    </w:p>
    <w:p>
      <w:pPr>
        <w:spacing w:after="0" w:line="76" w:lineRule="exact"/>
        <w:rPr>
          <w:sz w:val="20"/>
          <w:szCs w:val="20"/>
          <w:color w:val="auto"/>
        </w:rPr>
      </w:pPr>
    </w:p>
    <w:p>
      <w:pPr>
        <w:ind w:left="960" w:right="61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86" w:lineRule="exact"/>
        <w:rPr>
          <w:sz w:val="20"/>
          <w:szCs w:val="20"/>
          <w:color w:val="auto"/>
        </w:rPr>
      </w:pPr>
    </w:p>
    <w:p>
      <w:pPr>
        <w:ind w:left="960" w:right="61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94" w:lineRule="exact"/>
        <w:rPr>
          <w:sz w:val="20"/>
          <w:szCs w:val="20"/>
          <w:color w:val="auto"/>
        </w:rPr>
      </w:pPr>
    </w:p>
    <w:p>
      <w:pPr>
        <w:ind w:left="960" w:right="67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99" w:lineRule="exact"/>
        <w:rPr>
          <w:sz w:val="20"/>
          <w:szCs w:val="20"/>
          <w:color w:val="auto"/>
        </w:rPr>
      </w:pPr>
    </w:p>
    <w:p>
      <w:pPr>
        <w:ind w:left="960" w:right="619" w:firstLine="1135"/>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 as constituted at any time.</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Award</w:t>
      </w:r>
      <w:r>
        <w:rPr>
          <w:rFonts w:ascii="Times New Roman" w:cs="Times New Roman" w:eastAsia="Times New Roman" w:hAnsi="Times New Roman"/>
          <w:sz w:val="17"/>
          <w:szCs w:val="17"/>
          <w:color w:val="auto"/>
        </w:rPr>
        <w:t>” means an Award denominated in cash that is granted under Section 10 of</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Plan.</w:t>
      </w:r>
    </w:p>
    <w:p>
      <w:pPr>
        <w:spacing w:after="0" w:line="13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ind w:left="2080" w:right="979"/>
        <w:spacing w:after="0" w:line="296" w:lineRule="auto"/>
        <w:rPr>
          <w:sz w:val="20"/>
          <w:szCs w:val="20"/>
          <w:color w:val="auto"/>
        </w:rPr>
      </w:pPr>
      <w:r>
        <w:rPr>
          <w:rFonts w:ascii="Times New Roman" w:cs="Times New Roman" w:eastAsia="Times New Roman" w:hAnsi="Times New Roman"/>
          <w:sz w:val="17"/>
          <w:szCs w:val="17"/>
          <w:color w:val="auto"/>
        </w:rPr>
        <w:t>With respect to any Employee or Consultant, unless the applicable Award Agreement states otherwise:</w:t>
      </w:r>
    </w:p>
    <w:p>
      <w:pPr>
        <w:spacing w:after="0" w:line="81" w:lineRule="exact"/>
        <w:rPr>
          <w:sz w:val="20"/>
          <w:szCs w:val="20"/>
          <w:color w:val="auto"/>
        </w:rPr>
      </w:pPr>
    </w:p>
    <w:p>
      <w:pPr>
        <w:jc w:val="both"/>
        <w:ind w:left="2080" w:right="759" w:hanging="4"/>
        <w:spacing w:after="0" w:line="276" w:lineRule="auto"/>
        <w:tabs>
          <w:tab w:leader="none" w:pos="231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or Consultant is a party to an employment or service agreement with the Company or its Affiliates and such agreement provides for a definition of Cause, the definition contained therein;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2080" w:right="659" w:hanging="4"/>
        <w:spacing w:after="0" w:line="261" w:lineRule="auto"/>
        <w:tabs>
          <w:tab w:leader="none" w:pos="232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14" w:lineRule="exact"/>
        <w:rPr>
          <w:sz w:val="20"/>
          <w:szCs w:val="20"/>
          <w:color w:val="auto"/>
        </w:rPr>
      </w:pPr>
    </w:p>
    <w:p>
      <w:pPr>
        <w:ind w:left="2080" w:right="779"/>
        <w:spacing w:after="0" w:line="276" w:lineRule="auto"/>
        <w:rPr>
          <w:sz w:val="20"/>
          <w:szCs w:val="20"/>
          <w:color w:val="auto"/>
        </w:rPr>
      </w:pPr>
      <w:r>
        <w:rPr>
          <w:rFonts w:ascii="Times New Roman" w:cs="Times New Roman" w:eastAsia="Times New Roman" w:hAnsi="Times New Roman"/>
          <w:sz w:val="17"/>
          <w:szCs w:val="17"/>
          <w:color w:val="auto"/>
        </w:rPr>
        <w:t>With respect to any Director, unless the applicable Award Agreement states otherwise, a determination by a majority of the disinterested Board members that the Director has engaged in any of the following:</w:t>
      </w:r>
    </w:p>
    <w:p>
      <w:pPr>
        <w:spacing w:after="0" w:line="98" w:lineRule="exact"/>
        <w:rPr>
          <w:sz w:val="20"/>
          <w:szCs w:val="20"/>
          <w:color w:val="auto"/>
        </w:rPr>
      </w:pPr>
    </w:p>
    <w:p>
      <w:pPr>
        <w:ind w:left="2320" w:hanging="244"/>
        <w:spacing w:after="0"/>
        <w:tabs>
          <w:tab w:leader="none" w:pos="2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malfeasance in office;</w:t>
      </w:r>
    </w:p>
    <w:p>
      <w:pPr>
        <w:spacing w:after="0" w:line="145"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misconduct or neglect;</w:t>
      </w:r>
    </w:p>
    <w:p>
      <w:pPr>
        <w:spacing w:after="0" w:line="158"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or fraudulent misrepresentation inducing the director’s appointment;</w:t>
      </w:r>
    </w:p>
    <w:p>
      <w:pPr>
        <w:spacing w:after="0" w:line="158"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conversion of corporate funds; or</w:t>
      </w:r>
    </w:p>
    <w:p>
      <w:pPr>
        <w:spacing w:after="0" w:line="145" w:lineRule="exact"/>
        <w:rPr>
          <w:rFonts w:ascii="Times New Roman" w:cs="Times New Roman" w:eastAsia="Times New Roman" w:hAnsi="Times New Roman"/>
          <w:sz w:val="17"/>
          <w:szCs w:val="17"/>
          <w:color w:val="auto"/>
        </w:rPr>
      </w:pPr>
    </w:p>
    <w:p>
      <w:pPr>
        <w:ind w:left="2080" w:right="999" w:hanging="4"/>
        <w:spacing w:after="0" w:line="296"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failure to participate in Board meetings on a regular basis despite having received proper notice of the meetings in advance.</w:t>
      </w:r>
    </w:p>
    <w:p>
      <w:pPr>
        <w:spacing w:after="0" w:line="81" w:lineRule="exact"/>
        <w:rPr>
          <w:sz w:val="20"/>
          <w:szCs w:val="20"/>
          <w:color w:val="auto"/>
        </w:rPr>
      </w:pPr>
    </w:p>
    <w:p>
      <w:pPr>
        <w:ind w:left="960" w:right="939" w:firstLine="1135"/>
        <w:spacing w:after="0" w:line="296"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 has been discharged for Cause.</w:t>
      </w:r>
    </w:p>
    <w:p>
      <w:pPr>
        <w:spacing w:after="0" w:line="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jc w:val="both"/>
        <w:ind w:left="2080" w:right="619" w:hanging="4"/>
        <w:spacing w:after="0" w:line="270" w:lineRule="auto"/>
        <w:tabs>
          <w:tab w:leader="none" w:pos="231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02" w:lineRule="exact"/>
        <w:rPr>
          <w:rFonts w:ascii="Times New Roman" w:cs="Times New Roman" w:eastAsia="Times New Roman" w:hAnsi="Times New Roman"/>
          <w:sz w:val="17"/>
          <w:szCs w:val="17"/>
          <w:color w:val="auto"/>
        </w:rPr>
      </w:pPr>
    </w:p>
    <w:p>
      <w:pPr>
        <w:ind w:left="2080" w:right="839" w:hanging="4"/>
        <w:spacing w:after="0" w:line="296" w:lineRule="auto"/>
        <w:tabs>
          <w:tab w:leader="none" w:pos="232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for any reason to constitute at least a majority of the Board;</w:t>
      </w:r>
    </w:p>
    <w:p>
      <w:pPr>
        <w:spacing w:after="0" w:line="81" w:lineRule="exact"/>
        <w:rPr>
          <w:rFonts w:ascii="Times New Roman" w:cs="Times New Roman" w:eastAsia="Times New Roman" w:hAnsi="Times New Roman"/>
          <w:sz w:val="17"/>
          <w:szCs w:val="17"/>
          <w:color w:val="auto"/>
        </w:rPr>
      </w:pPr>
    </w:p>
    <w:p>
      <w:pPr>
        <w:ind w:left="2080" w:right="1359" w:hanging="4"/>
        <w:spacing w:after="0" w:line="296" w:lineRule="auto"/>
        <w:tabs>
          <w:tab w:leader="none" w:pos="231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which is 10 business days prior to the consummation of a complete liquidation or dissolution of the Company;</w:t>
      </w:r>
    </w:p>
    <w:p>
      <w:pPr>
        <w:spacing w:after="0" w:line="67" w:lineRule="exact"/>
        <w:rPr>
          <w:rFonts w:ascii="Times New Roman" w:cs="Times New Roman" w:eastAsia="Times New Roman" w:hAnsi="Times New Roman"/>
          <w:sz w:val="17"/>
          <w:szCs w:val="17"/>
          <w:color w:val="auto"/>
        </w:rPr>
      </w:pPr>
    </w:p>
    <w:p>
      <w:pPr>
        <w:ind w:left="2080" w:right="599" w:hanging="4"/>
        <w:spacing w:after="0" w:line="260" w:lineRule="auto"/>
        <w:tabs>
          <w:tab w:leader="none" w:pos="232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7"/>
          <w:szCs w:val="17"/>
          <w:b w:val="1"/>
          <w:bCs w:val="1"/>
          <w:color w:val="auto"/>
        </w:rPr>
        <w:t>Outstanding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or (ii) the combined voting power of the then outstanding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of the Company entitled to vote generally in the 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111" w:lineRule="exact"/>
        <w:rPr>
          <w:rFonts w:ascii="Times New Roman" w:cs="Times New Roman" w:eastAsia="Times New Roman" w:hAnsi="Times New Roman"/>
          <w:sz w:val="17"/>
          <w:szCs w:val="17"/>
          <w:color w:val="auto"/>
        </w:rPr>
      </w:pPr>
    </w:p>
    <w:p>
      <w:pPr>
        <w:ind w:left="2080" w:right="599" w:hanging="4"/>
        <w:spacing w:after="0" w:line="268" w:lineRule="auto"/>
        <w:tabs>
          <w:tab w:leader="none" w:pos="231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immediately following such Business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2080" w:right="579"/>
        <w:spacing w:after="0" w:line="259" w:lineRule="auto"/>
        <w:rPr>
          <w:sz w:val="20"/>
          <w:szCs w:val="20"/>
          <w:color w:val="auto"/>
        </w:rPr>
      </w:pPr>
      <w:r>
        <w:rPr>
          <w:rFonts w:ascii="Times New Roman" w:cs="Times New Roman" w:eastAsia="Times New Roman" w:hAnsi="Times New Roman"/>
          <w:sz w:val="17"/>
          <w:szCs w:val="17"/>
          <w:color w:val="auto"/>
        </w:rPr>
        <w:t>Combination: (i) more than 50% of the total voting power of (A) the entity resulting from such Business Combination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24" w:lineRule="exact"/>
        <w:rPr>
          <w:sz w:val="20"/>
          <w:szCs w:val="20"/>
          <w:color w:val="auto"/>
        </w:rPr>
      </w:pPr>
    </w:p>
    <w:p>
      <w:pPr>
        <w:jc w:val="both"/>
        <w:ind w:left="960" w:right="8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ind w:left="960" w:right="6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one or more members of the Board appointed by the Board to administer the Plan in accordance with Section 3.3 and Section 3.4.</w:t>
      </w:r>
    </w:p>
    <w:p>
      <w:pPr>
        <w:spacing w:after="0" w:line="63" w:lineRule="exact"/>
        <w:rPr>
          <w:sz w:val="20"/>
          <w:szCs w:val="20"/>
          <w:color w:val="auto"/>
        </w:rPr>
      </w:pPr>
    </w:p>
    <w:p>
      <w:pPr>
        <w:ind w:left="960" w:right="6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$0.001 par value per share, of the Company, or such other securities of the Company as may be designated by the Committee from time to time in substitution thereof.</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and any successor thereto.</w:t>
      </w:r>
    </w:p>
    <w:p>
      <w:pPr>
        <w:spacing w:after="0" w:line="158" w:lineRule="exact"/>
        <w:rPr>
          <w:sz w:val="20"/>
          <w:szCs w:val="20"/>
          <w:color w:val="auto"/>
        </w:rPr>
      </w:pPr>
    </w:p>
    <w:p>
      <w:pPr>
        <w:ind w:left="960" w:right="8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80" w:lineRule="exact"/>
        <w:rPr>
          <w:sz w:val="20"/>
          <w:szCs w:val="20"/>
          <w:color w:val="auto"/>
        </w:rPr>
      </w:pPr>
    </w:p>
    <w:p>
      <w:pPr>
        <w:ind w:left="960" w:right="579" w:firstLine="113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there is no interruption or termination of the Participant’s Continuous Service;</w:t>
      </w:r>
      <w:r>
        <w:rPr>
          <w:rFonts w:ascii="Times New Roman" w:cs="Times New Roman" w:eastAsia="Times New Roman" w:hAnsi="Times New Roman"/>
          <w:sz w:val="17"/>
          <w:szCs w:val="17"/>
          <w:i w:val="1"/>
          <w:iCs w:val="1"/>
          <w:color w:val="auto"/>
        </w:rPr>
        <w:t xml:space="preserve"> provided further that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1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Deferred Stock Units (DSUs)</w:t>
      </w:r>
      <w:r>
        <w:rPr>
          <w:rFonts w:ascii="Times New Roman" w:cs="Times New Roman" w:eastAsia="Times New Roman" w:hAnsi="Times New Roman"/>
          <w:sz w:val="17"/>
          <w:szCs w:val="17"/>
          <w:color w:val="auto"/>
        </w:rPr>
        <w:t>” has the meaning set forth in Section 8.1(b) hereof.</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has the meaning set forth in Section 17.12.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60" w:right="5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the date that the Company’s shareholders approve this Plan if such shareholder approval occurs before the first anniversary of the date the Plan is adopted by the Board.</w:t>
      </w:r>
    </w:p>
    <w:p>
      <w:pPr>
        <w:spacing w:after="0" w:line="76" w:lineRule="exact"/>
        <w:rPr>
          <w:sz w:val="20"/>
          <w:szCs w:val="20"/>
          <w:color w:val="auto"/>
        </w:rPr>
      </w:pPr>
    </w:p>
    <w:p>
      <w:pPr>
        <w:ind w:left="960" w:right="679" w:firstLine="1135"/>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means any person, including an Officer or Director, employed by the Company or an Affiliate;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45" w:lineRule="exact"/>
        <w:rPr>
          <w:sz w:val="20"/>
          <w:szCs w:val="20"/>
          <w:color w:val="auto"/>
        </w:rPr>
      </w:pPr>
    </w:p>
    <w:p>
      <w:pPr>
        <w:ind w:left="960" w:right="57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In the absence of an established market for the Common Stock, the Fair Market Value shall be determined in good faith by the Committee and such determination shall be conclusive and binding on all persons.</w:t>
      </w:r>
    </w:p>
    <w:p>
      <w:pPr>
        <w:spacing w:after="0" w:line="1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Company’s fiscal year.</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unless the applicable Award Agreement states otherwise:</w:t>
      </w:r>
    </w:p>
    <w:p>
      <w:pPr>
        <w:spacing w:after="0" w:line="160" w:lineRule="exact"/>
        <w:rPr>
          <w:sz w:val="20"/>
          <w:szCs w:val="20"/>
          <w:color w:val="auto"/>
        </w:rPr>
      </w:pPr>
    </w:p>
    <w:p>
      <w:pPr>
        <w:ind w:left="2080" w:right="799" w:hanging="4"/>
        <w:spacing w:after="0" w:line="276" w:lineRule="auto"/>
        <w:tabs>
          <w:tab w:leader="none" w:pos="231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98" w:lineRule="exact"/>
        <w:rPr>
          <w:rFonts w:ascii="Times New Roman" w:cs="Times New Roman" w:eastAsia="Times New Roman" w:hAnsi="Times New Roman"/>
          <w:sz w:val="17"/>
          <w:szCs w:val="17"/>
          <w:color w:val="auto"/>
        </w:rPr>
      </w:pPr>
    </w:p>
    <w:p>
      <w:pPr>
        <w:ind w:left="2080" w:right="639" w:hanging="4"/>
        <w:spacing w:after="0" w:line="260" w:lineRule="auto"/>
        <w:tabs>
          <w:tab w:leader="none" w:pos="232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w:t>
      </w:r>
    </w:p>
    <w:p>
      <w:pPr>
        <w:spacing w:after="0" w:line="2" w:lineRule="exact"/>
        <w:rPr>
          <w:rFonts w:ascii="Times New Roman" w:cs="Times New Roman" w:eastAsia="Times New Roman" w:hAnsi="Times New Roman"/>
          <w:sz w:val="17"/>
          <w:szCs w:val="17"/>
          <w:color w:val="auto"/>
        </w:rPr>
      </w:pPr>
    </w:p>
    <w:p>
      <w:pPr>
        <w:ind w:left="2080" w:right="679" w:hanging="4"/>
        <w:spacing w:after="0" w:line="265" w:lineRule="auto"/>
        <w:tabs>
          <w:tab w:leader="none" w:pos="233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Participant’s base salary or bonus opportunity other than as part of an across-the-board salary reduction that applies in substantially the same proportions to all similarly situated Employees.</w:t>
      </w:r>
    </w:p>
    <w:p>
      <w:pPr>
        <w:spacing w:after="0" w:line="92" w:lineRule="exact"/>
        <w:rPr>
          <w:sz w:val="20"/>
          <w:szCs w:val="20"/>
          <w:color w:val="auto"/>
        </w:rPr>
      </w:pPr>
    </w:p>
    <w:p>
      <w:pPr>
        <w:ind w:left="960" w:right="599" w:firstLine="1135"/>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310" w:lineRule="exact"/>
        <w:rPr>
          <w:sz w:val="20"/>
          <w:szCs w:val="20"/>
          <w:color w:val="auto"/>
        </w:rPr>
      </w:pPr>
    </w:p>
    <w:p>
      <w:pPr>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within the meaning of Section 422 of the Code and that meets the requirements set out in the Plan.</w:t>
      </w:r>
    </w:p>
    <w:p>
      <w:pPr>
        <w:spacing w:after="0" w:line="94" w:lineRule="exact"/>
        <w:rPr>
          <w:sz w:val="20"/>
          <w:szCs w:val="20"/>
          <w:color w:val="auto"/>
        </w:rPr>
      </w:pPr>
    </w:p>
    <w:p>
      <w:pPr>
        <w:ind w:left="960" w:right="659" w:firstLine="1135"/>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means individuals who, on the Effective Date, constitute the Board,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97" w:lineRule="exact"/>
        <w:rPr>
          <w:sz w:val="20"/>
          <w:szCs w:val="20"/>
          <w:color w:val="auto"/>
        </w:rPr>
      </w:pPr>
    </w:p>
    <w:p>
      <w:pPr>
        <w:ind w:left="960" w:right="5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means a Director who is a “non-employee director” within the meaning of Rule 16b-3.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60" w:right="7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by its terms does not qualify or is not intended to qualify as an Incentive Stock Option.</w:t>
      </w:r>
    </w:p>
    <w:p>
      <w:pPr>
        <w:spacing w:after="0" w:line="76" w:lineRule="exact"/>
        <w:rPr>
          <w:sz w:val="20"/>
          <w:szCs w:val="20"/>
          <w:color w:val="auto"/>
        </w:rPr>
      </w:pPr>
    </w:p>
    <w:p>
      <w:pPr>
        <w:ind w:left="960" w:right="115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76" w:lineRule="exact"/>
        <w:rPr>
          <w:sz w:val="20"/>
          <w:szCs w:val="20"/>
          <w:color w:val="auto"/>
        </w:rPr>
      </w:pPr>
    </w:p>
    <w:p>
      <w:pPr>
        <w:ind w:left="960" w:right="10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 Option granted pursuant to the Plan.</w:t>
      </w:r>
    </w:p>
    <w:p>
      <w:pPr>
        <w:spacing w:after="0" w:line="63" w:lineRule="exact"/>
        <w:rPr>
          <w:sz w:val="20"/>
          <w:szCs w:val="20"/>
          <w:color w:val="auto"/>
        </w:rPr>
      </w:pPr>
    </w:p>
    <w:p>
      <w:pPr>
        <w:ind w:left="960" w:right="6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ind w:left="960" w:right="95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Price</w:t>
      </w:r>
      <w:r>
        <w:rPr>
          <w:rFonts w:ascii="Times New Roman" w:cs="Times New Roman" w:eastAsia="Times New Roman" w:hAnsi="Times New Roman"/>
          <w:sz w:val="17"/>
          <w:szCs w:val="17"/>
          <w:color w:val="auto"/>
        </w:rPr>
        <w:t>” means the price at which a share of Common Stock may be purchased upon the exercise of an Option.</w:t>
      </w:r>
    </w:p>
    <w:p>
      <w:pPr>
        <w:spacing w:after="0" w:line="76" w:lineRule="exact"/>
        <w:rPr>
          <w:sz w:val="20"/>
          <w:szCs w:val="20"/>
          <w:color w:val="auto"/>
        </w:rPr>
      </w:pPr>
    </w:p>
    <w:p>
      <w:pPr>
        <w:ind w:left="960" w:right="599" w:firstLine="113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Equity-Based Award” </w:t>
      </w:r>
      <w:r>
        <w:rPr>
          <w:rFonts w:ascii="Times New Roman" w:cs="Times New Roman" w:eastAsia="Times New Roman" w:hAnsi="Times New Roman"/>
          <w:sz w:val="17"/>
          <w:szCs w:val="17"/>
          <w:color w:val="auto"/>
        </w:rPr>
        <w:t>means an Award that is not an Option, Stock Appreciation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Restricted Stock, Restricted Stock Unit, or Performance Share Award that is granted under Section 10 and is payable by delivery of Common Stock and/or which is measured by reference to the value of Common Stock.</w:t>
      </w:r>
    </w:p>
    <w:p>
      <w:pPr>
        <w:spacing w:after="0" w:line="86" w:lineRule="exact"/>
        <w:rPr>
          <w:sz w:val="20"/>
          <w:szCs w:val="20"/>
          <w:color w:val="auto"/>
        </w:rPr>
      </w:pPr>
    </w:p>
    <w:p>
      <w:pPr>
        <w:ind w:left="960" w:right="6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person to whom an Award is granted pursuant to the Plan or, if applicable, such other person who holds an outstanding Award.</w:t>
      </w:r>
    </w:p>
    <w:p>
      <w:pPr>
        <w:spacing w:after="0" w:line="76" w:lineRule="exact"/>
        <w:rPr>
          <w:sz w:val="20"/>
          <w:szCs w:val="20"/>
          <w:color w:val="auto"/>
        </w:rPr>
      </w:pPr>
    </w:p>
    <w:p>
      <w:pPr>
        <w:jc w:val="both"/>
        <w:ind w:left="960" w:right="13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means, for a Performance Period, the one or more goals established by the Committee for the Performance Period based upon business criteria or other performance measures determined by the Committee in its discretion.</w:t>
      </w:r>
    </w:p>
    <w:p>
      <w:pPr>
        <w:spacing w:after="0" w:line="94" w:lineRule="exact"/>
        <w:rPr>
          <w:sz w:val="20"/>
          <w:szCs w:val="20"/>
          <w:color w:val="auto"/>
        </w:rPr>
      </w:pPr>
    </w:p>
    <w:p>
      <w:pPr>
        <w:ind w:left="960" w:right="7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8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 Award</w:t>
      </w:r>
      <w:r>
        <w:rPr>
          <w:rFonts w:ascii="Times New Roman" w:cs="Times New Roman" w:eastAsia="Times New Roman" w:hAnsi="Times New Roman"/>
          <w:sz w:val="17"/>
          <w:szCs w:val="17"/>
          <w:color w:val="auto"/>
        </w:rPr>
        <w:t>” means any Award granted pursuant to Section 9 hereof.</w:t>
      </w:r>
    </w:p>
    <w:p>
      <w:pPr>
        <w:spacing w:after="0" w:line="158" w:lineRule="exact"/>
        <w:rPr>
          <w:sz w:val="20"/>
          <w:szCs w:val="20"/>
          <w:color w:val="auto"/>
        </w:rPr>
      </w:pPr>
    </w:p>
    <w:p>
      <w:pPr>
        <w:jc w:val="both"/>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w:t>
      </w:r>
      <w:r>
        <w:rPr>
          <w:rFonts w:ascii="Times New Roman" w:cs="Times New Roman" w:eastAsia="Times New Roman" w:hAnsi="Times New Roman"/>
          <w:sz w:val="17"/>
          <w:szCs w:val="17"/>
          <w:color w:val="auto"/>
        </w:rPr>
        <w:t>” means the grant of a right to receive a number of actual shares of Common Stock or share units based upon the performance of the Company during a Performance Period, as determined by the Committee.</w:t>
      </w:r>
    </w:p>
    <w:p>
      <w:pPr>
        <w:spacing w:after="0" w:line="94" w:lineRule="exact"/>
        <w:rPr>
          <w:sz w:val="20"/>
          <w:szCs w:val="20"/>
          <w:color w:val="auto"/>
        </w:rPr>
      </w:pPr>
    </w:p>
    <w:p>
      <w:pPr>
        <w:ind w:left="960" w:right="599" w:firstLine="113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 person as defined in Section 13(d)(3) of the Exchange Act.</w:t>
      </w:r>
    </w:p>
    <w:p>
      <w:pPr>
        <w:spacing w:after="0" w:line="158" w:lineRule="exact"/>
        <w:rPr>
          <w:sz w:val="20"/>
          <w:szCs w:val="20"/>
          <w:color w:val="auto"/>
        </w:rPr>
      </w:pPr>
    </w:p>
    <w:p>
      <w:pPr>
        <w:ind w:left="960" w:right="13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Omnibus Equity Incentive Plan, as amended and/or amended and restated from time to time.</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Award</w:t>
      </w:r>
      <w:r>
        <w:rPr>
          <w:rFonts w:ascii="Times New Roman" w:cs="Times New Roman" w:eastAsia="Times New Roman" w:hAnsi="Times New Roman"/>
          <w:sz w:val="17"/>
          <w:szCs w:val="17"/>
          <w:color w:val="auto"/>
        </w:rPr>
        <w:t>” means any Award granted pursuant to Section 8.</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has the meaning set forth in Section 8.</w:t>
      </w:r>
    </w:p>
    <w:p>
      <w:pPr>
        <w:spacing w:after="0" w:line="145" w:lineRule="exact"/>
        <w:rPr>
          <w:sz w:val="20"/>
          <w:szCs w:val="20"/>
          <w:color w:val="auto"/>
        </w:rPr>
      </w:pPr>
    </w:p>
    <w:p>
      <w:pPr>
        <w:ind w:left="960" w:right="6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58" w:lineRule="exact"/>
        <w:rPr>
          <w:sz w:val="20"/>
          <w:szCs w:val="20"/>
          <w:color w:val="auto"/>
        </w:rPr>
      </w:pPr>
    </w:p>
    <w:p>
      <w:pPr>
        <w:ind w:left="960" w:right="599" w:firstLine="1135"/>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0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has the meaning set forth in Section 6.4.</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 xml:space="preserve">“Substitute Award” </w:t>
      </w:r>
      <w:r>
        <w:rPr>
          <w:rFonts w:ascii="Times New Roman" w:cs="Times New Roman" w:eastAsia="Times New Roman" w:hAnsi="Times New Roman"/>
          <w:sz w:val="17"/>
          <w:szCs w:val="17"/>
          <w:color w:val="auto"/>
        </w:rPr>
        <w:t>has the meaning set forth in Section 4.5.</w:t>
      </w:r>
    </w:p>
    <w:p>
      <w:pPr>
        <w:spacing w:after="0" w:line="158" w:lineRule="exact"/>
        <w:rPr>
          <w:sz w:val="20"/>
          <w:szCs w:val="20"/>
          <w:color w:val="auto"/>
        </w:rPr>
      </w:pPr>
    </w:p>
    <w:p>
      <w:pPr>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 Percent Shareholder</w:t>
      </w:r>
      <w:r>
        <w:rPr>
          <w:rFonts w:ascii="Times New Roman" w:cs="Times New Roman" w:eastAsia="Times New Roman" w:hAnsi="Times New Roman"/>
          <w:sz w:val="17"/>
          <w:szCs w:val="17"/>
          <w:color w:val="auto"/>
        </w:rPr>
        <w:t>” means a person who owns (or is deemed to own pursuant to Section 424(d) of the Code) stock possessing more than 10% of the total combined voting power of all classes of stock of the Company or of any of its Affiliates.</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has the meaning set forth in Section 4.1.</w:t>
      </w:r>
    </w:p>
    <w:p>
      <w:pPr>
        <w:spacing w:after="0" w:line="147" w:lineRule="exact"/>
        <w:rPr>
          <w:sz w:val="20"/>
          <w:szCs w:val="20"/>
          <w:color w:val="auto"/>
        </w:rPr>
      </w:pPr>
    </w:p>
    <w:p>
      <w:pPr>
        <w:ind w:left="1380" w:hanging="38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right="739" w:firstLine="419"/>
        <w:spacing w:after="0" w:line="270" w:lineRule="auto"/>
        <w:rPr>
          <w:sz w:val="20"/>
          <w:szCs w:val="20"/>
          <w:color w:val="auto"/>
        </w:rPr>
      </w:pPr>
      <w:r>
        <w:rPr>
          <w:rFonts w:ascii="Times New Roman" w:cs="Times New Roman" w:eastAsia="Times New Roman" w:hAnsi="Times New Roman"/>
          <w:sz w:val="17"/>
          <w:szCs w:val="17"/>
          <w:color w:val="auto"/>
        </w:rPr>
        <w:t>3.1 Authority of Committee.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0712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83" w:lineRule="exact"/>
        <w:rPr>
          <w:sz w:val="20"/>
          <w:szCs w:val="20"/>
          <w:color w:val="auto"/>
        </w:rPr>
      </w:pPr>
    </w:p>
    <w:p>
      <w:pPr>
        <w:ind w:left="2420" w:hanging="588"/>
        <w:spacing w:after="0"/>
        <w:tabs>
          <w:tab w:leader="none" w:pos="2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apply its provisions;</w:t>
      </w:r>
    </w:p>
    <w:p>
      <w:pPr>
        <w:spacing w:after="0" w:line="145"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promulgate, amend, and rescind rules and regulations relating to the administration</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Plan;</w:t>
      </w:r>
    </w:p>
    <w:p>
      <w:pPr>
        <w:spacing w:after="0" w:line="140" w:lineRule="exact"/>
        <w:rPr>
          <w:rFonts w:ascii="Times New Roman" w:cs="Times New Roman" w:eastAsia="Times New Roman" w:hAnsi="Times New Roman"/>
          <w:sz w:val="17"/>
          <w:szCs w:val="17"/>
          <w:color w:val="auto"/>
        </w:rPr>
      </w:pPr>
    </w:p>
    <w:p>
      <w:pPr>
        <w:ind w:left="1420" w:right="1179" w:firstLine="412"/>
        <w:spacing w:after="0" w:line="296" w:lineRule="auto"/>
        <w:tabs>
          <w:tab w:leader="none" w:pos="242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any person to execute, on behalf of the Company, any instrument required to carry out the purposes of the Plan;</w:t>
      </w:r>
    </w:p>
    <w:p>
      <w:pPr>
        <w:spacing w:after="0" w:line="81" w:lineRule="exact"/>
        <w:rPr>
          <w:rFonts w:ascii="Times New Roman" w:cs="Times New Roman" w:eastAsia="Times New Roman" w:hAnsi="Times New Roman"/>
          <w:sz w:val="17"/>
          <w:szCs w:val="17"/>
          <w:color w:val="auto"/>
        </w:rPr>
      </w:pPr>
    </w:p>
    <w:p>
      <w:pPr>
        <w:ind w:left="1420" w:right="1019" w:firstLine="412"/>
        <w:spacing w:after="0" w:line="296" w:lineRule="auto"/>
        <w:tabs>
          <w:tab w:leader="none" w:pos="24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its authority to one or more Officers of the Company with respect to Awards that do not involve “insiders” within the meaning of Section 16 of the Exchange Act;</w:t>
      </w:r>
    </w:p>
    <w:p>
      <w:pPr>
        <w:spacing w:after="0" w:line="67"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Awards are to be granted under the Plan and the applicable Grant</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pacing w:after="0" w:line="140" w:lineRule="exact"/>
        <w:rPr>
          <w:rFonts w:ascii="Times New Roman" w:cs="Times New Roman" w:eastAsia="Times New Roman" w:hAnsi="Times New Roman"/>
          <w:sz w:val="17"/>
          <w:szCs w:val="17"/>
          <w:color w:val="auto"/>
        </w:rPr>
      </w:pPr>
    </w:p>
    <w:p>
      <w:pPr>
        <w:ind w:left="1420" w:right="1019" w:firstLine="412"/>
        <w:spacing w:after="0" w:line="296" w:lineRule="auto"/>
        <w:tabs>
          <w:tab w:leader="none" w:pos="245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to select, subject to the limitations set forth in this Plan, those eligible Award recipients to whom Awards shall be granted;</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made subject to each</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127" w:lineRule="exact"/>
        <w:rPr>
          <w:rFonts w:ascii="Times New Roman" w:cs="Times New Roman" w:eastAsia="Times New Roman" w:hAnsi="Times New Roman"/>
          <w:sz w:val="17"/>
          <w:szCs w:val="17"/>
          <w:color w:val="auto"/>
        </w:rPr>
      </w:pPr>
    </w:p>
    <w:p>
      <w:pPr>
        <w:ind w:left="1420" w:right="1079" w:firstLine="412"/>
        <w:spacing w:after="0" w:line="296" w:lineRule="auto"/>
        <w:tabs>
          <w:tab w:leader="none" w:pos="24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each Option is to be an Incentive Stock Option or a Non-qualified Stock Option;</w:t>
      </w:r>
    </w:p>
    <w:p>
      <w:pPr>
        <w:spacing w:after="0" w:line="81" w:lineRule="exact"/>
        <w:rPr>
          <w:rFonts w:ascii="Times New Roman" w:cs="Times New Roman" w:eastAsia="Times New Roman" w:hAnsi="Times New Roman"/>
          <w:sz w:val="17"/>
          <w:szCs w:val="17"/>
          <w:color w:val="auto"/>
        </w:rPr>
      </w:pPr>
    </w:p>
    <w:p>
      <w:pPr>
        <w:ind w:left="1420" w:right="739" w:firstLine="412"/>
        <w:spacing w:after="0" w:line="276" w:lineRule="auto"/>
        <w:tabs>
          <w:tab w:leader="none" w:pos="2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85" w:lineRule="exact"/>
        <w:rPr>
          <w:rFonts w:ascii="Times New Roman" w:cs="Times New Roman" w:eastAsia="Times New Roman" w:hAnsi="Times New Roman"/>
          <w:sz w:val="17"/>
          <w:szCs w:val="17"/>
          <w:color w:val="auto"/>
        </w:rPr>
      </w:pPr>
    </w:p>
    <w:p>
      <w:pPr>
        <w:ind w:left="1420" w:right="639" w:firstLine="412"/>
        <w:spacing w:after="0" w:line="276" w:lineRule="auto"/>
        <w:tabs>
          <w:tab w:leader="none" w:pos="2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98" w:lineRule="exact"/>
        <w:rPr>
          <w:rFonts w:ascii="Times New Roman" w:cs="Times New Roman" w:eastAsia="Times New Roman" w:hAnsi="Times New Roman"/>
          <w:sz w:val="17"/>
          <w:szCs w:val="17"/>
          <w:color w:val="auto"/>
        </w:rPr>
      </w:pPr>
    </w:p>
    <w:p>
      <w:pPr>
        <w:ind w:left="1420" w:right="619" w:firstLine="412"/>
        <w:spacing w:after="0" w:line="267" w:lineRule="auto"/>
        <w:tabs>
          <w:tab w:leader="none" w:pos="24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19" w:firstLine="412"/>
        <w:spacing w:after="0" w:line="270" w:lineRule="auto"/>
        <w:tabs>
          <w:tab w:leader="none" w:pos="2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02" w:lineRule="exact"/>
        <w:rPr>
          <w:rFonts w:ascii="Times New Roman" w:cs="Times New Roman" w:eastAsia="Times New Roman" w:hAnsi="Times New Roman"/>
          <w:sz w:val="17"/>
          <w:szCs w:val="17"/>
          <w:color w:val="auto"/>
        </w:rPr>
      </w:pPr>
    </w:p>
    <w:p>
      <w:pPr>
        <w:ind w:left="1420" w:right="879" w:firstLine="412"/>
        <w:spacing w:after="0" w:line="296" w:lineRule="auto"/>
        <w:tabs>
          <w:tab w:leader="none" w:pos="244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decisions with respect to outstanding Awards that may become necessary upon a change in corporate control or an event that triggers anti-dilution adjustments;</w:t>
      </w:r>
    </w:p>
    <w:p>
      <w:pPr>
        <w:spacing w:after="0" w:line="81" w:lineRule="exact"/>
        <w:rPr>
          <w:rFonts w:ascii="Times New Roman" w:cs="Times New Roman" w:eastAsia="Times New Roman" w:hAnsi="Times New Roman"/>
          <w:sz w:val="17"/>
          <w:szCs w:val="17"/>
          <w:color w:val="auto"/>
        </w:rPr>
      </w:pPr>
    </w:p>
    <w:p>
      <w:pPr>
        <w:ind w:left="1420" w:right="799" w:firstLine="412"/>
        <w:spacing w:after="0" w:line="276" w:lineRule="auto"/>
        <w:tabs>
          <w:tab w:leader="none" w:pos="24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administer, reconcile any inconsistency in, correct any defect in and/or supply any omission in the Plan and any instrument or agreement relating to, or Award granted under, the Plan; and</w:t>
      </w:r>
    </w:p>
    <w:p>
      <w:pPr>
        <w:spacing w:after="0" w:line="85" w:lineRule="exact"/>
        <w:rPr>
          <w:rFonts w:ascii="Times New Roman" w:cs="Times New Roman" w:eastAsia="Times New Roman" w:hAnsi="Times New Roman"/>
          <w:sz w:val="17"/>
          <w:szCs w:val="17"/>
          <w:color w:val="auto"/>
        </w:rPr>
      </w:pPr>
    </w:p>
    <w:p>
      <w:pPr>
        <w:ind w:left="1420" w:right="619" w:firstLine="412"/>
        <w:spacing w:after="0" w:line="296" w:lineRule="auto"/>
        <w:tabs>
          <w:tab w:leader="none" w:pos="24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discretion to make any and all other determinations which it determines to be necessary or advisable for the administration of the Plan.</w:t>
      </w:r>
    </w:p>
    <w:p>
      <w:pPr>
        <w:spacing w:after="0" w:line="81" w:lineRule="exact"/>
        <w:rPr>
          <w:sz w:val="20"/>
          <w:szCs w:val="20"/>
          <w:color w:val="auto"/>
        </w:rPr>
      </w:pPr>
    </w:p>
    <w:p>
      <w:pPr>
        <w:ind w:left="1000" w:right="619" w:firstLine="838"/>
        <w:spacing w:after="0" w:line="265" w:lineRule="auto"/>
        <w:rPr>
          <w:sz w:val="20"/>
          <w:szCs w:val="20"/>
          <w:color w:val="auto"/>
        </w:rPr>
      </w:pPr>
      <w:r>
        <w:rPr>
          <w:rFonts w:ascii="Times New Roman" w:cs="Times New Roman" w:eastAsia="Times New Roman" w:hAnsi="Times New Roman"/>
          <w:sz w:val="17"/>
          <w:szCs w:val="17"/>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06" w:lineRule="exact"/>
        <w:rPr>
          <w:sz w:val="20"/>
          <w:szCs w:val="20"/>
          <w:color w:val="auto"/>
        </w:rPr>
      </w:pPr>
    </w:p>
    <w:p>
      <w:pPr>
        <w:ind w:left="1000" w:right="739" w:firstLine="419"/>
        <w:spacing w:after="0" w:line="276" w:lineRule="auto"/>
        <w:rPr>
          <w:sz w:val="20"/>
          <w:szCs w:val="20"/>
          <w:color w:val="auto"/>
        </w:rPr>
      </w:pPr>
      <w:r>
        <w:rPr>
          <w:rFonts w:ascii="Times New Roman" w:cs="Times New Roman" w:eastAsia="Times New Roman" w:hAnsi="Times New Roman"/>
          <w:sz w:val="17"/>
          <w:szCs w:val="17"/>
          <w:color w:val="auto"/>
        </w:rPr>
        <w:t>3.2 Committee Decisions Final. All decisions made by the Committee pursuant to the provisions of the Plan shall be final and binding on the Company and the Participants, unless such decisions are determined by a court having jurisdiction to be arbitrary and capricious.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2128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65" w:lineRule="exact"/>
        <w:rPr>
          <w:sz w:val="20"/>
          <w:szCs w:val="20"/>
          <w:color w:val="auto"/>
        </w:rPr>
      </w:pPr>
    </w:p>
    <w:p>
      <w:pPr>
        <w:ind w:left="1000" w:right="599" w:firstLine="419"/>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21" w:lineRule="exact"/>
        <w:rPr>
          <w:sz w:val="20"/>
          <w:szCs w:val="20"/>
          <w:color w:val="auto"/>
        </w:rPr>
      </w:pPr>
    </w:p>
    <w:p>
      <w:pPr>
        <w:ind w:left="1000" w:right="659" w:firstLine="419"/>
        <w:spacing w:after="0" w:line="261" w:lineRule="auto"/>
        <w:rPr>
          <w:sz w:val="20"/>
          <w:szCs w:val="20"/>
          <w:color w:val="auto"/>
        </w:rPr>
      </w:pPr>
      <w:r>
        <w:rPr>
          <w:rFonts w:ascii="Times New Roman" w:cs="Times New Roman" w:eastAsia="Times New Roman" w:hAnsi="Times New Roman"/>
          <w:sz w:val="17"/>
          <w:szCs w:val="17"/>
          <w:color w:val="auto"/>
        </w:rPr>
        <w:t>3.4 Committee Composition.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-1364615</wp:posOffset>
            </wp:positionV>
            <wp:extent cx="1092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spacing w:after="0" w:line="91" w:lineRule="exact"/>
        <w:rPr>
          <w:sz w:val="20"/>
          <w:szCs w:val="20"/>
          <w:color w:val="auto"/>
        </w:rPr>
      </w:pPr>
    </w:p>
    <w:p>
      <w:pPr>
        <w:ind w:left="1000" w:right="699" w:firstLine="419"/>
        <w:spacing w:after="0" w:line="274"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19"/>
        <w:spacing w:after="0" w:line="261" w:lineRule="auto"/>
        <w:rPr>
          <w:sz w:val="20"/>
          <w:szCs w:val="20"/>
          <w:color w:val="auto"/>
        </w:rPr>
      </w:pPr>
      <w:r>
        <w:rPr>
          <w:rFonts w:ascii="Times New Roman" w:cs="Times New Roman" w:eastAsia="Times New Roman" w:hAnsi="Times New Roman"/>
          <w:sz w:val="17"/>
          <w:szCs w:val="17"/>
          <w:color w:val="auto"/>
        </w:rPr>
        <w:t>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111" w:lineRule="exact"/>
        <w:rPr>
          <w:sz w:val="20"/>
          <w:szCs w:val="20"/>
          <w:color w:val="auto"/>
        </w:rPr>
      </w:pPr>
    </w:p>
    <w:p>
      <w:pPr>
        <w:ind w:left="1380" w:hanging="386"/>
        <w:spacing w:after="0"/>
        <w:tabs>
          <w:tab w:leader="none" w:pos="13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Subject to the Plan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right="719" w:firstLine="419"/>
        <w:spacing w:after="0" w:line="262" w:lineRule="auto"/>
        <w:rPr>
          <w:sz w:val="20"/>
          <w:szCs w:val="20"/>
          <w:color w:val="auto"/>
        </w:rPr>
      </w:pPr>
      <w:r>
        <w:rPr>
          <w:rFonts w:ascii="Times New Roman" w:cs="Times New Roman" w:eastAsia="Times New Roman" w:hAnsi="Times New Roman"/>
          <w:sz w:val="17"/>
          <w:szCs w:val="17"/>
          <w:color w:val="auto"/>
        </w:rPr>
        <w:t xml:space="preserve">4.1 Subject to adjustment in accordance with Section 14, an amount of shares of Common Stock equal to (i) </w:t>
      </w:r>
      <w:r>
        <w:rPr>
          <w:rFonts w:ascii="Times New Roman" w:cs="Times New Roman" w:eastAsia="Times New Roman" w:hAnsi="Times New Roman"/>
          <w:sz w:val="17"/>
          <w:szCs w:val="17"/>
          <w:b w:val="1"/>
          <w:bCs w:val="1"/>
          <w:u w:val="single" w:color="auto"/>
          <w:color w:val="0000FF"/>
        </w:rPr>
        <w:t>two hundred and sixty thousand (260,000)</w:t>
      </w:r>
      <w:r>
        <w:rPr>
          <w:rFonts w:ascii="Times New Roman" w:cs="Times New Roman" w:eastAsia="Times New Roman" w:hAnsi="Times New Roman"/>
          <w:sz w:val="17"/>
          <w:szCs w:val="17"/>
          <w:color w:val="FF0000"/>
          <w:strike w:val="1"/>
        </w:rPr>
        <w:t>two million (2,000,000)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number of shares of Common Stock underlying any award granted under the Agrify Corporation 2020 Omnibus Equity Incentive Plan (the “</w:t>
      </w:r>
      <w:r>
        <w:rPr>
          <w:rFonts w:ascii="Times New Roman" w:cs="Times New Roman" w:eastAsia="Times New Roman" w:hAnsi="Times New Roman"/>
          <w:sz w:val="17"/>
          <w:szCs w:val="17"/>
          <w:b w:val="1"/>
          <w:bCs w:val="1"/>
          <w:color w:val="auto"/>
        </w:rPr>
        <w:t>Prior Plan</w:t>
      </w:r>
      <w:r>
        <w:rPr>
          <w:rFonts w:ascii="Times New Roman" w:cs="Times New Roman" w:eastAsia="Times New Roman" w:hAnsi="Times New Roman"/>
          <w:sz w:val="17"/>
          <w:szCs w:val="17"/>
          <w:color w:val="auto"/>
        </w:rPr>
        <w:t xml:space="preserve">”) that expires, terminates or is canceled or forfeited under the terms of the Prior Plan </w:t>
      </w:r>
      <w:r>
        <w:rPr>
          <w:rFonts w:ascii="Times New Roman" w:cs="Times New Roman" w:eastAsia="Times New Roman" w:hAnsi="Times New Roman"/>
          <w:sz w:val="17"/>
          <w:szCs w:val="17"/>
          <w:i w:val="1"/>
          <w:iCs w:val="1"/>
          <w:color w:val="FF0000"/>
          <w:strike w:val="1"/>
        </w:rPr>
        <w:t>minus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(iii) the number of shares of Common Stock underlying any award granted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 xml:space="preserve">under the Prior Plan between January 1, 2022 and the date of the Company’s 2022 Annual Meeting of Stockholders </w:t>
      </w:r>
      <w:r>
        <w:rPr>
          <w:rFonts w:ascii="Times New Roman" w:cs="Times New Roman" w:eastAsia="Times New Roman" w:hAnsi="Times New Roman"/>
          <w:sz w:val="17"/>
          <w:szCs w:val="17"/>
          <w:color w:val="000000"/>
          <w:strike w:val="1"/>
        </w:rPr>
        <w:t>shall be available for the grant of Awards under the Plan (the “</w:t>
      </w:r>
      <w:r>
        <w:rPr>
          <w:rFonts w:ascii="Times New Roman" w:cs="Times New Roman" w:eastAsia="Times New Roman" w:hAnsi="Times New Roman"/>
          <w:sz w:val="17"/>
          <w:szCs w:val="17"/>
          <w:b w:val="1"/>
          <w:bCs w:val="1"/>
          <w:color w:val="000000"/>
          <w:strike w:val="1"/>
        </w:rPr>
        <w:t>Total Share Reserve</w:t>
      </w:r>
      <w:r>
        <w:rPr>
          <w:rFonts w:ascii="Times New Roman" w:cs="Times New Roman" w:eastAsia="Times New Roman" w:hAnsi="Times New Roman"/>
          <w:sz w:val="17"/>
          <w:szCs w:val="17"/>
          <w:color w:val="000000"/>
          <w:strike w:val="1"/>
        </w:rPr>
        <w:t>”).</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During the terms of the Awards, the Company shall keep available at all times the number of shares of Common Stock required to satisfy such Awards.</w:t>
      </w:r>
    </w:p>
    <w:p>
      <w:pPr>
        <w:spacing w:after="0" w:line="97" w:lineRule="exact"/>
        <w:rPr>
          <w:sz w:val="20"/>
          <w:szCs w:val="20"/>
          <w:color w:val="auto"/>
        </w:rPr>
      </w:pPr>
    </w:p>
    <w:p>
      <w:pPr>
        <w:ind w:left="1000" w:right="679" w:firstLine="419"/>
        <w:spacing w:after="0" w:line="276" w:lineRule="auto"/>
        <w:rPr>
          <w:sz w:val="20"/>
          <w:szCs w:val="20"/>
          <w:color w:val="auto"/>
        </w:rPr>
      </w:pPr>
      <w:r>
        <w:rPr>
          <w:rFonts w:ascii="Times New Roman" w:cs="Times New Roman" w:eastAsia="Times New Roman" w:hAnsi="Times New Roman"/>
          <w:sz w:val="17"/>
          <w:szCs w:val="17"/>
          <w:color w:val="auto"/>
        </w:rPr>
        <w:t>4.2 Shares of Common Stock available for distribution under the Plan may consist, in whole or in part, of authorized and unissued shares, treasury shares or shares reacquired by the Company in any manner.</w:t>
      </w:r>
    </w:p>
    <w:p>
      <w:pPr>
        <w:spacing w:after="0" w:line="98" w:lineRule="exact"/>
        <w:rPr>
          <w:sz w:val="20"/>
          <w:szCs w:val="20"/>
          <w:color w:val="auto"/>
        </w:rPr>
      </w:pPr>
    </w:p>
    <w:p>
      <w:pPr>
        <w:ind w:left="1000" w:right="819" w:firstLine="419"/>
        <w:spacing w:after="0" w:line="276" w:lineRule="auto"/>
        <w:rPr>
          <w:sz w:val="20"/>
          <w:szCs w:val="20"/>
          <w:color w:val="auto"/>
        </w:rPr>
      </w:pPr>
      <w:r>
        <w:rPr>
          <w:rFonts w:ascii="Times New Roman" w:cs="Times New Roman" w:eastAsia="Times New Roman" w:hAnsi="Times New Roman"/>
          <w:sz w:val="17"/>
          <w:szCs w:val="17"/>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Times New Roman" w:cs="Times New Roman" w:eastAsia="Times New Roman" w:hAnsi="Times New Roman"/>
          <w:sz w:val="17"/>
          <w:szCs w:val="17"/>
          <w:b w:val="1"/>
          <w:bCs w:val="1"/>
          <w:color w:val="auto"/>
        </w:rPr>
        <w:t>“ISO Limit”</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97" w:lineRule="exact"/>
        <w:rPr>
          <w:sz w:val="20"/>
          <w:szCs w:val="20"/>
          <w:color w:val="auto"/>
        </w:rPr>
      </w:pPr>
    </w:p>
    <w:p>
      <w:pPr>
        <w:ind w:left="1000" w:right="659" w:firstLine="419"/>
        <w:spacing w:after="0" w:line="262" w:lineRule="auto"/>
        <w:rPr>
          <w:sz w:val="20"/>
          <w:szCs w:val="20"/>
          <w:color w:val="auto"/>
        </w:rPr>
      </w:pPr>
      <w:r>
        <w:rPr>
          <w:rFonts w:ascii="Times New Roman" w:cs="Times New Roman" w:eastAsia="Times New Roman" w:hAnsi="Times New Roman"/>
          <w:sz w:val="17"/>
          <w:szCs w:val="17"/>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xml:space="preserve">”). Substitute Awards shall not be counted against the Total Share 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10" w:lineRule="exact"/>
        <w:rPr>
          <w:sz w:val="20"/>
          <w:szCs w:val="20"/>
          <w:color w:val="auto"/>
        </w:rPr>
      </w:pPr>
    </w:p>
    <w:p>
      <w:pPr>
        <w:ind w:left="1380" w:hanging="386"/>
        <w:spacing w:after="0"/>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right="699" w:firstLine="419"/>
        <w:spacing w:after="0" w:line="270" w:lineRule="auto"/>
        <w:rPr>
          <w:sz w:val="20"/>
          <w:szCs w:val="20"/>
          <w:color w:val="auto"/>
        </w:rPr>
      </w:pPr>
      <w:r>
        <w:rPr>
          <w:rFonts w:ascii="Times New Roman" w:cs="Times New Roman" w:eastAsia="Times New Roman" w:hAnsi="Times New Roman"/>
          <w:sz w:val="17"/>
          <w:szCs w:val="17"/>
          <w:color w:val="auto"/>
        </w:rPr>
        <w:t>5.1 Eligibility for Specific Awards.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3595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5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Ten Percent Shareholders</w:t>
      </w:r>
      <w:r>
        <w:rPr>
          <w:rFonts w:ascii="Times New Roman" w:cs="Times New Roman" w:eastAsia="Times New Roman" w:hAnsi="Times New Roman"/>
          <w:sz w:val="17"/>
          <w:szCs w:val="17"/>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98" w:lineRule="exact"/>
        <w:rPr>
          <w:sz w:val="20"/>
          <w:szCs w:val="20"/>
          <w:color w:val="auto"/>
        </w:rPr>
      </w:pPr>
    </w:p>
    <w:p>
      <w:pPr>
        <w:ind w:left="580" w:right="619" w:firstLine="414"/>
        <w:spacing w:after="0" w:line="260" w:lineRule="auto"/>
        <w:tabs>
          <w:tab w:leader="none" w:pos="139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Provisions.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-1493520</wp:posOffset>
            </wp:positionV>
            <wp:extent cx="8039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98" w:lineRule="exact"/>
        <w:rPr>
          <w:sz w:val="20"/>
          <w:szCs w:val="20"/>
          <w:color w:val="auto"/>
        </w:rPr>
      </w:pPr>
    </w:p>
    <w:p>
      <w:pPr>
        <w:ind w:left="1000" w:right="619" w:firstLine="419"/>
        <w:spacing w:after="0" w:line="268"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Non-qualified Stock Option shall be exercisable after the expiration of 10 years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Date.</w:t>
      </w:r>
    </w:p>
    <w:p>
      <w:pPr>
        <w:spacing w:after="0" w:line="306" w:lineRule="exact"/>
        <w:rPr>
          <w:sz w:val="20"/>
          <w:szCs w:val="20"/>
          <w:color w:val="auto"/>
        </w:rPr>
      </w:pPr>
    </w:p>
    <w:p>
      <w:pPr>
        <w:jc w:val="both"/>
        <w:ind w:left="1000" w:right="599" w:firstLine="419"/>
        <w:spacing w:after="0" w:line="264" w:lineRule="auto"/>
        <w:rPr>
          <w:sz w:val="20"/>
          <w:szCs w:val="20"/>
          <w:color w:val="auto"/>
        </w:rPr>
      </w:pPr>
      <w:r>
        <w:rPr>
          <w:rFonts w:ascii="Times New Roman" w:cs="Times New Roman" w:eastAsia="Times New Roman" w:hAnsi="Times New Roman"/>
          <w:sz w:val="17"/>
          <w:szCs w:val="17"/>
          <w:color w:val="auto"/>
        </w:rPr>
        <w:t>6.2 Exercise Price of an Incentive Stock Option. Subject to the provisions of Section 5.2 regarding Ten Percent Shareholders, the Option Exercise Price of each Incentive Stock Option shall be not less than 100% of the Fair Market Value of the Common Stock subject to the Option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-288925</wp:posOffset>
            </wp:positionV>
            <wp:extent cx="19456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jc w:val="both"/>
        <w:ind w:left="1000" w:right="719"/>
        <w:spacing w:after="0" w:line="265" w:lineRule="auto"/>
        <w:rPr>
          <w:sz w:val="20"/>
          <w:szCs w:val="20"/>
          <w:color w:val="auto"/>
        </w:rPr>
      </w:pPr>
      <w:r>
        <w:rPr>
          <w:rFonts w:ascii="Times New Roman" w:cs="Times New Roman" w:eastAsia="Times New Roman" w:hAnsi="Times New Roman"/>
          <w:sz w:val="17"/>
          <w:szCs w:val="17"/>
          <w:color w:val="auto"/>
        </w:rPr>
        <w:t>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07" w:lineRule="exact"/>
        <w:rPr>
          <w:sz w:val="20"/>
          <w:szCs w:val="20"/>
          <w:color w:val="auto"/>
        </w:rPr>
      </w:pPr>
    </w:p>
    <w:p>
      <w:pPr>
        <w:ind w:left="1000" w:right="599" w:firstLine="419"/>
        <w:spacing w:after="0" w:line="265" w:lineRule="auto"/>
        <w:rPr>
          <w:sz w:val="20"/>
          <w:szCs w:val="20"/>
          <w:color w:val="auto"/>
        </w:rPr>
      </w:pPr>
      <w:r>
        <w:rPr>
          <w:rFonts w:ascii="Times New Roman" w:cs="Times New Roman" w:eastAsia="Times New Roman" w:hAnsi="Times New Roman"/>
          <w:sz w:val="17"/>
          <w:szCs w:val="17"/>
          <w:color w:val="auto"/>
        </w:rPr>
        <w:t>6.3 Exercise Price of a Non-qualified Stock Option.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2099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99310" cy="8255"/>
                    </a:xfrm>
                    <a:prstGeom prst="rect">
                      <a:avLst/>
                    </a:prstGeom>
                    <a:noFill/>
                  </pic:spPr>
                </pic:pic>
              </a:graphicData>
            </a:graphic>
          </wp:anchor>
        </w:drawing>
      </w:r>
    </w:p>
    <w:p>
      <w:pPr>
        <w:spacing w:after="0" w:line="86" w:lineRule="exact"/>
        <w:rPr>
          <w:sz w:val="20"/>
          <w:szCs w:val="20"/>
          <w:color w:val="auto"/>
        </w:rPr>
      </w:pPr>
    </w:p>
    <w:p>
      <w:pPr>
        <w:ind w:left="1000" w:right="599" w:firstLine="419"/>
        <w:spacing w:after="0" w:line="25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6.5 Transferability of an Incentive Stock Option.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9634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85" w:lineRule="exact"/>
        <w:rPr>
          <w:sz w:val="20"/>
          <w:szCs w:val="20"/>
          <w:color w:val="auto"/>
        </w:rPr>
      </w:pPr>
    </w:p>
    <w:p>
      <w:pPr>
        <w:ind w:left="1000" w:right="659" w:firstLine="419"/>
        <w:spacing w:after="0" w:line="262" w:lineRule="auto"/>
        <w:rPr>
          <w:sz w:val="20"/>
          <w:szCs w:val="20"/>
          <w:color w:val="auto"/>
        </w:rPr>
      </w:pPr>
      <w:r>
        <w:rPr>
          <w:rFonts w:ascii="Times New Roman" w:cs="Times New Roman" w:eastAsia="Times New Roman" w:hAnsi="Times New Roman"/>
          <w:sz w:val="17"/>
          <w:szCs w:val="17"/>
          <w:color w:val="auto"/>
        </w:rPr>
        <w:t>6.6 Transferability of a Non-qualified Stock Option.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-963930</wp:posOffset>
            </wp:positionV>
            <wp:extent cx="21170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93" w:lineRule="exact"/>
        <w:rPr>
          <w:sz w:val="20"/>
          <w:szCs w:val="20"/>
          <w:color w:val="auto"/>
        </w:rPr>
      </w:pPr>
    </w:p>
    <w:p>
      <w:pPr>
        <w:ind w:left="1000" w:right="739" w:firstLine="419"/>
        <w:spacing w:after="0" w:line="267" w:lineRule="auto"/>
        <w:rPr>
          <w:sz w:val="20"/>
          <w:szCs w:val="20"/>
          <w:color w:val="auto"/>
        </w:rPr>
      </w:pPr>
      <w:r>
        <w:rPr>
          <w:rFonts w:ascii="Times New Roman" w:cs="Times New Roman" w:eastAsia="Times New Roman" w:hAnsi="Times New Roman"/>
          <w:sz w:val="17"/>
          <w:szCs w:val="17"/>
          <w:color w:val="auto"/>
        </w:rPr>
        <w:t>6.7 Vesting of Options.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8312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71" w:lineRule="exact"/>
        <w:rPr>
          <w:sz w:val="20"/>
          <w:szCs w:val="20"/>
          <w:color w:val="auto"/>
        </w:rPr>
      </w:pPr>
    </w:p>
    <w:p>
      <w:pPr>
        <w:ind w:left="1000" w:right="639" w:firstLine="419"/>
        <w:spacing w:after="0" w:line="267" w:lineRule="auto"/>
        <w:rPr>
          <w:sz w:val="20"/>
          <w:szCs w:val="20"/>
          <w:color w:val="auto"/>
        </w:rPr>
      </w:pPr>
      <w:r>
        <w:rPr>
          <w:rFonts w:ascii="Times New Roman" w:cs="Times New Roman" w:eastAsia="Times New Roman" w:hAnsi="Times New Roman"/>
          <w:sz w:val="17"/>
          <w:szCs w:val="17"/>
          <w:color w:val="auto"/>
        </w:rPr>
        <w:t>6.8 Termination of Continuous Service.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5595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59560" cy="8255"/>
                    </a:xfrm>
                    <a:prstGeom prst="rect">
                      <a:avLst/>
                    </a:prstGeom>
                    <a:noFill/>
                  </pic:spPr>
                </pic:pic>
              </a:graphicData>
            </a:graphic>
          </wp:anchor>
        </w:drawing>
      </w:r>
    </w:p>
    <w:p>
      <w:pPr>
        <w:spacing w:after="0" w:line="85" w:lineRule="exact"/>
        <w:rPr>
          <w:sz w:val="20"/>
          <w:szCs w:val="20"/>
          <w:color w:val="auto"/>
        </w:rPr>
      </w:pPr>
    </w:p>
    <w:p>
      <w:pPr>
        <w:ind w:left="1000" w:right="639" w:firstLine="419"/>
        <w:spacing w:after="0" w:line="262" w:lineRule="auto"/>
        <w:rPr>
          <w:sz w:val="20"/>
          <w:szCs w:val="20"/>
          <w:color w:val="auto"/>
        </w:rPr>
      </w:pPr>
      <w:r>
        <w:rPr>
          <w:rFonts w:ascii="Times New Roman" w:cs="Times New Roman" w:eastAsia="Times New Roman" w:hAnsi="Times New Roman"/>
          <w:sz w:val="17"/>
          <w:szCs w:val="17"/>
          <w:color w:val="auto"/>
        </w:rPr>
        <w:t>6.9 Extension of Termination Date.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-1099185</wp:posOffset>
            </wp:positionV>
            <wp:extent cx="13684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90" w:lineRule="exact"/>
        <w:rPr>
          <w:sz w:val="20"/>
          <w:szCs w:val="20"/>
          <w:color w:val="auto"/>
        </w:rPr>
      </w:pPr>
    </w:p>
    <w:p>
      <w:pPr>
        <w:ind w:left="1000" w:right="7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Incentive Stock Option $100,000 Limitation</w:t>
      </w:r>
      <w:r>
        <w:rPr>
          <w:rFonts w:ascii="Times New Roman" w:cs="Times New Roman" w:eastAsia="Times New Roman" w:hAnsi="Times New Roman"/>
          <w:sz w:val="17"/>
          <w:szCs w:val="17"/>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91" w:lineRule="exact"/>
        <w:rPr>
          <w:sz w:val="20"/>
          <w:szCs w:val="20"/>
          <w:color w:val="auto"/>
        </w:rPr>
      </w:pPr>
    </w:p>
    <w:p>
      <w:pPr>
        <w:ind w:left="580" w:right="639" w:firstLine="414"/>
        <w:spacing w:after="0" w:line="267" w:lineRule="auto"/>
        <w:tabs>
          <w:tab w:leader="none" w:pos="139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or in tandem with an Option granted under the Plan (“</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1000" w:right="639" w:firstLine="419"/>
        <w:spacing w:after="0" w:line="27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Grant Requirements for 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03" w:lineRule="exact"/>
        <w:rPr>
          <w:sz w:val="20"/>
          <w:szCs w:val="20"/>
          <w:color w:val="auto"/>
        </w:rPr>
      </w:pPr>
    </w:p>
    <w:p>
      <w:pPr>
        <w:jc w:val="both"/>
        <w:ind w:left="1000" w:right="759" w:firstLine="419"/>
        <w:spacing w:after="0" w:line="27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a Stock Appreciation Right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Stock Appreciation Right shall be exercisable later than the tenth anniversary of the Grant 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u w:val="single" w:color="auto"/>
          <w:color w:val="auto"/>
        </w:rPr>
        <w:t>Vesting</w:t>
      </w:r>
    </w:p>
    <w:p>
      <w:pPr>
        <w:spacing w:after="0" w:line="158" w:lineRule="exact"/>
        <w:rPr>
          <w:sz w:val="20"/>
          <w:szCs w:val="20"/>
          <w:color w:val="auto"/>
        </w:rPr>
      </w:pPr>
    </w:p>
    <w:p>
      <w:pPr>
        <w:ind w:left="1000" w:right="759" w:firstLine="838"/>
        <w:spacing w:after="0" w:line="267" w:lineRule="auto"/>
        <w:rPr>
          <w:sz w:val="20"/>
          <w:szCs w:val="20"/>
          <w:color w:val="auto"/>
        </w:rPr>
      </w:pPr>
      <w:r>
        <w:rPr>
          <w:rFonts w:ascii="Times New Roman" w:cs="Times New Roman" w:eastAsia="Times New Roman" w:hAnsi="Times New Roman"/>
          <w:sz w:val="17"/>
          <w:szCs w:val="17"/>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05" w:lineRule="exact"/>
        <w:rPr>
          <w:sz w:val="20"/>
          <w:szCs w:val="20"/>
          <w:color w:val="auto"/>
        </w:rPr>
      </w:pPr>
    </w:p>
    <w:p>
      <w:pPr>
        <w:ind w:left="1000" w:right="679" w:firstLine="419"/>
        <w:spacing w:after="0" w:line="262" w:lineRule="auto"/>
        <w:rPr>
          <w:sz w:val="20"/>
          <w:szCs w:val="20"/>
          <w:color w:val="auto"/>
        </w:rPr>
      </w:pPr>
      <w:r>
        <w:rPr>
          <w:rFonts w:ascii="Times New Roman" w:cs="Times New Roman" w:eastAsia="Times New Roman" w:hAnsi="Times New Roman"/>
          <w:sz w:val="17"/>
          <w:szCs w:val="17"/>
          <w:color w:val="auto"/>
        </w:rPr>
        <w:t>7.4 Exercise and Payment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-963930</wp:posOffset>
            </wp:positionV>
            <wp:extent cx="10128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290"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7.5</w:t>
        <w:tab/>
        <w:t>Exercise Price The exercise price of a Free Standing Right shall be 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-3810</wp:posOffset>
            </wp:positionV>
            <wp:extent cx="636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Committee, but shall not be less than 100% of the Fair Market Value of one share of Common Stock on</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Grant Date of such Stock Appreciation Right. A Related Right granted simultaneously with or</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subsequent to the grant of an Option and in conjunction therewith or in the alternative thereto shall have</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same exercise price as the related Option, shall be transferable only upon the same terms and</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conditions as the related Option, and shall be exercisable only to the same extent as the related</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Stock Appreciation Right, by its terms, shall be exercisable only when</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Fair Market Value per share of Common Stock subject to the Stock Appreciation Right and related</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Option exceeds the exercise price per share thereof and no Stock Appreciation Rights may be granted in</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tandem with an Option unless the Committee determines that the requirements of Section 7.1 are satisfied.</w:t>
      </w:r>
    </w:p>
    <w:p>
      <w:pPr>
        <w:spacing w:after="0" w:line="140" w:lineRule="exact"/>
        <w:rPr>
          <w:sz w:val="20"/>
          <w:szCs w:val="20"/>
          <w:color w:val="auto"/>
        </w:rPr>
      </w:pPr>
    </w:p>
    <w:p>
      <w:pPr>
        <w:ind w:left="1000" w:right="639" w:firstLine="419"/>
        <w:spacing w:after="0" w:line="267" w:lineRule="auto"/>
        <w:rPr>
          <w:sz w:val="20"/>
          <w:szCs w:val="20"/>
          <w:color w:val="auto"/>
        </w:rPr>
      </w:pPr>
      <w:r>
        <w:rPr>
          <w:rFonts w:ascii="Times New Roman" w:cs="Times New Roman" w:eastAsia="Times New Roman" w:hAnsi="Times New Roman"/>
          <w:sz w:val="17"/>
          <w:szCs w:val="17"/>
          <w:color w:val="auto"/>
        </w:rPr>
        <w:t>7.6 Reduction in the Underlying Option Shares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924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83" w:lineRule="exact"/>
        <w:rPr>
          <w:sz w:val="20"/>
          <w:szCs w:val="20"/>
          <w:color w:val="auto"/>
        </w:rPr>
      </w:pPr>
    </w:p>
    <w:p>
      <w:pPr>
        <w:ind w:left="580" w:right="619" w:firstLine="414"/>
        <w:spacing w:after="0" w:line="262" w:lineRule="auto"/>
        <w:tabs>
          <w:tab w:leader="none" w:pos="139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Awards A Restricted Award is an Award of actual shares of Common Stock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hypothetical Common Stock units (“</w:t>
      </w: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having a value equal to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-1097915</wp:posOffset>
            </wp:positionV>
            <wp:extent cx="81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79"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8.1</w:t>
        <w:tab/>
        <w:t>Restricted Stock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-3810</wp:posOffset>
            </wp:positionV>
            <wp:extent cx="1942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38" w:lineRule="exact"/>
        <w:rPr>
          <w:sz w:val="20"/>
          <w:szCs w:val="20"/>
          <w:color w:val="auto"/>
        </w:rPr>
      </w:pPr>
    </w:p>
    <w:p>
      <w:pPr>
        <w:ind w:left="1420" w:right="599" w:firstLine="412"/>
        <w:spacing w:after="0" w:line="260" w:lineRule="auto"/>
        <w:tabs>
          <w:tab w:leader="none" w:pos="242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shall not have the right to receive dividends on any unvested shares of Restricted Stock.</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19" w:firstLine="412"/>
        <w:spacing w:after="0" w:line="263" w:lineRule="auto"/>
        <w:tabs>
          <w:tab w:leader="none" w:pos="24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color w:val="auto"/>
        </w:rPr>
        <w:t>Deferred Stock Units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Restrictions</w:t>
      </w:r>
    </w:p>
    <w:p>
      <w:pPr>
        <w:spacing w:after="0" w:line="158" w:lineRule="exact"/>
        <w:rPr>
          <w:sz w:val="20"/>
          <w:szCs w:val="20"/>
          <w:color w:val="auto"/>
        </w:rPr>
      </w:pPr>
    </w:p>
    <w:p>
      <w:pPr>
        <w:ind w:left="1420" w:right="599" w:firstLine="412"/>
        <w:spacing w:after="0" w:line="262" w:lineRule="auto"/>
        <w:tabs>
          <w:tab w:leader="none" w:pos="242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96" w:lineRule="exact"/>
        <w:rPr>
          <w:rFonts w:ascii="Times New Roman" w:cs="Times New Roman" w:eastAsia="Times New Roman" w:hAnsi="Times New Roman"/>
          <w:sz w:val="17"/>
          <w:szCs w:val="17"/>
          <w:color w:val="auto"/>
        </w:rPr>
      </w:pPr>
    </w:p>
    <w:p>
      <w:pPr>
        <w:ind w:left="1420" w:right="699" w:firstLine="412"/>
        <w:spacing w:after="0" w:line="263" w:lineRule="auto"/>
        <w:tabs>
          <w:tab w:leader="none" w:pos="24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11" w:lineRule="exact"/>
        <w:rPr>
          <w:rFonts w:ascii="Times New Roman" w:cs="Times New Roman" w:eastAsia="Times New Roman" w:hAnsi="Times New Roman"/>
          <w:sz w:val="17"/>
          <w:szCs w:val="17"/>
          <w:color w:val="auto"/>
        </w:rPr>
      </w:pPr>
    </w:p>
    <w:p>
      <w:pPr>
        <w:ind w:left="1420" w:right="579" w:firstLine="412"/>
        <w:spacing w:after="0" w:line="267" w:lineRule="auto"/>
        <w:tabs>
          <w:tab w:leader="none" w:pos="242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105"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8.3</w:t>
        <w:tab/>
        <w:t>Restricted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-3810</wp:posOffset>
            </wp:positionV>
            <wp:extent cx="7664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6445" cy="8255"/>
                    </a:xfrm>
                    <a:prstGeom prst="rect">
                      <a:avLst/>
                    </a:prstGeom>
                    <a:noFill/>
                  </pic:spPr>
                </pic:pic>
              </a:graphicData>
            </a:graphic>
          </wp:anchor>
        </w:drawing>
      </w:r>
    </w:p>
    <w:p>
      <w:pPr>
        <w:spacing w:after="0" w:line="125" w:lineRule="exact"/>
        <w:rPr>
          <w:sz w:val="20"/>
          <w:szCs w:val="20"/>
          <w:color w:val="auto"/>
        </w:rPr>
      </w:pPr>
    </w:p>
    <w:p>
      <w:pPr>
        <w:ind w:left="1420" w:right="739" w:firstLine="419"/>
        <w:spacing w:after="0" w:line="267" w:lineRule="auto"/>
        <w:rPr>
          <w:sz w:val="20"/>
          <w:szCs w:val="20"/>
          <w:color w:val="auto"/>
        </w:rPr>
      </w:pPr>
      <w:r>
        <w:rPr>
          <w:rFonts w:ascii="Times New Roman" w:cs="Times New Roman" w:eastAsia="Times New Roman" w:hAnsi="Times New Roman"/>
          <w:sz w:val="17"/>
          <w:szCs w:val="17"/>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05" w:lineRule="exact"/>
        <w:rPr>
          <w:sz w:val="20"/>
          <w:szCs w:val="20"/>
          <w:color w:val="auto"/>
        </w:rPr>
      </w:pPr>
    </w:p>
    <w:p>
      <w:pPr>
        <w:ind w:left="1000" w:right="699" w:firstLine="419"/>
        <w:spacing w:after="0" w:line="268" w:lineRule="auto"/>
        <w:rPr>
          <w:sz w:val="20"/>
          <w:szCs w:val="20"/>
          <w:color w:val="auto"/>
        </w:rPr>
      </w:pPr>
      <w:r>
        <w:rPr>
          <w:rFonts w:ascii="Times New Roman" w:cs="Times New Roman" w:eastAsia="Times New Roman" w:hAnsi="Times New Roman"/>
          <w:sz w:val="17"/>
          <w:szCs w:val="17"/>
          <w:color w:val="auto"/>
        </w:rPr>
        <w:t>8.4 Delivery of Restricted Stock and Settlement of Restricted Stock Units Upon the expiration of the Restricted Period with respect to any shares of Restricted Stock, the restrictions set forth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-156845</wp:posOffset>
            </wp:positionV>
            <wp:extent cx="3100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ind w:left="1000" w:right="679"/>
        <w:spacing w:after="0" w:line="258" w:lineRule="auto"/>
        <w:rPr>
          <w:sz w:val="20"/>
          <w:szCs w:val="20"/>
          <w:color w:val="auto"/>
        </w:rPr>
      </w:pPr>
      <w:r>
        <w:rPr>
          <w:rFonts w:ascii="Times New Roman" w:cs="Times New Roman" w:eastAsia="Times New Roman" w:hAnsi="Times New Roman"/>
          <w:sz w:val="17"/>
          <w:szCs w:val="17"/>
          <w:color w:val="auto"/>
        </w:rPr>
        <w:t>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7"/>
          <w:szCs w:val="17"/>
          <w:b w:val="1"/>
          <w:bCs w:val="1"/>
          <w:color w:val="auto"/>
        </w:rPr>
        <w:t>Vested 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39" w:firstLine="419"/>
        <w:spacing w:after="0" w:line="29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Stock Restrictions</w:t>
      </w:r>
      <w:r>
        <w:rPr>
          <w:rFonts w:ascii="Times New Roman" w:cs="Times New Roman" w:eastAsia="Times New Roman" w:hAnsi="Times New Roman"/>
          <w:sz w:val="17"/>
          <w:szCs w:val="17"/>
          <w:color w:val="auto"/>
        </w:rPr>
        <w:t xml:space="preserve"> Each certificate representing Restricted Stock awarded under the Plan shall bear a legend in such form as the Company deems appropriate.</w:t>
      </w:r>
    </w:p>
    <w:p>
      <w:pPr>
        <w:spacing w:after="0" w:line="81" w:lineRule="exact"/>
        <w:rPr>
          <w:sz w:val="20"/>
          <w:szCs w:val="20"/>
          <w:color w:val="auto"/>
        </w:rPr>
      </w:pPr>
    </w:p>
    <w:p>
      <w:pPr>
        <w:ind w:left="580" w:right="679" w:firstLine="414"/>
        <w:spacing w:after="0" w:line="263" w:lineRule="auto"/>
        <w:tabs>
          <w:tab w:leader="none" w:pos="139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12084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92" w:lineRule="exact"/>
        <w:rPr>
          <w:sz w:val="20"/>
          <w:szCs w:val="20"/>
          <w:color w:val="auto"/>
        </w:rPr>
      </w:pPr>
    </w:p>
    <w:p>
      <w:pPr>
        <w:ind w:left="1000" w:right="839" w:firstLine="419"/>
        <w:spacing w:after="0" w:line="276" w:lineRule="auto"/>
        <w:rPr>
          <w:sz w:val="20"/>
          <w:szCs w:val="20"/>
          <w:color w:val="auto"/>
        </w:rPr>
      </w:pPr>
      <w:r>
        <w:rPr>
          <w:rFonts w:ascii="Times New Roman" w:cs="Times New Roman" w:eastAsia="Times New Roman" w:hAnsi="Times New Roman"/>
          <w:sz w:val="17"/>
          <w:szCs w:val="17"/>
          <w:color w:val="auto"/>
        </w:rPr>
        <w:t>9.1 Earning Performance Share Awards The number of Performance Shares earned by a Participant will depend on the extent to which the performance goals established by the Committee are attained within the applicable Performance Period,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587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65" w:lineRule="exact"/>
        <w:rPr>
          <w:sz w:val="20"/>
          <w:szCs w:val="20"/>
          <w:color w:val="auto"/>
        </w:rPr>
      </w:pPr>
    </w:p>
    <w:p>
      <w:pPr>
        <w:ind w:left="580" w:right="919" w:firstLine="414"/>
        <w:spacing w:after="0" w:line="263" w:lineRule="auto"/>
        <w:tabs>
          <w:tab w:leader="none" w:pos="138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Equity-Based Awards and Cash Awards</w:t>
      </w:r>
      <w:r>
        <w:rPr>
          <w:rFonts w:ascii="Times New Roman" w:cs="Times New Roman" w:eastAsia="Times New Roman" w:hAnsi="Times New Roman"/>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11" w:lineRule="exact"/>
        <w:rPr>
          <w:rFonts w:ascii="Times New Roman" w:cs="Times New Roman" w:eastAsia="Times New Roman" w:hAnsi="Times New Roman"/>
          <w:sz w:val="17"/>
          <w:szCs w:val="17"/>
          <w:color w:val="auto"/>
        </w:rPr>
      </w:pPr>
    </w:p>
    <w:p>
      <w:pPr>
        <w:ind w:left="580" w:right="659" w:firstLine="414"/>
        <w:spacing w:after="0" w:line="260" w:lineRule="auto"/>
        <w:tabs>
          <w:tab w:leader="none" w:pos="138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Law Compliance.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15" w:lineRule="exact"/>
        <w:rPr>
          <w:rFonts w:ascii="Times New Roman" w:cs="Times New Roman" w:eastAsia="Times New Roman" w:hAnsi="Times New Roman"/>
          <w:sz w:val="17"/>
          <w:szCs w:val="17"/>
          <w:color w:val="auto"/>
        </w:rPr>
      </w:pPr>
    </w:p>
    <w:p>
      <w:pPr>
        <w:ind w:left="580" w:right="659" w:firstLine="414"/>
        <w:spacing w:after="0" w:line="296" w:lineRule="auto"/>
        <w:tabs>
          <w:tab w:leader="none" w:pos="138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 from Stock</w:t>
      </w:r>
      <w:r>
        <w:rPr>
          <w:rFonts w:ascii="Times New Roman" w:cs="Times New Roman" w:eastAsia="Times New Roman" w:hAnsi="Times New Roman"/>
          <w:sz w:val="17"/>
          <w:szCs w:val="17"/>
          <w:color w:val="auto"/>
        </w:rPr>
        <w:t>. Proceeds from the sale of Common Stock pursuant to Awards, or upon exercise thereof, shall constitute general funds of the Company.</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-2174240</wp:posOffset>
            </wp:positionV>
            <wp:extent cx="12249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38" w:lineRule="exact"/>
        <w:rPr>
          <w:sz w:val="20"/>
          <w:szCs w:val="20"/>
          <w:color w:val="auto"/>
        </w:rPr>
      </w:pPr>
    </w:p>
    <w:p>
      <w:pPr>
        <w:ind w:left="1000" w:right="6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03" w:lineRule="exact"/>
        <w:rPr>
          <w:sz w:val="20"/>
          <w:szCs w:val="20"/>
          <w:color w:val="auto"/>
        </w:rPr>
      </w:pPr>
    </w:p>
    <w:p>
      <w:pPr>
        <w:ind w:left="1000" w:right="6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98" w:lineRule="exact"/>
        <w:rPr>
          <w:sz w:val="20"/>
          <w:szCs w:val="20"/>
          <w:color w:val="auto"/>
        </w:rPr>
      </w:pPr>
    </w:p>
    <w:p>
      <w:pPr>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779"/>
        <w:spacing w:after="0" w:line="270" w:lineRule="auto"/>
        <w:rPr>
          <w:sz w:val="20"/>
          <w:szCs w:val="20"/>
          <w:color w:val="auto"/>
        </w:rPr>
      </w:pPr>
      <w:r>
        <w:rPr>
          <w:rFonts w:ascii="Times New Roman" w:cs="Times New Roman" w:eastAsia="Times New Roman" w:hAnsi="Times New Roman"/>
          <w:sz w:val="17"/>
          <w:szCs w:val="17"/>
          <w:color w:val="auto"/>
        </w:rPr>
        <w:t>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03" w:lineRule="exact"/>
        <w:rPr>
          <w:sz w:val="20"/>
          <w:szCs w:val="20"/>
          <w:color w:val="auto"/>
        </w:rPr>
      </w:pPr>
    </w:p>
    <w:p>
      <w:pPr>
        <w:ind w:left="1000" w:right="73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13" w:lineRule="exact"/>
        <w:rPr>
          <w:sz w:val="20"/>
          <w:szCs w:val="20"/>
          <w:color w:val="auto"/>
        </w:rPr>
      </w:pPr>
    </w:p>
    <w:p>
      <w:pPr>
        <w:ind w:left="1000" w:right="61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01" w:lineRule="exact"/>
        <w:rPr>
          <w:sz w:val="20"/>
          <w:szCs w:val="20"/>
          <w:color w:val="auto"/>
        </w:rPr>
      </w:pPr>
    </w:p>
    <w:p>
      <w:pPr>
        <w:ind w:left="1000" w:right="73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xml:space="preserve">.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 (C) Awards to Directors </w:t>
      </w:r>
      <w:r>
        <w:rPr>
          <w:rFonts w:ascii="Times New Roman" w:cs="Times New Roman" w:eastAsia="Times New Roman" w:hAnsi="Times New Roman"/>
          <w:sz w:val="17"/>
          <w:szCs w:val="17"/>
          <w:color w:val="FF0000"/>
          <w:strike w:val="1"/>
        </w:rPr>
        <w:t>that vest on the earlier of the one year anniversary of the date of grant or the next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annual meeting of stockholders which is at least 50 weeks after the immediately preceding year’s annual meeting</w:t>
      </w:r>
      <w:r>
        <w:rPr>
          <w:rFonts w:ascii="Times New Roman" w:cs="Times New Roman" w:eastAsia="Times New Roman" w:hAnsi="Times New Roman"/>
          <w:sz w:val="17"/>
          <w:szCs w:val="17"/>
          <w:color w:val="000000"/>
          <w:strike w:val="1"/>
        </w:rPr>
        <w:t>, and (D) the Committee’s discretion to provide for accelerated exercisability or vesting of any</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Award, including in cases of retirement, death, disability or a Change in Control, in the terms of the Award or otherwise.</w:t>
      </w:r>
    </w:p>
    <w:p>
      <w:pPr>
        <w:spacing w:after="0" w:line="118" w:lineRule="exact"/>
        <w:rPr>
          <w:sz w:val="20"/>
          <w:szCs w:val="20"/>
          <w:color w:val="auto"/>
        </w:rPr>
      </w:pPr>
    </w:p>
    <w:p>
      <w:pPr>
        <w:ind w:left="580" w:right="619" w:firstLine="414"/>
        <w:spacing w:after="0" w:line="259" w:lineRule="auto"/>
        <w:tabs>
          <w:tab w:leader="none" w:pos="138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Upon Changes in Stock.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-2291080</wp:posOffset>
            </wp:positionV>
            <wp:extent cx="1638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41"/>
        <w:spacing w:after="0"/>
        <w:tabs>
          <w:tab w:leader="none" w:pos="14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-3810</wp:posOffset>
            </wp:positionV>
            <wp:extent cx="12357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38" w:lineRule="exact"/>
        <w:rPr>
          <w:sz w:val="20"/>
          <w:szCs w:val="20"/>
          <w:color w:val="auto"/>
        </w:rPr>
      </w:pPr>
    </w:p>
    <w:p>
      <w:pPr>
        <w:ind w:left="1000" w:right="599" w:firstLine="419"/>
        <w:spacing w:after="0" w:line="259" w:lineRule="auto"/>
        <w:rPr>
          <w:sz w:val="20"/>
          <w:szCs w:val="20"/>
          <w:color w:val="auto"/>
        </w:rPr>
      </w:pPr>
      <w:r>
        <w:rPr>
          <w:rFonts w:ascii="Times New Roman" w:cs="Times New Roman" w:eastAsia="Times New Roman" w:hAnsi="Times New Roman"/>
          <w:sz w:val="17"/>
          <w:szCs w:val="17"/>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of Common Stock subject to any Award shall be rounded to the nearest whole number.</w:t>
      </w:r>
    </w:p>
    <w:p>
      <w:pPr>
        <w:spacing w:after="0" w:line="332" w:lineRule="exact"/>
        <w:rPr>
          <w:sz w:val="20"/>
          <w:szCs w:val="20"/>
          <w:color w:val="auto"/>
        </w:rPr>
      </w:pPr>
    </w:p>
    <w:p>
      <w:pPr>
        <w:ind w:left="1000" w:right="779" w:firstLine="419"/>
        <w:spacing w:after="0" w:line="270" w:lineRule="auto"/>
        <w:rPr>
          <w:sz w:val="20"/>
          <w:szCs w:val="20"/>
          <w:color w:val="auto"/>
        </w:rPr>
      </w:pPr>
      <w:r>
        <w:rPr>
          <w:rFonts w:ascii="Times New Roman" w:cs="Times New Roman" w:eastAsia="Times New Roman" w:hAnsi="Times New Roman"/>
          <w:sz w:val="17"/>
          <w:szCs w:val="17"/>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90"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16.</w:t>
        <w:tab/>
        <w:t>Amendment of the Plan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16059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138" w:lineRule="exact"/>
        <w:rPr>
          <w:sz w:val="20"/>
          <w:szCs w:val="20"/>
          <w:color w:val="auto"/>
        </w:rPr>
      </w:pPr>
    </w:p>
    <w:p>
      <w:pPr>
        <w:ind w:left="1000" w:right="6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06" w:lineRule="exact"/>
        <w:rPr>
          <w:sz w:val="20"/>
          <w:szCs w:val="20"/>
          <w:color w:val="auto"/>
        </w:rPr>
      </w:pPr>
    </w:p>
    <w:p>
      <w:pPr>
        <w:ind w:left="1000" w:right="71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Board may, in its sole discretion, submit any other amendment to the Plan for shareholder approval.</w:t>
      </w:r>
    </w:p>
    <w:p>
      <w:pPr>
        <w:spacing w:after="0" w:line="68" w:lineRule="exact"/>
        <w:rPr>
          <w:sz w:val="20"/>
          <w:szCs w:val="20"/>
          <w:color w:val="auto"/>
        </w:rPr>
      </w:pPr>
    </w:p>
    <w:p>
      <w:pPr>
        <w:ind w:left="1000" w:right="63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16.3 </w:t>
      </w:r>
      <w:r>
        <w:rPr>
          <w:rFonts w:ascii="Times New Roman" w:cs="Times New Roman" w:eastAsia="Times New Roman" w:hAnsi="Times New Roman"/>
          <w:sz w:val="17"/>
          <w:szCs w:val="17"/>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06" w:lineRule="exact"/>
        <w:rPr>
          <w:sz w:val="20"/>
          <w:szCs w:val="20"/>
          <w:color w:val="auto"/>
        </w:rPr>
      </w:pPr>
    </w:p>
    <w:p>
      <w:pPr>
        <w:ind w:left="1000" w:right="7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16.4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(a) the Company requests the consent of the Participant and (b) the Participant consents in writing.</w:t>
      </w:r>
    </w:p>
    <w:p>
      <w:pPr>
        <w:spacing w:after="0" w:line="98" w:lineRule="exact"/>
        <w:rPr>
          <w:sz w:val="20"/>
          <w:szCs w:val="20"/>
          <w:color w:val="auto"/>
        </w:rPr>
      </w:pPr>
    </w:p>
    <w:p>
      <w:pPr>
        <w:ind w:left="1000" w:right="6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(a) the Company requests the consent of the Participant and (b) the Participant consents in writing.</w:t>
      </w:r>
    </w:p>
    <w:p>
      <w:pPr>
        <w:spacing w:after="0" w:line="90"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17.</w:t>
        <w:tab/>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8464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138" w:lineRule="exact"/>
        <w:rPr>
          <w:sz w:val="20"/>
          <w:szCs w:val="20"/>
          <w:color w:val="auto"/>
        </w:rPr>
      </w:pPr>
    </w:p>
    <w:p>
      <w:pPr>
        <w:ind w:left="1000" w:right="73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839"/>
        <w:spacing w:after="0" w:line="276" w:lineRule="auto"/>
        <w:rPr>
          <w:sz w:val="20"/>
          <w:szCs w:val="20"/>
          <w:color w:val="auto"/>
        </w:rPr>
      </w:pPr>
      <w:r>
        <w:rPr>
          <w:rFonts w:ascii="Times New Roman" w:cs="Times New Roman" w:eastAsia="Times New Roman" w:hAnsi="Times New Roman"/>
          <w:sz w:val="17"/>
          <w:szCs w:val="17"/>
          <w:color w:val="auto"/>
        </w:rPr>
        <w:t>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98" w:lineRule="exact"/>
        <w:rPr>
          <w:sz w:val="20"/>
          <w:szCs w:val="20"/>
          <w:color w:val="auto"/>
        </w:rPr>
      </w:pPr>
    </w:p>
    <w:p>
      <w:pPr>
        <w:ind w:left="100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111" w:lineRule="exact"/>
        <w:rPr>
          <w:sz w:val="20"/>
          <w:szCs w:val="20"/>
          <w:color w:val="auto"/>
        </w:rPr>
      </w:pPr>
    </w:p>
    <w:p>
      <w:pPr>
        <w:ind w:left="1000" w:right="85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90" w:lineRule="exact"/>
        <w:rPr>
          <w:sz w:val="20"/>
          <w:szCs w:val="20"/>
          <w:color w:val="auto"/>
        </w:rPr>
      </w:pPr>
    </w:p>
    <w:p>
      <w:pPr>
        <w:ind w:left="1000" w:right="6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05" w:lineRule="exact"/>
        <w:rPr>
          <w:sz w:val="20"/>
          <w:szCs w:val="20"/>
          <w:color w:val="auto"/>
        </w:rPr>
      </w:pPr>
    </w:p>
    <w:p>
      <w:pPr>
        <w:ind w:left="1000" w:right="63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13" w:lineRule="exact"/>
        <w:rPr>
          <w:sz w:val="20"/>
          <w:szCs w:val="20"/>
          <w:color w:val="auto"/>
        </w:rPr>
      </w:pPr>
    </w:p>
    <w:p>
      <w:pPr>
        <w:ind w:left="1000" w:right="73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85" w:lineRule="exact"/>
        <w:rPr>
          <w:sz w:val="20"/>
          <w:szCs w:val="20"/>
          <w:color w:val="auto"/>
        </w:rPr>
      </w:pPr>
    </w:p>
    <w:p>
      <w:pPr>
        <w:ind w:left="1000" w:right="9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Recapitalizations</w:t>
      </w:r>
      <w:r>
        <w:rPr>
          <w:rFonts w:ascii="Times New Roman" w:cs="Times New Roman" w:eastAsia="Times New Roman" w:hAnsi="Times New Roman"/>
          <w:sz w:val="17"/>
          <w:szCs w:val="17"/>
          <w:color w:val="auto"/>
        </w:rPr>
        <w:t>. Each Award Agreement shall contain provisions required to reflect the provisions of Section 14.</w:t>
      </w:r>
    </w:p>
    <w:p>
      <w:pPr>
        <w:spacing w:after="0" w:line="81" w:lineRule="exact"/>
        <w:rPr>
          <w:sz w:val="20"/>
          <w:szCs w:val="20"/>
          <w:color w:val="auto"/>
        </w:rPr>
      </w:pPr>
    </w:p>
    <w:p>
      <w:pPr>
        <w:ind w:left="1000" w:right="6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03" w:lineRule="exact"/>
        <w:rPr>
          <w:sz w:val="20"/>
          <w:szCs w:val="20"/>
          <w:color w:val="auto"/>
        </w:rPr>
      </w:pPr>
    </w:p>
    <w:p>
      <w:pPr>
        <w:ind w:left="1000" w:right="65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90" w:lineRule="exact"/>
        <w:rPr>
          <w:sz w:val="20"/>
          <w:szCs w:val="20"/>
          <w:color w:val="auto"/>
        </w:rPr>
      </w:pPr>
    </w:p>
    <w:p>
      <w:pPr>
        <w:jc w:val="both"/>
        <w:ind w:left="1000" w:right="73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1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15" w:lineRule="exact"/>
        <w:rPr>
          <w:sz w:val="20"/>
          <w:szCs w:val="20"/>
          <w:color w:val="auto"/>
        </w:rPr>
      </w:pPr>
    </w:p>
    <w:p>
      <w:pPr>
        <w:ind w:left="1000" w:right="7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shall be required to immediately advise the Company in writing as to the occurrence of the sale and the price realized upon the sale of such shares of Common Stock.</w:t>
      </w:r>
    </w:p>
    <w:p>
      <w:pPr>
        <w:spacing w:after="0" w:line="112" w:lineRule="exact"/>
        <w:rPr>
          <w:sz w:val="20"/>
          <w:szCs w:val="20"/>
          <w:color w:val="auto"/>
        </w:rPr>
      </w:pPr>
    </w:p>
    <w:p>
      <w:pPr>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17.13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98" w:lineRule="exact"/>
        <w:rPr>
          <w:sz w:val="20"/>
          <w:szCs w:val="20"/>
          <w:color w:val="auto"/>
        </w:rPr>
      </w:pPr>
    </w:p>
    <w:p>
      <w:pPr>
        <w:ind w:left="1000" w:right="6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17.15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158" w:lineRule="exact"/>
        <w:rPr>
          <w:sz w:val="20"/>
          <w:szCs w:val="20"/>
          <w:color w:val="auto"/>
        </w:rPr>
      </w:pPr>
    </w:p>
    <w:p>
      <w:pPr>
        <w:ind w:left="1000" w:right="6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90" w:lineRule="exact"/>
        <w:rPr>
          <w:sz w:val="20"/>
          <w:szCs w:val="20"/>
          <w:color w:val="auto"/>
        </w:rPr>
      </w:pPr>
    </w:p>
    <w:p>
      <w:pPr>
        <w:ind w:left="1000" w:right="8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17.17 </w:t>
      </w: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the Plan are for purposes of convenience only and are not intended to define or limit the construction of the provisions hereof.</w:t>
      </w:r>
    </w:p>
    <w:p>
      <w:pPr>
        <w:spacing w:after="0" w:line="81" w:lineRule="exact"/>
        <w:rPr>
          <w:sz w:val="20"/>
          <w:szCs w:val="20"/>
          <w:color w:val="auto"/>
        </w:rPr>
      </w:pPr>
    </w:p>
    <w:p>
      <w:pPr>
        <w:ind w:left="1000" w:right="63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05" w:lineRule="exact"/>
        <w:rPr>
          <w:sz w:val="20"/>
          <w:szCs w:val="20"/>
          <w:color w:val="auto"/>
        </w:rPr>
      </w:pPr>
    </w:p>
    <w:p>
      <w:pPr>
        <w:ind w:left="1380" w:hanging="386"/>
        <w:spacing w:after="0"/>
        <w:tabs>
          <w:tab w:leader="none" w:pos="13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of Plan. The Plan shall become effective as of the Effective Date.</w:t>
      </w:r>
    </w:p>
    <w:p>
      <w:pPr>
        <w:spacing w:after="0" w:line="145" w:lineRule="exact"/>
        <w:rPr>
          <w:rFonts w:ascii="Times New Roman" w:cs="Times New Roman" w:eastAsia="Times New Roman" w:hAnsi="Times New Roman"/>
          <w:sz w:val="17"/>
          <w:szCs w:val="17"/>
          <w:color w:val="auto"/>
        </w:rPr>
      </w:pPr>
    </w:p>
    <w:p>
      <w:pPr>
        <w:jc w:val="both"/>
        <w:ind w:left="580" w:right="679" w:firstLine="414"/>
        <w:spacing w:after="0" w:line="270" w:lineRule="auto"/>
        <w:tabs>
          <w:tab w:leader="none" w:pos="138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Suspension of the Plan. The Plan shall terminate automatically on June 8,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-654685</wp:posOffset>
            </wp:positionV>
            <wp:extent cx="9861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-438150</wp:posOffset>
            </wp:positionV>
            <wp:extent cx="17011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01165" cy="825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219" w:firstLine="414"/>
        <w:spacing w:after="0" w:line="296" w:lineRule="auto"/>
        <w:tabs>
          <w:tab w:leader="none" w:pos="138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Choice of Law. The law of the State of Nevada shall govern all questions concerning the construction, validity and interpretation of this Plan, without regard to such state’s conflict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-186055</wp:posOffset>
            </wp:positionV>
            <wp:extent cx="6584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8495" cy="8255"/>
                    </a:xfrm>
                    <a:prstGeom prst="rect">
                      <a:avLst/>
                    </a:prstGeom>
                    <a:noFill/>
                  </pic:spPr>
                </pic:pic>
              </a:graphicData>
            </a:graphic>
          </wp:anchor>
        </w:drawing>
      </w:r>
    </w:p>
    <w:p>
      <w:pPr>
        <w:spacing w:after="0" w:line="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adopted by the Board of Directors of Agrify Corporation on April 19, 2022.</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approved by the shareholders of Agrify Corporation on June 8, 2022.</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u w:val="single" w:color="auto"/>
          <w:color w:val="0000FF"/>
        </w:rPr>
        <w:t>First amended adopted by the Board of Directors of Agrify Corporation on November 28,</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0000FF"/>
        </w:rPr>
        <w:t>2023.</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u w:val="single" w:color="auto"/>
          <w:color w:val="0000FF"/>
        </w:rPr>
        <w:t>First amendment approved by the shareholders of Agrify Corporation on [________], 2023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891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4400" cy="9989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64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upperLetter"/>
      <w:start w:val="17"/>
    </w:lvl>
  </w:abstractNum>
  <w:abstractNum w:abstractNumId="7">
    <w:nsid w:val="684A481A"/>
    <w:multiLevelType w:val="hybridMultilevel"/>
    <w:lvl w:ilvl="0">
      <w:lvlJc w:val="left"/>
      <w:lvlText w:val="%1:"/>
      <w:numFmt w:val="upperLetter"/>
      <w:start w:val="1"/>
    </w:lvl>
  </w:abstractNum>
  <w:abstractNum w:abstractNumId="8">
    <w:nsid w:val="579478FE"/>
    <w:multiLevelType w:val="hybridMultilevel"/>
    <w:lvl w:ilvl="0">
      <w:lvlJc w:val="left"/>
      <w:lvlText w:val="%1:"/>
      <w:numFmt w:val="upperLetter"/>
      <w:start w:val="17"/>
    </w:lvl>
  </w:abstractNum>
  <w:abstractNum w:abstractNumId="9">
    <w:nsid w:val="749ABB43"/>
    <w:multiLevelType w:val="hybridMultilevel"/>
    <w:lvl w:ilvl="0">
      <w:lvlJc w:val="left"/>
      <w:lvlText w:val="%1:"/>
      <w:numFmt w:val="upperLetter"/>
      <w:start w:val="1"/>
    </w:lvl>
  </w:abstractNum>
  <w:abstractNum w:abstractNumId="10">
    <w:nsid w:val="3DC240FB"/>
    <w:multiLevelType w:val="hybridMultilevel"/>
    <w:lvl w:ilvl="0">
      <w:lvlJc w:val="left"/>
      <w:lvlText w:val="%1:"/>
      <w:numFmt w:val="upperLetter"/>
      <w:start w:val="17"/>
    </w:lvl>
  </w:abstractNum>
  <w:abstractNum w:abstractNumId="11">
    <w:nsid w:val="1BA026FA"/>
    <w:multiLevelType w:val="hybridMultilevel"/>
    <w:lvl w:ilvl="0">
      <w:lvlJc w:val="left"/>
      <w:lvlText w:val="%1:"/>
      <w:numFmt w:val="upperLetter"/>
      <w:start w:val="1"/>
    </w:lvl>
    <w:lvl w:ilvl="1">
      <w:lvlJc w:val="left"/>
      <w:lvlText w:val="•"/>
      <w:numFmt w:val="bullet"/>
      <w:start w:val="1"/>
    </w:lvl>
  </w:abstractNum>
  <w:abstractNum w:abstractNumId="12">
    <w:nsid w:val="79A1DEAA"/>
    <w:multiLevelType w:val="hybridMultilevel"/>
    <w:lvl w:ilvl="0">
      <w:lvlJc w:val="left"/>
      <w:lvlText w:val="%1:"/>
      <w:numFmt w:val="upperLetter"/>
      <w:start w:val="17"/>
    </w:lvl>
  </w:abstractNum>
  <w:abstractNum w:abstractNumId="13">
    <w:nsid w:val="75C6C33A"/>
    <w:multiLevelType w:val="hybridMultilevel"/>
    <w:lvl w:ilvl="0">
      <w:lvlJc w:val="left"/>
      <w:lvlText w:val="%1:"/>
      <w:numFmt w:val="upperLetter"/>
      <w:start w:val="1"/>
    </w:lvl>
  </w:abstractNum>
  <w:abstractNum w:abstractNumId="14">
    <w:nsid w:val="12E685FB"/>
    <w:multiLevelType w:val="hybridMultilevel"/>
    <w:lvl w:ilvl="0">
      <w:lvlJc w:val="left"/>
      <w:lvlText w:val="%1:"/>
      <w:numFmt w:val="upperLetter"/>
      <w:start w:val="17"/>
    </w:lvl>
  </w:abstractNum>
  <w:abstractNum w:abstractNumId="15">
    <w:nsid w:val="70C6A529"/>
    <w:multiLevelType w:val="hybridMultilevel"/>
    <w:lvl w:ilvl="0">
      <w:lvlJc w:val="left"/>
      <w:lvlText w:val="%1:"/>
      <w:numFmt w:val="upperLetter"/>
      <w:start w:val="1"/>
    </w:lvl>
  </w:abstractNum>
  <w:abstractNum w:abstractNumId="16">
    <w:nsid w:val="520EEDD1"/>
    <w:multiLevelType w:val="hybridMultilevel"/>
    <w:lvl w:ilvl="0">
      <w:lvlJc w:val="left"/>
      <w:lvlText w:val="%1:"/>
      <w:numFmt w:val="upperLetter"/>
      <w:start w:val="17"/>
    </w:lvl>
  </w:abstractNum>
  <w:abstractNum w:abstractNumId="17">
    <w:nsid w:val="374A3FE6"/>
    <w:multiLevelType w:val="hybridMultilevel"/>
    <w:lvl w:ilvl="0">
      <w:lvlJc w:val="left"/>
      <w:lvlText w:val="%1:"/>
      <w:numFmt w:val="upperLetter"/>
      <w:start w:val="1"/>
    </w:lvl>
  </w:abstractNum>
  <w:abstractNum w:abstractNumId="18">
    <w:nsid w:val="4F4EF005"/>
    <w:multiLevelType w:val="hybridMultilevel"/>
    <w:lvl w:ilvl="0">
      <w:lvlJc w:val="left"/>
      <w:lvlText w:val="%1:"/>
      <w:numFmt w:val="upperLetter"/>
      <w:start w:val="17"/>
    </w:lvl>
  </w:abstractNum>
  <w:abstractNum w:abstractNumId="19">
    <w:nsid w:val="23F9C13C"/>
    <w:multiLevelType w:val="hybridMultilevel"/>
    <w:lvl w:ilvl="0">
      <w:lvlJc w:val="left"/>
      <w:lvlText w:val="%1:"/>
      <w:numFmt w:val="upperLetter"/>
      <w:start w:val="1"/>
    </w:lvl>
    <w:lvl w:ilvl="1">
      <w:lvlJc w:val="left"/>
      <w:lvlText w:val="•"/>
      <w:numFmt w:val="bullet"/>
      <w:start w:val="1"/>
    </w:lvl>
  </w:abstractNum>
  <w:abstractNum w:abstractNumId="20">
    <w:nsid w:val="649BB77C"/>
    <w:multiLevelType w:val="hybridMultilevel"/>
    <w:lvl w:ilvl="0">
      <w:lvlJc w:val="left"/>
      <w:lvlText w:val="%1:"/>
      <w:numFmt w:val="upperLetter"/>
      <w:start w:val="17"/>
    </w:lvl>
  </w:abstractNum>
  <w:abstractNum w:abstractNumId="21">
    <w:nsid w:val="275AC794"/>
    <w:multiLevelType w:val="hybridMultilevel"/>
    <w:lvl w:ilvl="0">
      <w:lvlJc w:val="left"/>
      <w:lvlText w:val="%1:"/>
      <w:numFmt w:val="upperLetter"/>
      <w:start w:val="1"/>
    </w:lvl>
  </w:abstractNum>
  <w:abstractNum w:abstractNumId="22">
    <w:nsid w:val="39386575"/>
    <w:multiLevelType w:val="hybridMultilevel"/>
    <w:lvl w:ilvl="0">
      <w:lvlJc w:val="left"/>
      <w:lvlText w:val="%1:"/>
      <w:numFmt w:val="upperLetter"/>
      <w:start w:val="17"/>
    </w:lvl>
  </w:abstractNum>
  <w:abstractNum w:abstractNumId="23">
    <w:nsid w:val="1CF10FD8"/>
    <w:multiLevelType w:val="hybridMultilevel"/>
    <w:lvl w:ilvl="0">
      <w:lvlJc w:val="left"/>
      <w:lvlText w:val="%1:"/>
      <w:numFmt w:val="upperLetter"/>
      <w:start w:val="1"/>
    </w:lvl>
  </w:abstractNum>
  <w:abstractNum w:abstractNumId="24">
    <w:nsid w:val="180115BE"/>
    <w:multiLevelType w:val="hybridMultilevel"/>
    <w:lvl w:ilvl="0">
      <w:lvlJc w:val="left"/>
      <w:lvlText w:val="%1:"/>
      <w:numFmt w:val="upperLetter"/>
      <w:start w:val="17"/>
    </w:lvl>
  </w:abstractNum>
  <w:abstractNum w:abstractNumId="25">
    <w:nsid w:val="235BA861"/>
    <w:multiLevelType w:val="hybridMultilevel"/>
    <w:lvl w:ilvl="0">
      <w:lvlJc w:val="left"/>
      <w:lvlText w:val="%1:"/>
      <w:numFmt w:val="upperLetter"/>
      <w:start w:val="1"/>
    </w:lvl>
  </w:abstractNum>
  <w:abstractNum w:abstractNumId="26">
    <w:nsid w:val="47398C89"/>
    <w:multiLevelType w:val="hybridMultilevel"/>
    <w:lvl w:ilvl="0">
      <w:lvlJc w:val="left"/>
      <w:lvlText w:val="%1:"/>
      <w:numFmt w:val="upperLetter"/>
      <w:start w:val="17"/>
    </w:lvl>
  </w:abstractNum>
  <w:abstractNum w:abstractNumId="27">
    <w:nsid w:val="354FE9F9"/>
    <w:multiLevelType w:val="hybridMultilevel"/>
    <w:lvl w:ilvl="0">
      <w:lvlJc w:val="left"/>
      <w:lvlText w:val="%1:"/>
      <w:numFmt w:val="upperLetter"/>
      <w:start w:val="1"/>
    </w:lvl>
  </w:abstractNum>
  <w:abstractNum w:abstractNumId="28">
    <w:nsid w:val="15B5AF5C"/>
    <w:multiLevelType w:val="hybridMultilevel"/>
    <w:lvl w:ilvl="0">
      <w:lvlJc w:val="left"/>
      <w:lvlText w:val="%1:"/>
      <w:numFmt w:val="upperLetter"/>
      <w:start w:val="17"/>
    </w:lvl>
  </w:abstractNum>
  <w:abstractNum w:abstractNumId="29">
    <w:nsid w:val="741226BB"/>
    <w:multiLevelType w:val="hybridMultilevel"/>
    <w:lvl w:ilvl="0">
      <w:lvlJc w:val="left"/>
      <w:lvlText w:val="%1:"/>
      <w:numFmt w:val="upperLetter"/>
      <w:start w:val="1"/>
    </w:lvl>
  </w:abstractNum>
  <w:abstractNum w:abstractNumId="30">
    <w:nsid w:val="D34B6A8"/>
    <w:multiLevelType w:val="hybridMultilevel"/>
    <w:lvl w:ilvl="0">
      <w:lvlJc w:val="left"/>
      <w:lvlText w:val="%1:"/>
      <w:numFmt w:val="upperLetter"/>
      <w:start w:val="17"/>
    </w:lvl>
  </w:abstractNum>
  <w:abstractNum w:abstractNumId="31">
    <w:nsid w:val="10233C99"/>
    <w:multiLevelType w:val="hybridMultilevel"/>
    <w:lvl w:ilvl="0">
      <w:lvlJc w:val="left"/>
      <w:lvlText w:val="%1:"/>
      <w:numFmt w:val="upperLetter"/>
      <w:start w:val="1"/>
    </w:lvl>
    <w:lvl w:ilvl="1">
      <w:lvlJc w:val="left"/>
      <w:lvlText w:val="•"/>
      <w:numFmt w:val="bullet"/>
      <w:start w:val="1"/>
    </w:lvl>
  </w:abstractNum>
  <w:abstractNum w:abstractNumId="32">
    <w:nsid w:val="3F6AB60F"/>
    <w:multiLevelType w:val="hybridMultilevel"/>
    <w:lvl w:ilvl="0">
      <w:lvlJc w:val="left"/>
      <w:lvlText w:val="%1:"/>
      <w:numFmt w:val="upperLetter"/>
      <w:start w:val="16"/>
    </w:lvl>
    <w:lvl w:ilvl="1">
      <w:lvlJc w:val="left"/>
      <w:lvlText w:val="•"/>
      <w:numFmt w:val="bullet"/>
      <w:start w:val="1"/>
    </w:lvl>
  </w:abstractNum>
  <w:abstractNum w:abstractNumId="33">
    <w:nsid w:val="61574095"/>
    <w:multiLevelType w:val="hybridMultilevel"/>
    <w:lvl w:ilvl="0">
      <w:lvlJc w:val="left"/>
      <w:lvlText w:val="%1:"/>
      <w:numFmt w:val="upperLetter"/>
      <w:start w:val="1"/>
    </w:lvl>
  </w:abstractNum>
  <w:abstractNum w:abstractNumId="34">
    <w:nsid w:val="7E0C57B1"/>
    <w:multiLevelType w:val="hybridMultilevel"/>
    <w:lvl w:ilvl="0">
      <w:lvlJc w:val="left"/>
      <w:lvlText w:val="%1:"/>
      <w:numFmt w:val="upperLetter"/>
      <w:start w:val="17"/>
    </w:lvl>
  </w:abstractNum>
  <w:abstractNum w:abstractNumId="35">
    <w:nsid w:val="77AE35EB"/>
    <w:multiLevelType w:val="hybridMultilevel"/>
    <w:lvl w:ilvl="0">
      <w:lvlJc w:val="left"/>
      <w:lvlText w:val="%1:"/>
      <w:numFmt w:val="upperLetter"/>
      <w:start w:val="1"/>
    </w:lvl>
  </w:abstractNum>
  <w:abstractNum w:abstractNumId="36">
    <w:nsid w:val="579BE4F1"/>
    <w:multiLevelType w:val="hybridMultilevel"/>
    <w:lvl w:ilvl="0">
      <w:lvlJc w:val="left"/>
      <w:lvlText w:val="%1:"/>
      <w:numFmt w:val="upperLetter"/>
      <w:start w:val="17"/>
    </w:lvl>
  </w:abstractNum>
  <w:abstractNum w:abstractNumId="37">
    <w:nsid w:val="310C50B3"/>
    <w:multiLevelType w:val="hybridMultilevel"/>
    <w:lvl w:ilvl="0">
      <w:lvlJc w:val="left"/>
      <w:lvlText w:val="%1:"/>
      <w:numFmt w:val="upperLetter"/>
      <w:start w:val="1"/>
    </w:lvl>
    <w:lvl w:ilvl="1">
      <w:lvlJc w:val="left"/>
      <w:lvlText w:val="•"/>
      <w:numFmt w:val="bullet"/>
      <w:start w:val="1"/>
    </w:lvl>
  </w:abstractNum>
  <w:abstractNum w:abstractNumId="38">
    <w:nsid w:val="5FF87E05"/>
    <w:multiLevelType w:val="hybridMultilevel"/>
    <w:lvl w:ilvl="0">
      <w:lvlJc w:val="left"/>
      <w:lvlText w:val="%1:"/>
      <w:numFmt w:val="upperLetter"/>
      <w:start w:val="17"/>
    </w:lvl>
  </w:abstractNum>
  <w:abstractNum w:abstractNumId="39">
    <w:nsid w:val="2F305DEF"/>
    <w:multiLevelType w:val="hybridMultilevel"/>
    <w:lvl w:ilvl="0">
      <w:lvlJc w:val="left"/>
      <w:lvlText w:val="%1:"/>
      <w:numFmt w:val="upperLetter"/>
      <w:start w:val="1"/>
    </w:lvl>
  </w:abstractNum>
  <w:abstractNum w:abstractNumId="40">
    <w:nsid w:val="25A70BF7"/>
    <w:multiLevelType w:val="hybridMultilevel"/>
    <w:lvl w:ilvl="0">
      <w:lvlJc w:val="left"/>
      <w:lvlText w:val="%1:"/>
      <w:numFmt w:val="upperLetter"/>
      <w:start w:val="17"/>
    </w:lvl>
  </w:abstractNum>
  <w:abstractNum w:abstractNumId="41">
    <w:nsid w:val="1DBABF00"/>
    <w:multiLevelType w:val="hybridMultilevel"/>
    <w:lvl w:ilvl="0">
      <w:lvlJc w:val="left"/>
      <w:lvlText w:val="%1:"/>
      <w:numFmt w:val="upperLetter"/>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4"/>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decimal"/>
      <w:start w:val="3"/>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decimal"/>
      <w:start w:val="5"/>
    </w:lvl>
  </w:abstractNum>
  <w:abstractNum w:abstractNumId="56">
    <w:nsid w:val="661E3F1E"/>
    <w:multiLevelType w:val="hybridMultilevel"/>
    <w:lvl w:ilvl="0">
      <w:lvlJc w:val="left"/>
      <w:lvlText w:val="(%1)"/>
      <w:numFmt w:val="lowerLetter"/>
      <w:start w:val="3"/>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1)"/>
      <w:numFmt w:val="upperLetter"/>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lowerRoman"/>
      <w:start w:val="10"/>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2"/>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2"/>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35"/>
    </w:lvl>
  </w:abstractNum>
  <w:abstractNum w:abstractNumId="73">
    <w:nsid w:val="14330624"/>
    <w:multiLevelType w:val="hybridMultilevel"/>
    <w:lvl w:ilvl="0">
      <w:lvlJc w:val="left"/>
      <w:lvlText w:val="%1."/>
      <w:numFmt w:val="decimal"/>
      <w:start w:val="3"/>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Letter"/>
      <w:start w:val="12"/>
    </w:lvl>
  </w:abstractNum>
  <w:abstractNum w:abstractNumId="76">
    <w:nsid w:val="71EA1109"/>
    <w:multiLevelType w:val="hybridMultilevel"/>
    <w:lvl w:ilvl="0">
      <w:lvlJc w:val="left"/>
      <w:lvlText w:val="%1."/>
      <w:numFmt w:val="decimal"/>
      <w:start w:val="4"/>
    </w:lvl>
  </w:abstractNum>
  <w:abstractNum w:abstractNumId="77">
    <w:nsid w:val="100F59DC"/>
    <w:multiLevelType w:val="hybridMultilevel"/>
    <w:lvl w:ilvl="0">
      <w:lvlJc w:val="left"/>
      <w:lvlText w:val="%1."/>
      <w:numFmt w:val="decimal"/>
      <w:start w:val="5"/>
    </w:lvl>
  </w:abstractNum>
  <w:abstractNum w:abstractNumId="78">
    <w:nsid w:val="7FB7E0AA"/>
    <w:multiLevelType w:val="hybridMultilevel"/>
    <w:lvl w:ilvl="0">
      <w:lvlJc w:val="left"/>
      <w:lvlText w:val="%1."/>
      <w:numFmt w:val="decimal"/>
      <w:start w:val="6"/>
    </w:lvl>
  </w:abstractNum>
  <w:abstractNum w:abstractNumId="79">
    <w:nsid w:val="6EB5BD4"/>
    <w:multiLevelType w:val="hybridMultilevel"/>
    <w:lvl w:ilvl="0">
      <w:lvlJc w:val="left"/>
      <w:lvlText w:val="%1."/>
      <w:numFmt w:val="decimal"/>
      <w:start w:val="7"/>
    </w:lvl>
  </w:abstractNum>
  <w:abstractNum w:abstractNumId="80">
    <w:nsid w:val="6F6DD9AC"/>
    <w:multiLevelType w:val="hybridMultilevel"/>
    <w:lvl w:ilvl="0">
      <w:lvlJc w:val="left"/>
      <w:lvlText w:val="%1."/>
      <w:numFmt w:val="decimal"/>
      <w:start w:val="8"/>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2"/>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9"/>
    </w:lvl>
  </w:abstractNum>
  <w:abstractNum w:abstractNumId="85">
    <w:nsid w:val="1716703B"/>
    <w:multiLevelType w:val="hybridMultilevel"/>
    <w:lvl w:ilvl="0">
      <w:lvlJc w:val="left"/>
      <w:lvlText w:val="%1."/>
      <w:numFmt w:val="decimal"/>
      <w:start w:val="10"/>
    </w:lvl>
  </w:abstractNum>
  <w:abstractNum w:abstractNumId="86">
    <w:nsid w:val="14E17E33"/>
    <w:multiLevelType w:val="hybridMultilevel"/>
    <w:lvl w:ilvl="0">
      <w:lvlJc w:val="left"/>
      <w:lvlText w:val="%1."/>
      <w:numFmt w:val="decimal"/>
      <w:start w:val="14"/>
    </w:lvl>
  </w:abstractNum>
  <w:abstractNum w:abstractNumId="87">
    <w:nsid w:val="3222E7CD"/>
    <w:multiLevelType w:val="hybridMultilevel"/>
    <w:lvl w:ilvl="0">
      <w:lvlJc w:val="left"/>
      <w:lvlText w:val="%1."/>
      <w:numFmt w:val="decimal"/>
      <w:start w:val="15"/>
    </w:lvl>
  </w:abstractNum>
  <w:abstractNum w:abstractNumId="88">
    <w:nsid w:val="74DE0EE3"/>
    <w:multiLevelType w:val="hybridMultilevel"/>
    <w:lvl w:ilvl="0">
      <w:lvlJc w:val="left"/>
      <w:lvlText w:val="%1."/>
      <w:numFmt w:val="decimal"/>
      <w:start w:val="18"/>
    </w:lvl>
  </w:abstractNum>
  <w:abstractNum w:abstractNumId="89">
    <w:nsid w:val="68EBC550"/>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2023-12-05T15:36:29Z</dcterms:created>
  <dcterms:modified xsi:type="dcterms:W3CDTF">2023-12-05T15:36:29Z</dcterms:modified>
</cp:coreProperties>
</file>