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30, 2022</w:t>
      </w:r>
    </w:p>
    <w:p>
      <w:pPr>
        <w:spacing w:after="0" w:line="27" w:lineRule="exact"/>
        <w:rPr>
          <w:sz w:val="24"/>
          <w:szCs w:val="24"/>
          <w:color w:val="auto"/>
        </w:rPr>
      </w:pPr>
    </w:p>
    <w:p>
      <w:pPr>
        <w:ind w:left="94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82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90"/>
              </w:rPr>
              <w:t>Nevada</w:t>
            </w:r>
          </w:p>
        </w:tc>
        <w:tc>
          <w:tcPr>
            <w:tcW w:w="3420" w:type="dxa"/>
            <w:vAlign w:val="bottom"/>
          </w:tcPr>
          <w:p>
            <w:pPr>
              <w:jc w:val="right"/>
              <w:ind w:right="2230"/>
              <w:spacing w:after="0"/>
              <w:rPr>
                <w:sz w:val="20"/>
                <w:szCs w:val="20"/>
                <w:color w:val="auto"/>
              </w:rPr>
            </w:pPr>
            <w:r>
              <w:rPr>
                <w:rFonts w:ascii="Arial" w:cs="Arial" w:eastAsia="Arial" w:hAnsi="Arial"/>
                <w:sz w:val="18"/>
                <w:szCs w:val="18"/>
                <w:b w:val="1"/>
                <w:bCs w:val="1"/>
                <w:color w:val="auto"/>
              </w:rPr>
              <w:t>30-0943453</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3420" w:type="dxa"/>
            <w:vAlign w:val="bottom"/>
            <w:tcBorders>
              <w:top w:val="single" w:sz="8" w:color="auto"/>
            </w:tcBorders>
          </w:tcPr>
          <w:p>
            <w:pPr>
              <w:jc w:val="center"/>
              <w:ind w:right="19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820" w:type="dxa"/>
            <w:vAlign w:val="bottom"/>
            <w:gridSpan w:val="3"/>
          </w:tcPr>
          <w:p>
            <w:pPr>
              <w:jc w:val="center"/>
              <w:ind w:right="2300"/>
              <w:spacing w:after="0"/>
              <w:rPr>
                <w:sz w:val="20"/>
                <w:szCs w:val="20"/>
                <w:color w:val="auto"/>
              </w:rPr>
            </w:pPr>
            <w:r>
              <w:rPr>
                <w:rFonts w:ascii="Arial" w:cs="Arial" w:eastAsia="Arial" w:hAnsi="Arial"/>
                <w:sz w:val="18"/>
                <w:szCs w:val="18"/>
                <w:color w:val="auto"/>
                <w:w w:val="92"/>
              </w:rPr>
              <w:t>incorporation or organization)</w:t>
            </w:r>
          </w:p>
        </w:tc>
        <w:tc>
          <w:tcPr>
            <w:tcW w:w="3420" w:type="dxa"/>
            <w:vAlign w:val="bottom"/>
          </w:tcPr>
          <w:p>
            <w:pPr>
              <w:jc w:val="center"/>
              <w:ind w:right="19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820" w:type="dxa"/>
            <w:vAlign w:val="bottom"/>
            <w:gridSpan w:val="3"/>
          </w:tcPr>
          <w:p>
            <w:pPr>
              <w:jc w:val="center"/>
              <w:ind w:right="2300"/>
              <w:spacing w:after="0"/>
              <w:rPr>
                <w:sz w:val="20"/>
                <w:szCs w:val="20"/>
                <w:color w:val="auto"/>
              </w:rPr>
            </w:pPr>
            <w:r>
              <w:rPr>
                <w:rFonts w:ascii="Arial" w:cs="Arial" w:eastAsia="Arial" w:hAnsi="Arial"/>
                <w:sz w:val="18"/>
                <w:szCs w:val="18"/>
                <w:b w:val="1"/>
                <w:bCs w:val="1"/>
                <w:color w:val="auto"/>
                <w:w w:val="89"/>
              </w:rPr>
              <w:t>76 Treble Cove Road</w:t>
            </w:r>
          </w:p>
        </w:tc>
        <w:tc>
          <w:tcPr>
            <w:tcW w:w="3420" w:type="dxa"/>
            <w:vAlign w:val="bottom"/>
          </w:tcPr>
          <w:p>
            <w:pPr>
              <w:spacing w:after="0"/>
              <w:rPr>
                <w:sz w:val="24"/>
                <w:szCs w:val="24"/>
                <w:color w:val="auto"/>
              </w:rPr>
            </w:pPr>
          </w:p>
        </w:tc>
      </w:tr>
      <w:tr>
        <w:trPr>
          <w:trHeight w:val="216"/>
        </w:trPr>
        <w:tc>
          <w:tcPr>
            <w:tcW w:w="7820" w:type="dxa"/>
            <w:vAlign w:val="bottom"/>
            <w:gridSpan w:val="3"/>
          </w:tcPr>
          <w:p>
            <w:pPr>
              <w:jc w:val="center"/>
              <w:ind w:right="2300"/>
              <w:spacing w:after="0"/>
              <w:rPr>
                <w:sz w:val="20"/>
                <w:szCs w:val="20"/>
                <w:color w:val="auto"/>
              </w:rPr>
            </w:pPr>
            <w:r>
              <w:rPr>
                <w:rFonts w:ascii="Arial" w:cs="Arial" w:eastAsia="Arial" w:hAnsi="Arial"/>
                <w:sz w:val="18"/>
                <w:szCs w:val="18"/>
                <w:b w:val="1"/>
                <w:bCs w:val="1"/>
                <w:color w:val="auto"/>
                <w:w w:val="91"/>
              </w:rPr>
              <w:t>Building 3</w:t>
            </w:r>
          </w:p>
        </w:tc>
        <w:tc>
          <w:tcPr>
            <w:tcW w:w="3420" w:type="dxa"/>
            <w:vAlign w:val="bottom"/>
          </w:tcPr>
          <w:p>
            <w:pPr>
              <w:spacing w:after="0"/>
              <w:rPr>
                <w:sz w:val="18"/>
                <w:szCs w:val="18"/>
                <w:color w:val="auto"/>
              </w:rPr>
            </w:pPr>
          </w:p>
        </w:tc>
      </w:tr>
      <w:tr>
        <w:trPr>
          <w:trHeight w:val="241"/>
        </w:trPr>
        <w:tc>
          <w:tcPr>
            <w:tcW w:w="7820" w:type="dxa"/>
            <w:vAlign w:val="bottom"/>
            <w:gridSpan w:val="3"/>
          </w:tcPr>
          <w:p>
            <w:pPr>
              <w:jc w:val="center"/>
              <w:ind w:right="2300"/>
              <w:spacing w:after="0"/>
              <w:rPr>
                <w:sz w:val="20"/>
                <w:szCs w:val="20"/>
                <w:color w:val="auto"/>
              </w:rPr>
            </w:pPr>
            <w:r>
              <w:rPr>
                <w:rFonts w:ascii="Arial" w:cs="Arial" w:eastAsia="Arial" w:hAnsi="Arial"/>
                <w:sz w:val="18"/>
                <w:szCs w:val="18"/>
                <w:b w:val="1"/>
                <w:bCs w:val="1"/>
                <w:color w:val="auto"/>
                <w:w w:val="96"/>
              </w:rPr>
              <w:t>Billerica, MA</w:t>
            </w:r>
          </w:p>
        </w:tc>
        <w:tc>
          <w:tcPr>
            <w:tcW w:w="3420" w:type="dxa"/>
            <w:vAlign w:val="bottom"/>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2080" w:type="dxa"/>
            <w:vAlign w:val="bottom"/>
            <w:tcBorders>
              <w:top w:val="single" w:sz="8" w:color="auto"/>
            </w:tcBorders>
          </w:tcPr>
          <w:p>
            <w:pPr>
              <w:spacing w:after="0"/>
              <w:rPr>
                <w:sz w:val="20"/>
                <w:szCs w:val="20"/>
                <w:color w:val="auto"/>
              </w:rPr>
            </w:pPr>
          </w:p>
        </w:tc>
        <w:tc>
          <w:tcPr>
            <w:tcW w:w="3420" w:type="dxa"/>
            <w:vAlign w:val="bottom"/>
            <w:tcBorders>
              <w:top w:val="single" w:sz="8" w:color="auto"/>
            </w:tcBorders>
          </w:tcPr>
          <w:p>
            <w:pPr>
              <w:jc w:val="center"/>
              <w:ind w:right="1990"/>
              <w:spacing w:after="0"/>
              <w:rPr>
                <w:sz w:val="20"/>
                <w:szCs w:val="20"/>
                <w:color w:val="auto"/>
              </w:rPr>
            </w:pPr>
            <w:r>
              <w:rPr>
                <w:rFonts w:ascii="Arial" w:cs="Arial" w:eastAsia="Arial" w:hAnsi="Arial"/>
                <w:sz w:val="18"/>
                <w:szCs w:val="18"/>
                <w:color w:val="auto"/>
                <w:w w:val="91"/>
              </w:rPr>
              <w:t>(Zip Code)</w:t>
            </w:r>
          </w:p>
        </w:tc>
      </w:tr>
      <w:tr>
        <w:trPr>
          <w:trHeight w:val="399"/>
        </w:trPr>
        <w:tc>
          <w:tcPr>
            <w:tcW w:w="7820" w:type="dxa"/>
            <w:vAlign w:val="bottom"/>
            <w:gridSpan w:val="3"/>
          </w:tcPr>
          <w:p>
            <w:pPr>
              <w:jc w:val="center"/>
              <w:ind w:left="3350"/>
              <w:spacing w:after="0"/>
              <w:rPr>
                <w:sz w:val="20"/>
                <w:szCs w:val="20"/>
                <w:color w:val="auto"/>
              </w:rPr>
            </w:pPr>
            <w:r>
              <w:rPr>
                <w:rFonts w:ascii="Arial" w:cs="Arial" w:eastAsia="Arial" w:hAnsi="Arial"/>
                <w:sz w:val="18"/>
                <w:szCs w:val="18"/>
                <w:b w:val="1"/>
                <w:bCs w:val="1"/>
                <w:color w:val="auto"/>
                <w:w w:val="92"/>
              </w:rPr>
              <w:t>Agrify Corporation 2022 Omnibus Equity Incentive Plan</w:t>
            </w:r>
          </w:p>
        </w:tc>
        <w:tc>
          <w:tcPr>
            <w:tcW w:w="3420" w:type="dxa"/>
            <w:vAlign w:val="bottom"/>
          </w:tcPr>
          <w:p>
            <w:pPr>
              <w:spacing w:after="0"/>
              <w:rPr>
                <w:sz w:val="24"/>
                <w:szCs w:val="24"/>
                <w:color w:val="auto"/>
              </w:rPr>
            </w:pPr>
          </w:p>
        </w:tc>
      </w:tr>
      <w:tr>
        <w:trPr>
          <w:trHeight w:val="220"/>
        </w:trPr>
        <w:tc>
          <w:tcPr>
            <w:tcW w:w="7820" w:type="dxa"/>
            <w:vAlign w:val="bottom"/>
            <w:gridSpan w:val="3"/>
          </w:tcPr>
          <w:p>
            <w:pPr>
              <w:jc w:val="center"/>
              <w:ind w:left="3350"/>
              <w:spacing w:after="0"/>
              <w:rPr>
                <w:sz w:val="20"/>
                <w:szCs w:val="20"/>
                <w:color w:val="auto"/>
              </w:rPr>
            </w:pPr>
            <w:r>
              <w:rPr>
                <w:rFonts w:ascii="Arial" w:cs="Arial" w:eastAsia="Arial" w:hAnsi="Arial"/>
                <w:sz w:val="18"/>
                <w:szCs w:val="18"/>
                <w:b w:val="1"/>
                <w:bCs w:val="1"/>
                <w:color w:val="auto"/>
                <w:w w:val="90"/>
              </w:rPr>
              <w:t>Agrify Corporation 2022 Employee Stock Purchase Plan</w:t>
            </w:r>
          </w:p>
        </w:tc>
        <w:tc>
          <w:tcPr>
            <w:tcW w:w="3420" w:type="dxa"/>
            <w:vAlign w:val="bottom"/>
          </w:tcPr>
          <w:p>
            <w:pPr>
              <w:spacing w:after="0"/>
              <w:rPr>
                <w:sz w:val="19"/>
                <w:szCs w:val="19"/>
                <w:color w:val="auto"/>
              </w:rPr>
            </w:pPr>
          </w:p>
        </w:tc>
      </w:tr>
      <w:tr>
        <w:trPr>
          <w:trHeight w:val="230"/>
        </w:trPr>
        <w:tc>
          <w:tcPr>
            <w:tcW w:w="7820" w:type="dxa"/>
            <w:vAlign w:val="bottom"/>
            <w:gridSpan w:val="3"/>
          </w:tcPr>
          <w:p>
            <w:pPr>
              <w:jc w:val="center"/>
              <w:ind w:left="3350"/>
              <w:spacing w:after="0"/>
              <w:rPr>
                <w:sz w:val="20"/>
                <w:szCs w:val="20"/>
                <w:color w:val="auto"/>
              </w:rPr>
            </w:pPr>
            <w:r>
              <w:rPr>
                <w:rFonts w:ascii="Arial" w:cs="Arial" w:eastAsia="Arial" w:hAnsi="Arial"/>
                <w:sz w:val="18"/>
                <w:szCs w:val="18"/>
                <w:color w:val="auto"/>
                <w:w w:val="94"/>
              </w:rPr>
              <w:t>(Full title of the plans)</w:t>
            </w:r>
          </w:p>
        </w:tc>
        <w:tc>
          <w:tcPr>
            <w:tcW w:w="3420" w:type="dxa"/>
            <w:vAlign w:val="bottom"/>
          </w:tcPr>
          <w:p>
            <w:pPr>
              <w:spacing w:after="0"/>
              <w:rPr>
                <w:sz w:val="20"/>
                <w:szCs w:val="20"/>
                <w:color w:val="auto"/>
              </w:rPr>
            </w:pPr>
          </w:p>
        </w:tc>
      </w:tr>
      <w:tr>
        <w:trPr>
          <w:trHeight w:val="223"/>
        </w:trPr>
        <w:tc>
          <w:tcPr>
            <w:tcW w:w="7820" w:type="dxa"/>
            <w:vAlign w:val="bottom"/>
            <w:tcBorders>
              <w:bottom w:val="single" w:sz="8" w:color="auto"/>
            </w:tcBorders>
            <w:gridSpan w:val="3"/>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r>
      <w:tr>
        <w:trPr>
          <w:trHeight w:val="427"/>
        </w:trPr>
        <w:tc>
          <w:tcPr>
            <w:tcW w:w="7820" w:type="dxa"/>
            <w:vAlign w:val="bottom"/>
            <w:gridSpan w:val="3"/>
          </w:tcPr>
          <w:p>
            <w:pPr>
              <w:jc w:val="center"/>
              <w:ind w:left="3350"/>
              <w:spacing w:after="0"/>
              <w:rPr>
                <w:sz w:val="20"/>
                <w:szCs w:val="20"/>
                <w:color w:val="auto"/>
              </w:rPr>
            </w:pPr>
            <w:r>
              <w:rPr>
                <w:rFonts w:ascii="Arial" w:cs="Arial" w:eastAsia="Arial" w:hAnsi="Arial"/>
                <w:sz w:val="18"/>
                <w:szCs w:val="18"/>
                <w:b w:val="1"/>
                <w:bCs w:val="1"/>
                <w:color w:val="auto"/>
                <w:w w:val="90"/>
              </w:rPr>
              <w:t>Raymond Chang</w:t>
            </w:r>
          </w:p>
        </w:tc>
        <w:tc>
          <w:tcPr>
            <w:tcW w:w="3420" w:type="dxa"/>
            <w:vAlign w:val="bottom"/>
          </w:tcPr>
          <w:p>
            <w:pPr>
              <w:spacing w:after="0"/>
              <w:rPr>
                <w:sz w:val="24"/>
                <w:szCs w:val="24"/>
                <w:color w:val="auto"/>
              </w:rPr>
            </w:pPr>
          </w:p>
        </w:tc>
      </w:tr>
      <w:tr>
        <w:trPr>
          <w:trHeight w:val="216"/>
        </w:trPr>
        <w:tc>
          <w:tcPr>
            <w:tcW w:w="7820" w:type="dxa"/>
            <w:vAlign w:val="bottom"/>
            <w:gridSpan w:val="3"/>
          </w:tcPr>
          <w:p>
            <w:pPr>
              <w:jc w:val="center"/>
              <w:ind w:left="3330"/>
              <w:spacing w:after="0"/>
              <w:rPr>
                <w:sz w:val="20"/>
                <w:szCs w:val="20"/>
                <w:color w:val="auto"/>
              </w:rPr>
            </w:pPr>
            <w:r>
              <w:rPr>
                <w:rFonts w:ascii="Arial" w:cs="Arial" w:eastAsia="Arial" w:hAnsi="Arial"/>
                <w:sz w:val="18"/>
                <w:szCs w:val="18"/>
                <w:b w:val="1"/>
                <w:bCs w:val="1"/>
                <w:color w:val="auto"/>
                <w:w w:val="91"/>
              </w:rPr>
              <w:t>Chief Executive Officer</w:t>
            </w:r>
          </w:p>
        </w:tc>
        <w:tc>
          <w:tcPr>
            <w:tcW w:w="3420" w:type="dxa"/>
            <w:vAlign w:val="bottom"/>
          </w:tcPr>
          <w:p>
            <w:pPr>
              <w:spacing w:after="0"/>
              <w:rPr>
                <w:sz w:val="18"/>
                <w:szCs w:val="18"/>
                <w:color w:val="auto"/>
              </w:rPr>
            </w:pPr>
          </w:p>
        </w:tc>
      </w:tr>
      <w:tr>
        <w:trPr>
          <w:trHeight w:val="216"/>
        </w:trPr>
        <w:tc>
          <w:tcPr>
            <w:tcW w:w="7820" w:type="dxa"/>
            <w:vAlign w:val="bottom"/>
            <w:gridSpan w:val="3"/>
          </w:tcPr>
          <w:p>
            <w:pPr>
              <w:jc w:val="center"/>
              <w:ind w:left="3330"/>
              <w:spacing w:after="0"/>
              <w:rPr>
                <w:sz w:val="20"/>
                <w:szCs w:val="20"/>
                <w:color w:val="auto"/>
              </w:rPr>
            </w:pPr>
            <w:r>
              <w:rPr>
                <w:rFonts w:ascii="Arial" w:cs="Arial" w:eastAsia="Arial" w:hAnsi="Arial"/>
                <w:sz w:val="18"/>
                <w:szCs w:val="18"/>
                <w:b w:val="1"/>
                <w:bCs w:val="1"/>
                <w:color w:val="auto"/>
                <w:w w:val="89"/>
              </w:rPr>
              <w:t>76 Treble Cove Road</w:t>
            </w:r>
          </w:p>
        </w:tc>
        <w:tc>
          <w:tcPr>
            <w:tcW w:w="3420" w:type="dxa"/>
            <w:vAlign w:val="bottom"/>
          </w:tcPr>
          <w:p>
            <w:pPr>
              <w:spacing w:after="0"/>
              <w:rPr>
                <w:sz w:val="18"/>
                <w:szCs w:val="18"/>
                <w:color w:val="auto"/>
              </w:rPr>
            </w:pPr>
          </w:p>
        </w:tc>
      </w:tr>
      <w:tr>
        <w:trPr>
          <w:trHeight w:val="216"/>
        </w:trPr>
        <w:tc>
          <w:tcPr>
            <w:tcW w:w="7820" w:type="dxa"/>
            <w:vAlign w:val="bottom"/>
            <w:gridSpan w:val="3"/>
          </w:tcPr>
          <w:p>
            <w:pPr>
              <w:jc w:val="center"/>
              <w:ind w:left="3330"/>
              <w:spacing w:after="0"/>
              <w:rPr>
                <w:sz w:val="20"/>
                <w:szCs w:val="20"/>
                <w:color w:val="auto"/>
              </w:rPr>
            </w:pPr>
            <w:r>
              <w:rPr>
                <w:rFonts w:ascii="Arial" w:cs="Arial" w:eastAsia="Arial" w:hAnsi="Arial"/>
                <w:sz w:val="18"/>
                <w:szCs w:val="18"/>
                <w:b w:val="1"/>
                <w:bCs w:val="1"/>
                <w:color w:val="auto"/>
                <w:w w:val="91"/>
              </w:rPr>
              <w:t>Building 3</w:t>
            </w:r>
          </w:p>
        </w:tc>
        <w:tc>
          <w:tcPr>
            <w:tcW w:w="3420" w:type="dxa"/>
            <w:vAlign w:val="bottom"/>
          </w:tcPr>
          <w:p>
            <w:pPr>
              <w:spacing w:after="0"/>
              <w:rPr>
                <w:sz w:val="18"/>
                <w:szCs w:val="18"/>
                <w:color w:val="auto"/>
              </w:rPr>
            </w:pPr>
          </w:p>
        </w:tc>
      </w:tr>
      <w:tr>
        <w:trPr>
          <w:trHeight w:val="220"/>
        </w:trPr>
        <w:tc>
          <w:tcPr>
            <w:tcW w:w="7820" w:type="dxa"/>
            <w:vAlign w:val="bottom"/>
            <w:gridSpan w:val="3"/>
          </w:tcPr>
          <w:p>
            <w:pPr>
              <w:jc w:val="center"/>
              <w:ind w:left="3350"/>
              <w:spacing w:after="0"/>
              <w:rPr>
                <w:sz w:val="20"/>
                <w:szCs w:val="20"/>
                <w:color w:val="auto"/>
              </w:rPr>
            </w:pPr>
            <w:r>
              <w:rPr>
                <w:rFonts w:ascii="Arial" w:cs="Arial" w:eastAsia="Arial" w:hAnsi="Arial"/>
                <w:sz w:val="18"/>
                <w:szCs w:val="18"/>
                <w:b w:val="1"/>
                <w:bCs w:val="1"/>
                <w:color w:val="auto"/>
                <w:w w:val="94"/>
              </w:rPr>
              <w:t>Billerica, MA 01862</w:t>
            </w:r>
          </w:p>
        </w:tc>
        <w:tc>
          <w:tcPr>
            <w:tcW w:w="3420" w:type="dxa"/>
            <w:vAlign w:val="bottom"/>
          </w:tcPr>
          <w:p>
            <w:pPr>
              <w:spacing w:after="0"/>
              <w:rPr>
                <w:sz w:val="19"/>
                <w:szCs w:val="19"/>
                <w:color w:val="auto"/>
              </w:rPr>
            </w:pPr>
          </w:p>
        </w:tc>
      </w:tr>
      <w:tr>
        <w:trPr>
          <w:trHeight w:val="230"/>
        </w:trPr>
        <w:tc>
          <w:tcPr>
            <w:tcW w:w="7820" w:type="dxa"/>
            <w:vAlign w:val="bottom"/>
            <w:gridSpan w:val="3"/>
          </w:tcPr>
          <w:p>
            <w:pPr>
              <w:jc w:val="center"/>
              <w:ind w:left="3330"/>
              <w:spacing w:after="0"/>
              <w:rPr>
                <w:sz w:val="20"/>
                <w:szCs w:val="20"/>
                <w:color w:val="auto"/>
              </w:rPr>
            </w:pPr>
            <w:r>
              <w:rPr>
                <w:rFonts w:ascii="Arial" w:cs="Arial" w:eastAsia="Arial" w:hAnsi="Arial"/>
                <w:sz w:val="18"/>
                <w:szCs w:val="18"/>
                <w:color w:val="auto"/>
                <w:w w:val="89"/>
              </w:rPr>
              <w:t>(Name and address of agent for service)</w:t>
            </w:r>
          </w:p>
        </w:tc>
        <w:tc>
          <w:tcPr>
            <w:tcW w:w="3420" w:type="dxa"/>
            <w:vAlign w:val="bottom"/>
          </w:tcPr>
          <w:p>
            <w:pPr>
              <w:spacing w:after="0"/>
              <w:rPr>
                <w:sz w:val="20"/>
                <w:szCs w:val="20"/>
                <w:color w:val="auto"/>
              </w:rPr>
            </w:pPr>
          </w:p>
        </w:tc>
      </w:tr>
      <w:tr>
        <w:trPr>
          <w:trHeight w:val="418"/>
        </w:trPr>
        <w:tc>
          <w:tcPr>
            <w:tcW w:w="7820" w:type="dxa"/>
            <w:vAlign w:val="bottom"/>
            <w:gridSpan w:val="3"/>
          </w:tcPr>
          <w:p>
            <w:pPr>
              <w:jc w:val="center"/>
              <w:ind w:left="3330"/>
              <w:spacing w:after="0"/>
              <w:rPr>
                <w:sz w:val="20"/>
                <w:szCs w:val="20"/>
                <w:color w:val="auto"/>
              </w:rPr>
            </w:pPr>
            <w:r>
              <w:rPr>
                <w:rFonts w:ascii="Arial" w:cs="Arial" w:eastAsia="Arial" w:hAnsi="Arial"/>
                <w:sz w:val="18"/>
                <w:szCs w:val="18"/>
                <w:b w:val="1"/>
                <w:bCs w:val="1"/>
                <w:color w:val="auto"/>
                <w:w w:val="90"/>
              </w:rPr>
              <w:t>(617) 896-5243</w:t>
            </w:r>
          </w:p>
        </w:tc>
        <w:tc>
          <w:tcPr>
            <w:tcW w:w="3420" w:type="dxa"/>
            <w:vAlign w:val="bottom"/>
          </w:tcPr>
          <w:p>
            <w:pPr>
              <w:spacing w:after="0"/>
              <w:rPr>
                <w:sz w:val="24"/>
                <w:szCs w:val="24"/>
                <w:color w:val="auto"/>
              </w:rPr>
            </w:pPr>
          </w:p>
        </w:tc>
      </w:tr>
      <w:tr>
        <w:trPr>
          <w:trHeight w:val="230"/>
        </w:trPr>
        <w:tc>
          <w:tcPr>
            <w:tcW w:w="11240" w:type="dxa"/>
            <w:vAlign w:val="bottom"/>
            <w:gridSpan w:val="4"/>
          </w:tcPr>
          <w:p>
            <w:pPr>
              <w:jc w:val="center"/>
              <w:spacing w:after="0"/>
              <w:rPr>
                <w:sz w:val="20"/>
                <w:szCs w:val="20"/>
                <w:color w:val="auto"/>
              </w:rPr>
            </w:pPr>
            <w:r>
              <w:rPr>
                <w:rFonts w:ascii="Arial" w:cs="Arial" w:eastAsia="Arial" w:hAnsi="Arial"/>
                <w:sz w:val="18"/>
                <w:szCs w:val="18"/>
                <w:color w:val="auto"/>
                <w:w w:val="90"/>
              </w:rPr>
              <w:t>(Telephone number, including area code, of agent for service)</w:t>
            </w:r>
          </w:p>
        </w:tc>
      </w:tr>
      <w:tr>
        <w:trPr>
          <w:trHeight w:val="414"/>
        </w:trPr>
        <w:tc>
          <w:tcPr>
            <w:tcW w:w="7820" w:type="dxa"/>
            <w:vAlign w:val="bottom"/>
            <w:gridSpan w:val="3"/>
          </w:tcPr>
          <w:p>
            <w:pPr>
              <w:jc w:val="center"/>
              <w:ind w:left="3330"/>
              <w:spacing w:after="0"/>
              <w:rPr>
                <w:sz w:val="20"/>
                <w:szCs w:val="20"/>
                <w:color w:val="auto"/>
              </w:rPr>
            </w:pPr>
            <w:r>
              <w:rPr>
                <w:rFonts w:ascii="Arial" w:cs="Arial" w:eastAsia="Arial" w:hAnsi="Arial"/>
                <w:sz w:val="18"/>
                <w:szCs w:val="18"/>
                <w:b w:val="1"/>
                <w:bCs w:val="1"/>
                <w:i w:val="1"/>
                <w:iCs w:val="1"/>
                <w:color w:val="auto"/>
                <w:w w:val="86"/>
              </w:rPr>
              <w:t>With a copy to</w:t>
            </w:r>
            <w:r>
              <w:rPr>
                <w:rFonts w:ascii="Arial" w:cs="Arial" w:eastAsia="Arial" w:hAnsi="Arial"/>
                <w:sz w:val="18"/>
                <w:szCs w:val="18"/>
                <w:b w:val="1"/>
                <w:bCs w:val="1"/>
                <w:color w:val="auto"/>
                <w:w w:val="86"/>
              </w:rPr>
              <w:t>:</w:t>
            </w:r>
          </w:p>
        </w:tc>
        <w:tc>
          <w:tcPr>
            <w:tcW w:w="3420" w:type="dxa"/>
            <w:vAlign w:val="bottom"/>
          </w:tcPr>
          <w:p>
            <w:pPr>
              <w:spacing w:after="0"/>
              <w:rPr>
                <w:sz w:val="24"/>
                <w:szCs w:val="24"/>
                <w:color w:val="auto"/>
              </w:rPr>
            </w:pPr>
          </w:p>
        </w:tc>
      </w:tr>
      <w:tr>
        <w:trPr>
          <w:trHeight w:val="216"/>
        </w:trPr>
        <w:tc>
          <w:tcPr>
            <w:tcW w:w="7820" w:type="dxa"/>
            <w:vAlign w:val="bottom"/>
            <w:gridSpan w:val="3"/>
          </w:tcPr>
          <w:p>
            <w:pPr>
              <w:jc w:val="center"/>
              <w:ind w:left="3330"/>
              <w:spacing w:after="0"/>
              <w:rPr>
                <w:sz w:val="20"/>
                <w:szCs w:val="20"/>
                <w:color w:val="auto"/>
              </w:rPr>
            </w:pPr>
            <w:r>
              <w:rPr>
                <w:rFonts w:ascii="Arial" w:cs="Arial" w:eastAsia="Arial" w:hAnsi="Arial"/>
                <w:sz w:val="18"/>
                <w:szCs w:val="18"/>
                <w:b w:val="1"/>
                <w:bCs w:val="1"/>
                <w:color w:val="auto"/>
                <w:w w:val="92"/>
              </w:rPr>
              <w:t>Frank A. Segall, Esq.</w:t>
            </w:r>
          </w:p>
        </w:tc>
        <w:tc>
          <w:tcPr>
            <w:tcW w:w="3420" w:type="dxa"/>
            <w:vAlign w:val="bottom"/>
          </w:tcPr>
          <w:p>
            <w:pPr>
              <w:spacing w:after="0"/>
              <w:rPr>
                <w:sz w:val="18"/>
                <w:szCs w:val="18"/>
                <w:color w:val="auto"/>
              </w:rPr>
            </w:pPr>
          </w:p>
        </w:tc>
      </w:tr>
      <w:tr>
        <w:trPr>
          <w:trHeight w:val="216"/>
        </w:trPr>
        <w:tc>
          <w:tcPr>
            <w:tcW w:w="7820" w:type="dxa"/>
            <w:vAlign w:val="bottom"/>
            <w:gridSpan w:val="3"/>
          </w:tcPr>
          <w:p>
            <w:pPr>
              <w:jc w:val="center"/>
              <w:ind w:left="3330"/>
              <w:spacing w:after="0"/>
              <w:rPr>
                <w:sz w:val="20"/>
                <w:szCs w:val="20"/>
                <w:color w:val="auto"/>
              </w:rPr>
            </w:pPr>
            <w:r>
              <w:rPr>
                <w:rFonts w:ascii="Arial" w:cs="Arial" w:eastAsia="Arial" w:hAnsi="Arial"/>
                <w:sz w:val="18"/>
                <w:szCs w:val="18"/>
                <w:b w:val="1"/>
                <w:bCs w:val="1"/>
                <w:color w:val="auto"/>
                <w:w w:val="91"/>
              </w:rPr>
              <w:t>Robert A. Petitt, Esq.</w:t>
            </w:r>
          </w:p>
        </w:tc>
        <w:tc>
          <w:tcPr>
            <w:tcW w:w="3420" w:type="dxa"/>
            <w:vAlign w:val="bottom"/>
          </w:tcPr>
          <w:p>
            <w:pPr>
              <w:spacing w:after="0"/>
              <w:rPr>
                <w:sz w:val="18"/>
                <w:szCs w:val="18"/>
                <w:color w:val="auto"/>
              </w:rPr>
            </w:pPr>
          </w:p>
        </w:tc>
      </w:tr>
      <w:tr>
        <w:trPr>
          <w:trHeight w:val="216"/>
        </w:trPr>
        <w:tc>
          <w:tcPr>
            <w:tcW w:w="7820" w:type="dxa"/>
            <w:vAlign w:val="bottom"/>
            <w:gridSpan w:val="3"/>
          </w:tcPr>
          <w:p>
            <w:pPr>
              <w:jc w:val="center"/>
              <w:ind w:left="3330"/>
              <w:spacing w:after="0"/>
              <w:rPr>
                <w:sz w:val="20"/>
                <w:szCs w:val="20"/>
                <w:color w:val="auto"/>
              </w:rPr>
            </w:pPr>
            <w:r>
              <w:rPr>
                <w:rFonts w:ascii="Arial" w:cs="Arial" w:eastAsia="Arial" w:hAnsi="Arial"/>
                <w:sz w:val="18"/>
                <w:szCs w:val="18"/>
                <w:b w:val="1"/>
                <w:bCs w:val="1"/>
                <w:color w:val="auto"/>
                <w:w w:val="93"/>
              </w:rPr>
              <w:t>Burns &amp; Levinson LLP</w:t>
            </w:r>
          </w:p>
        </w:tc>
        <w:tc>
          <w:tcPr>
            <w:tcW w:w="3420" w:type="dxa"/>
            <w:vAlign w:val="bottom"/>
          </w:tcPr>
          <w:p>
            <w:pPr>
              <w:spacing w:after="0"/>
              <w:rPr>
                <w:sz w:val="18"/>
                <w:szCs w:val="18"/>
                <w:color w:val="auto"/>
              </w:rPr>
            </w:pPr>
          </w:p>
        </w:tc>
      </w:tr>
      <w:tr>
        <w:trPr>
          <w:trHeight w:val="216"/>
        </w:trPr>
        <w:tc>
          <w:tcPr>
            <w:tcW w:w="7820" w:type="dxa"/>
            <w:vAlign w:val="bottom"/>
            <w:gridSpan w:val="3"/>
          </w:tcPr>
          <w:p>
            <w:pPr>
              <w:jc w:val="center"/>
              <w:ind w:left="3330"/>
              <w:spacing w:after="0"/>
              <w:rPr>
                <w:sz w:val="20"/>
                <w:szCs w:val="20"/>
                <w:color w:val="auto"/>
              </w:rPr>
            </w:pPr>
            <w:r>
              <w:rPr>
                <w:rFonts w:ascii="Arial" w:cs="Arial" w:eastAsia="Arial" w:hAnsi="Arial"/>
                <w:sz w:val="18"/>
                <w:szCs w:val="18"/>
                <w:b w:val="1"/>
                <w:bCs w:val="1"/>
                <w:color w:val="auto"/>
                <w:w w:val="91"/>
              </w:rPr>
              <w:t>125 High Street</w:t>
            </w:r>
          </w:p>
        </w:tc>
        <w:tc>
          <w:tcPr>
            <w:tcW w:w="3420" w:type="dxa"/>
            <w:vAlign w:val="bottom"/>
          </w:tcPr>
          <w:p>
            <w:pPr>
              <w:spacing w:after="0"/>
              <w:rPr>
                <w:sz w:val="18"/>
                <w:szCs w:val="18"/>
                <w:color w:val="auto"/>
              </w:rPr>
            </w:pPr>
          </w:p>
        </w:tc>
      </w:tr>
      <w:tr>
        <w:trPr>
          <w:trHeight w:val="216"/>
        </w:trPr>
        <w:tc>
          <w:tcPr>
            <w:tcW w:w="7820" w:type="dxa"/>
            <w:vAlign w:val="bottom"/>
            <w:gridSpan w:val="3"/>
          </w:tcPr>
          <w:p>
            <w:pPr>
              <w:jc w:val="center"/>
              <w:ind w:left="3330"/>
              <w:spacing w:after="0"/>
              <w:rPr>
                <w:sz w:val="20"/>
                <w:szCs w:val="20"/>
                <w:color w:val="auto"/>
              </w:rPr>
            </w:pPr>
            <w:r>
              <w:rPr>
                <w:rFonts w:ascii="Arial" w:cs="Arial" w:eastAsia="Arial" w:hAnsi="Arial"/>
                <w:sz w:val="18"/>
                <w:szCs w:val="18"/>
                <w:b w:val="1"/>
                <w:bCs w:val="1"/>
                <w:color w:val="auto"/>
                <w:w w:val="90"/>
              </w:rPr>
              <w:t>Boston, MA 02110</w:t>
            </w:r>
          </w:p>
        </w:tc>
        <w:tc>
          <w:tcPr>
            <w:tcW w:w="3420" w:type="dxa"/>
            <w:vAlign w:val="bottom"/>
          </w:tcPr>
          <w:p>
            <w:pPr>
              <w:spacing w:after="0"/>
              <w:rPr>
                <w:sz w:val="18"/>
                <w:szCs w:val="18"/>
                <w:color w:val="auto"/>
              </w:rPr>
            </w:pPr>
          </w:p>
        </w:tc>
      </w:tr>
      <w:tr>
        <w:trPr>
          <w:trHeight w:val="234"/>
        </w:trPr>
        <w:tc>
          <w:tcPr>
            <w:tcW w:w="7820" w:type="dxa"/>
            <w:vAlign w:val="bottom"/>
            <w:gridSpan w:val="3"/>
          </w:tcPr>
          <w:p>
            <w:pPr>
              <w:jc w:val="center"/>
              <w:ind w:left="3330"/>
              <w:spacing w:after="0"/>
              <w:rPr>
                <w:sz w:val="20"/>
                <w:szCs w:val="20"/>
                <w:color w:val="auto"/>
              </w:rPr>
            </w:pPr>
            <w:r>
              <w:rPr>
                <w:rFonts w:ascii="Arial" w:cs="Arial" w:eastAsia="Arial" w:hAnsi="Arial"/>
                <w:sz w:val="18"/>
                <w:szCs w:val="18"/>
                <w:b w:val="1"/>
                <w:bCs w:val="1"/>
                <w:color w:val="auto"/>
                <w:w w:val="90"/>
              </w:rPr>
              <w:t>(617) 345-3000</w:t>
            </w:r>
          </w:p>
        </w:tc>
        <w:tc>
          <w:tcPr>
            <w:tcW w:w="34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required by Part I of Form S-8 to be contained in the Section 10(a) prospectus is omitted from this registration statement in accordance with Rule 428 under the Securities Act of 1933, as amended (the “Securities Act”). The document(s) containing the information specified in Part I will be sent or given to participants as specified by Rule 428(b)(1) under the Securities Act. In accordance with the rules and regulations of the U.S. Securities and Exchange Commission (the “SEC”) and the instructions to Form S-8, such documents are not being filed with the SEC either as part of this registration statement or as prospectuses or prospectus supplements pursuant to Rule 424 under the Securities Act. These documents and the documents incorporated by reference in this registration statement pursuant to Item 3 of Part II of this form, taken together, constitute a prospectus that meets the requirements of Section 10(a)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rules of the Securities and Exchange Commission (the “SEC”) allow us to incorporate by reference into this Registration Statement the information we file with them, which means that we can disclose important information to you by referring you to those documents. The information incorporated by reference is considered to be part of this Registration Statement, and information that we file later with the Commission will automatically update and supersede this information. This Registration Statement incorporates by reference the documents listed below (other than portions of these documents that are deemed furnished under applicable Commission rules rather than filed and exhibits furnished in connection with such items):</w:t>
      </w:r>
    </w:p>
    <w:p>
      <w:pPr>
        <w:spacing w:after="0" w:line="161" w:lineRule="exact"/>
        <w:rPr>
          <w:sz w:val="20"/>
          <w:szCs w:val="20"/>
          <w:color w:val="auto"/>
        </w:rPr>
      </w:pPr>
    </w:p>
    <w:p>
      <w:pPr>
        <w:ind w:left="680" w:hanging="33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March 31, 2022;</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7">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2022 filed with the SEC on May 16, 2022;</w:t>
      </w:r>
    </w:p>
    <w:p>
      <w:pPr>
        <w:spacing w:after="0" w:line="225" w:lineRule="exact"/>
        <w:rPr>
          <w:rFonts w:ascii="Arial" w:cs="Arial" w:eastAsia="Arial" w:hAnsi="Arial"/>
          <w:sz w:val="18"/>
          <w:szCs w:val="18"/>
          <w:color w:val="auto"/>
        </w:rPr>
      </w:pPr>
    </w:p>
    <w:p>
      <w:pPr>
        <w:ind w:left="680" w:right="20" w:hanging="335"/>
        <w:spacing w:after="0" w:line="308" w:lineRule="auto"/>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into our Annual Report on Form 10-K for the year ended December 31, 2021 from our definitive proxy statement on </w:t>
      </w:r>
      <w:hyperlink r:id="rId18">
        <w:r>
          <w:rPr>
            <w:rFonts w:ascii="Arial" w:cs="Arial" w:eastAsia="Arial" w:hAnsi="Arial"/>
            <w:sz w:val="17"/>
            <w:szCs w:val="17"/>
            <w:u w:val="single" w:color="auto"/>
            <w:color w:val="0000EE"/>
          </w:rPr>
          <w:t>Schedule 14A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(other than information furnished rather than filed) filed with the SEC on April 29, 2022;</w:t>
      </w:r>
    </w:p>
    <w:p>
      <w:pPr>
        <w:spacing w:after="0" w:line="146" w:lineRule="exact"/>
        <w:rPr>
          <w:rFonts w:ascii="Arial" w:cs="Arial" w:eastAsia="Arial" w:hAnsi="Arial"/>
          <w:sz w:val="17"/>
          <w:szCs w:val="17"/>
          <w:color w:val="auto"/>
        </w:rPr>
      </w:pPr>
    </w:p>
    <w:p>
      <w:pPr>
        <w:ind w:left="680" w:hanging="335"/>
        <w:spacing w:after="0" w:line="277" w:lineRule="auto"/>
        <w:tabs>
          <w:tab w:leader="none" w:pos="680" w:val="left"/>
        </w:tabs>
        <w:numPr>
          <w:ilvl w:val="0"/>
          <w:numId w:val="1"/>
        </w:numPr>
        <w:rPr>
          <w:rFonts w:ascii="Arial" w:cs="Arial" w:eastAsia="Arial" w:hAnsi="Arial"/>
          <w:sz w:val="18"/>
          <w:szCs w:val="18"/>
          <w:color w:val="0000EE"/>
        </w:rPr>
      </w:pPr>
      <w:hyperlink r:id="rId19">
        <w:r>
          <w:rPr>
            <w:rFonts w:ascii="Arial" w:cs="Arial" w:eastAsia="Arial" w:hAnsi="Arial"/>
            <w:sz w:val="18"/>
            <w:szCs w:val="18"/>
            <w:color w:val="auto"/>
          </w:rPr>
          <w:t xml:space="preserve">Our Current Reports on Form 8-K filed with the SEC </w:t>
        </w:r>
        <w:r>
          <w:rPr>
            <w:rFonts w:ascii="Arial" w:cs="Arial" w:eastAsia="Arial" w:hAnsi="Arial"/>
            <w:sz w:val="18"/>
            <w:szCs w:val="18"/>
            <w:u w:val="single" w:color="auto"/>
            <w:color w:val="0000EE"/>
          </w:rPr>
          <w:t>October 5, 2021</w:t>
        </w:r>
        <w:r>
          <w:rPr>
            <w:rFonts w:ascii="Arial" w:cs="Arial" w:eastAsia="Arial" w:hAnsi="Arial"/>
            <w:sz w:val="18"/>
            <w:szCs w:val="18"/>
            <w:color w:val="auto"/>
          </w:rPr>
          <w:t xml:space="preserve"> (and the amendment thereto filed with the SEC on </w:t>
        </w:r>
        <w:r>
          <w:rPr>
            <w:rFonts w:ascii="Arial" w:cs="Arial" w:eastAsia="Arial" w:hAnsi="Arial"/>
            <w:sz w:val="18"/>
            <w:szCs w:val="18"/>
            <w:u w:val="single" w:color="auto"/>
            <w:color w:val="0000EE"/>
          </w:rPr>
          <w:t>December 17,</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0">
        <w:r>
          <w:rPr>
            <w:rFonts w:ascii="Arial" w:cs="Arial" w:eastAsia="Arial" w:hAnsi="Arial"/>
            <w:sz w:val="18"/>
            <w:szCs w:val="18"/>
            <w:u w:val="single" w:color="auto"/>
            <w:color w:val="0000EE"/>
          </w:rPr>
          <w:t>January 5, 2022</w:t>
        </w:r>
      </w:hyperlink>
      <w:hyperlink r:id="rId1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1">
        <w:r>
          <w:rPr>
            <w:rFonts w:ascii="Arial" w:cs="Arial" w:eastAsia="Arial" w:hAnsi="Arial"/>
            <w:sz w:val="18"/>
            <w:szCs w:val="18"/>
            <w:u w:val="single" w:color="auto"/>
            <w:color w:val="0000EE"/>
          </w:rPr>
          <w:t>January 26, 2022</w:t>
        </w:r>
      </w:hyperlink>
      <w:hyperlink r:id="rId1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2">
        <w:r>
          <w:rPr>
            <w:rFonts w:ascii="Arial" w:cs="Arial" w:eastAsia="Arial" w:hAnsi="Arial"/>
            <w:sz w:val="18"/>
            <w:szCs w:val="18"/>
            <w:u w:val="single" w:color="auto"/>
            <w:color w:val="0000EE"/>
          </w:rPr>
          <w:t>February 2, 2022</w:t>
        </w:r>
      </w:hyperlink>
      <w:hyperlink r:id="rId1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3">
        <w:r>
          <w:rPr>
            <w:rFonts w:ascii="Arial" w:cs="Arial" w:eastAsia="Arial" w:hAnsi="Arial"/>
            <w:sz w:val="18"/>
            <w:szCs w:val="18"/>
            <w:u w:val="single" w:color="auto"/>
            <w:color w:val="0000EE"/>
          </w:rPr>
          <w:t>March 18, 2022</w:t>
        </w:r>
      </w:hyperlink>
      <w:hyperlink r:id="rId1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4">
        <w:r>
          <w:rPr>
            <w:rFonts w:ascii="Arial" w:cs="Arial" w:eastAsia="Arial" w:hAnsi="Arial"/>
            <w:sz w:val="18"/>
            <w:szCs w:val="18"/>
            <w:u w:val="single" w:color="auto"/>
            <w:color w:val="0000EE"/>
          </w:rPr>
          <w:t>April 12, 2022</w:t>
        </w:r>
      </w:hyperlink>
      <w:hyperlink r:id="rId19">
        <w:r>
          <w:rPr>
            <w:rFonts w:ascii="Arial" w:cs="Arial" w:eastAsia="Arial" w:hAnsi="Arial"/>
            <w:sz w:val="18"/>
            <w:szCs w:val="18"/>
            <w:color w:val="000000"/>
          </w:rPr>
          <w:t>, and</w:t>
        </w:r>
        <w:r>
          <w:rPr>
            <w:rFonts w:ascii="Arial" w:cs="Arial" w:eastAsia="Arial" w:hAnsi="Arial"/>
            <w:sz w:val="18"/>
            <w:szCs w:val="18"/>
            <w:color w:val="0000EE"/>
          </w:rPr>
          <w:t xml:space="preserve"> </w:t>
        </w:r>
      </w:hyperlink>
      <w:hyperlink r:id="rId25">
        <w:r>
          <w:rPr>
            <w:rFonts w:ascii="Arial" w:cs="Arial" w:eastAsia="Arial" w:hAnsi="Arial"/>
            <w:sz w:val="18"/>
            <w:szCs w:val="18"/>
            <w:u w:val="single" w:color="auto"/>
            <w:color w:val="0000EE"/>
          </w:rPr>
          <w:t>June 9, 2022</w:t>
        </w:r>
      </w:hyperlink>
      <w:hyperlink r:id="rId19">
        <w:r>
          <w:rPr>
            <w:rFonts w:ascii="Arial" w:cs="Arial" w:eastAsia="Arial" w:hAnsi="Arial"/>
            <w:sz w:val="18"/>
            <w:szCs w:val="18"/>
            <w:color w:val="000000"/>
          </w:rPr>
          <w:t>; and</w:t>
        </w:r>
      </w:hyperlink>
    </w:p>
    <w:p>
      <w:pPr>
        <w:spacing w:after="0" w:line="170" w:lineRule="exact"/>
        <w:rPr>
          <w:rFonts w:ascii="Arial" w:cs="Arial" w:eastAsia="Arial" w:hAnsi="Arial"/>
          <w:sz w:val="18"/>
          <w:szCs w:val="18"/>
          <w:color w:val="0000EE"/>
        </w:rPr>
      </w:pPr>
    </w:p>
    <w:p>
      <w:pPr>
        <w:ind w:left="680" w:hanging="335"/>
        <w:spacing w:after="0"/>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26">
        <w:r>
          <w:rPr>
            <w:rFonts w:ascii="Arial" w:cs="Arial" w:eastAsia="Arial" w:hAnsi="Arial"/>
            <w:sz w:val="17"/>
            <w:szCs w:val="17"/>
            <w:u w:val="single" w:color="auto"/>
            <w:color w:val="0000EE"/>
          </w:rPr>
          <w:t>Form 8-A12B</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SEC on January 26, 2021;</w:t>
      </w:r>
    </w:p>
    <w:p>
      <w:pPr>
        <w:spacing w:after="0" w:line="237" w:lineRule="exact"/>
        <w:rPr>
          <w:rFonts w:ascii="Arial" w:cs="Arial" w:eastAsia="Arial" w:hAnsi="Arial"/>
          <w:sz w:val="18"/>
          <w:szCs w:val="18"/>
          <w:color w:val="0000EE"/>
        </w:rPr>
      </w:pPr>
    </w:p>
    <w:p>
      <w:pPr>
        <w:jc w:val="both"/>
        <w:spacing w:after="0" w:line="257" w:lineRule="auto"/>
        <w:rPr>
          <w:sz w:val="20"/>
          <w:szCs w:val="20"/>
          <w:color w:val="auto"/>
        </w:rPr>
      </w:pPr>
      <w:r>
        <w:rPr>
          <w:rFonts w:ascii="Arial" w:cs="Arial" w:eastAsia="Arial" w:hAnsi="Arial"/>
          <w:sz w:val="18"/>
          <w:szCs w:val="18"/>
          <w:color w:val="auto"/>
        </w:rPr>
        <w:t>All documents that the registrant subsequently files pursuant to Sections 13(a), 13(c), 14 and 15(d) of the Exchange Act (other than any such documents or portions thereof that are deemed to have been furnished and not filed in accordance with the rules of the SEC),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188" w:lineRule="exact"/>
        <w:rPr>
          <w:rFonts w:ascii="Arial" w:cs="Arial" w:eastAsia="Arial" w:hAnsi="Arial"/>
          <w:sz w:val="18"/>
          <w:szCs w:val="18"/>
          <w:color w:val="0000EE"/>
        </w:rPr>
      </w:pPr>
    </w:p>
    <w:p>
      <w:pPr>
        <w:jc w:val="both"/>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rFonts w:ascii="Arial" w:cs="Arial" w:eastAsia="Arial" w:hAnsi="Arial"/>
          <w:sz w:val="18"/>
          <w:szCs w:val="18"/>
          <w:color w:val="0000EE"/>
        </w:rPr>
      </w:pPr>
    </w:p>
    <w:p>
      <w:pPr>
        <w:spacing w:after="0" w:line="203"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officers and directors are indemnified as provided by the Nevada Revised Statutes (“NRS”) and our articles of incorporation and bylaws.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NRS, officer and director immunity from liability to a company or its stockholders for monetary liabilities applies automatically unless it is specifically limited by a company’s articles of incorporation. The NRS provides that an officer or director will not be liable for acts or omissions unless it is proven that the officer’s or director’s acts or omissions constitute a breach of fiduciary duties and such breach involved intentional misconduct, fraud, or a knowing violation of law. Our articles of incorporation provide that no director shall be liable to the Company or its stockholders for monetary damages for breach of fiduciary duty as a director; provided that the director’s liability shall not be eliminated or limited for (i) breach of any duty of loyalty to the Company or its stockholders, (ii) acts or omissions not in good faith or that involve intentional misconduct or a knowing violation of law, (iii) any transaction from which the director derived an improper personal benefit, or (iv) an act or omission occurring before the person was a director of the Company.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articles of incorporation and bylaws provide that we will indemnify our directors, officers, employees, and agents to the fullest extent permitted by the NRS. Our bylaws also provide that we may purchase and maintain liability insurance, or make other arrangements for such obligations or otherwise, to the extent permitted by the NRS.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NRS permits us to indemnify any person who was or is a party or is threatened to be made a party to any threatened, pending, or contemplated action, suit, or proceeding, whether civil, criminal, administrative, or investigative, including an action by or on behalf of the Company, by reason of the fact that such person is or was a director, officer, employee, or agent of the Company, or is or was servicing at the request of the Company as a director, officer, employee, or agent of another entity, against expenses, including attorneys’ fees actually and reasonably incurred by such person in connection with the defense or settlement of such action, suit, or proceeding if such person has exercised his powers in good faith and with a view to the interests of the Company; or acted in good faith and in a manner that such person reasonably believed to be in or not opposed to the best interest of the Company, and with respect to any criminal action or proceeding, had no reasonable cause to believe such conduct was unlawful.</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Indemnification under the NRS may not be made for any claim, issue, or matter as to which such person has been adjudged by a court of competent jurisdiction, after exhaustion of all appeals therefrom, to be liable to the Company or for amounts paid in settlement to the Company, unless and only to the extent that the court in which the action or suit was brought or other court of competent jurisdiction determines that, in view of all the circumstances of the case, the person is fairly and reasonably entitled to indemnity for such expenses as the court deems proper.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The NRS also provides that to the extent that a director, officer, employee, or agent of the Company has been successful on the merits or otherwise in defense of any action, suit, or proceeding for which the Company is permitted to provide indemnification, or in defense of any claim, issue, or matter therein, the Company is required to indemnify such person against expenses, including attorneys’ fees, actually and reasonably incurred in connection with the defense.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bylaws and the NRS require the Company to advance expenses of an officer or director as incurred in defending a civil or criminal action, suit, or proceeding upon receipt of an undertaking from the officer or director to repay the amounts advanced if it is ultimately determined by a court of competent jurisdiction that the officer or director is not entitled to such indemnification.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also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00" w:type="dxa"/>
            <w:vAlign w:val="bottom"/>
            <w:gridSpan w:val="14"/>
          </w:tcPr>
          <w:p>
            <w:pPr>
              <w:spacing w:after="0"/>
              <w:rPr>
                <w:sz w:val="20"/>
                <w:szCs w:val="20"/>
                <w:color w:val="auto"/>
              </w:rPr>
            </w:pPr>
            <w:r>
              <w:rPr>
                <w:rFonts w:ascii="Arial" w:cs="Arial" w:eastAsia="Arial" w:hAnsi="Arial"/>
                <w:sz w:val="18"/>
                <w:szCs w:val="18"/>
                <w:b w:val="1"/>
                <w:bCs w:val="1"/>
                <w:color w:val="auto"/>
              </w:rPr>
              <w:t>Document</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14"/>
            <w:shd w:val="clear" w:color="auto" w:fill="CCEEFF"/>
          </w:tcPr>
          <w:p>
            <w:pPr>
              <w:spacing w:after="0" w:line="176" w:lineRule="exact"/>
              <w:rPr>
                <w:rFonts w:ascii="Arial" w:cs="Arial" w:eastAsia="Arial" w:hAnsi="Arial"/>
                <w:sz w:val="18"/>
                <w:szCs w:val="18"/>
                <w:color w:val="0000EE"/>
                <w:w w:val="93"/>
              </w:rPr>
            </w:pPr>
            <w:hyperlink r:id="rId30">
              <w:r>
                <w:rPr>
                  <w:rFonts w:ascii="Arial" w:cs="Arial" w:eastAsia="Arial" w:hAnsi="Arial"/>
                  <w:sz w:val="18"/>
                  <w:szCs w:val="18"/>
                  <w:color w:val="0000EE"/>
                  <w:w w:val="93"/>
                </w:rPr>
                <w:t>Articles of Incorporation of the Registrant (incorporated by reference to Exhibit 3.1 to the Registrant’s Amendment No. 1 to Registration</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Statement on Form S-1 filed with the Securities and Exchange Commission on January 13, 2021)</w:t>
              </w:r>
            </w:hyperlink>
          </w:p>
        </w:tc>
      </w:tr>
      <w:tr>
        <w:trPr>
          <w:trHeight w:val="230"/>
        </w:trPr>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1820" w:type="dxa"/>
            <w:vAlign w:val="bottom"/>
            <w:tcBorders>
              <w:top w:val="single" w:sz="8" w:color="0000EE"/>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4"/>
            <w:shd w:val="clear" w:color="auto" w:fill="CCEEFF"/>
          </w:tcPr>
          <w:p>
            <w:pPr>
              <w:spacing w:after="0" w:line="176" w:lineRule="exact"/>
              <w:rPr>
                <w:rFonts w:ascii="Arial" w:cs="Arial" w:eastAsia="Arial" w:hAnsi="Arial"/>
                <w:sz w:val="18"/>
                <w:szCs w:val="18"/>
                <w:color w:val="0000EE"/>
                <w:w w:val="93"/>
              </w:rPr>
            </w:pPr>
            <w:hyperlink r:id="rId31">
              <w:r>
                <w:rPr>
                  <w:rFonts w:ascii="Arial" w:cs="Arial" w:eastAsia="Arial" w:hAnsi="Arial"/>
                  <w:sz w:val="18"/>
                  <w:szCs w:val="18"/>
                  <w:color w:val="0000EE"/>
                  <w:w w:val="93"/>
                </w:rPr>
                <w:t>Third Amended and Restated Certificate of Designations of the Series A Convertible Preferred Stock of the Registrant (incorporated by</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216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4"/>
            <w:shd w:val="clear" w:color="auto" w:fill="CCEEFF"/>
          </w:tcPr>
          <w:p>
            <w:pPr>
              <w:spacing w:after="0" w:line="196" w:lineRule="exact"/>
              <w:rPr>
                <w:rFonts w:ascii="Arial" w:cs="Arial" w:eastAsia="Arial" w:hAnsi="Arial"/>
                <w:sz w:val="18"/>
                <w:szCs w:val="18"/>
                <w:color w:val="0000EE"/>
                <w:w w:val="90"/>
              </w:rPr>
            </w:pPr>
            <w:hyperlink r:id="rId31">
              <w:r>
                <w:rPr>
                  <w:rFonts w:ascii="Arial" w:cs="Arial" w:eastAsia="Arial" w:hAnsi="Arial"/>
                  <w:sz w:val="18"/>
                  <w:szCs w:val="18"/>
                  <w:color w:val="0000EE"/>
                  <w:w w:val="90"/>
                </w:rPr>
                <w:t>reference to Exhibit 3.2 to the Registrant’s Amendment No. 1 to Registration Statement on Form S-1 filed with the Securities and Exchange</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Commission on January 13, 2021)</w:t>
              </w:r>
            </w:hyperlink>
          </w:p>
        </w:tc>
      </w:tr>
      <w:tr>
        <w:trPr>
          <w:trHeight w:val="230"/>
        </w:trPr>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80" w:type="dxa"/>
            <w:vAlign w:val="bottom"/>
            <w:tcBorders>
              <w:top w:val="single" w:sz="8" w:color="0000EE"/>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4"/>
            <w:shd w:val="clear" w:color="auto" w:fill="CCEEFF"/>
          </w:tcPr>
          <w:p>
            <w:pPr>
              <w:spacing w:after="0" w:line="176" w:lineRule="exact"/>
              <w:rPr>
                <w:rFonts w:ascii="Arial" w:cs="Arial" w:eastAsia="Arial" w:hAnsi="Arial"/>
                <w:sz w:val="18"/>
                <w:szCs w:val="18"/>
                <w:color w:val="0000EE"/>
                <w:w w:val="97"/>
              </w:rPr>
            </w:pPr>
            <w:hyperlink r:id="rId32">
              <w:r>
                <w:rPr>
                  <w:rFonts w:ascii="Arial" w:cs="Arial" w:eastAsia="Arial" w:hAnsi="Arial"/>
                  <w:sz w:val="18"/>
                  <w:szCs w:val="18"/>
                  <w:color w:val="0000EE"/>
                  <w:w w:val="97"/>
                </w:rPr>
                <w:t>Amended and Restated Bylaws of the Registrant (incorporated by reference to Exhibit 3.3 to the Registrant’s Amendment No. 2 to</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4"/>
            <w:shd w:val="clear" w:color="auto" w:fill="CCEEFF"/>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Registration Statement on Form S-1 filed with the Securities and Exchange Commission on January 26, 2021)</w:t>
              </w:r>
            </w:hyperlink>
          </w:p>
        </w:tc>
      </w:tr>
      <w:tr>
        <w:trPr>
          <w:trHeight w:val="229"/>
        </w:trPr>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1820" w:type="dxa"/>
            <w:vAlign w:val="bottom"/>
            <w:tcBorders>
              <w:top w:val="single" w:sz="8" w:color="0000EE"/>
            </w:tcBorders>
          </w:tcPr>
          <w:p>
            <w:pPr>
              <w:spacing w:after="0"/>
              <w:rPr>
                <w:sz w:val="19"/>
                <w:szCs w:val="19"/>
                <w:color w:val="auto"/>
              </w:rPr>
            </w:pPr>
          </w:p>
        </w:tc>
        <w:tc>
          <w:tcPr>
            <w:tcW w:w="920" w:type="dxa"/>
            <w:vAlign w:val="bottom"/>
            <w:tcBorders>
              <w:top w:val="single" w:sz="8" w:color="0000EE"/>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r>
      <w:tr>
        <w:trPr>
          <w:trHeight w:val="210"/>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2022 Agrify Corporation Omnibus Equity Incentive Plan</w:t>
              </w:r>
            </w:hyperlink>
          </w:p>
        </w:tc>
      </w:tr>
      <w:tr>
        <w:trPr>
          <w:trHeight w:val="229"/>
        </w:trPr>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r>
      <w:tr>
        <w:trPr>
          <w:trHeight w:val="210"/>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2022 Agrify Corporation Employee Stock Purchase Plan</w:t>
              </w:r>
            </w:hyperlink>
          </w:p>
        </w:tc>
      </w:tr>
      <w:tr>
        <w:trPr>
          <w:trHeight w:val="229"/>
        </w:trPr>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r>
      <w:tr>
        <w:trPr>
          <w:trHeight w:val="209"/>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Form of Incentive Stock Option Agreement</w:t>
              </w:r>
            </w:hyperlink>
          </w:p>
        </w:tc>
      </w:tr>
      <w:tr>
        <w:trPr>
          <w:trHeight w:val="230"/>
        </w:trPr>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r>
      <w:tr>
        <w:trPr>
          <w:trHeight w:val="209"/>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Form of Non-Qualified Stock Option Agreement</w:t>
              </w:r>
            </w:hyperlink>
          </w:p>
        </w:tc>
      </w:tr>
      <w:tr>
        <w:trPr>
          <w:trHeight w:val="230"/>
        </w:trPr>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r>
      <w:tr>
        <w:trPr>
          <w:trHeight w:val="209"/>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Form of Restricted Stock Unit Agreement for Employees</w:t>
              </w:r>
            </w:hyperlink>
          </w:p>
        </w:tc>
      </w:tr>
      <w:tr>
        <w:trPr>
          <w:trHeight w:val="229"/>
        </w:trPr>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r>
      <w:tr>
        <w:trPr>
          <w:trHeight w:val="210"/>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Form of Restricted Stock Unit Agreement for Directors</w:t>
              </w:r>
            </w:hyperlink>
          </w:p>
        </w:tc>
      </w:tr>
      <w:tr>
        <w:trPr>
          <w:trHeight w:val="229"/>
        </w:trPr>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r>
      <w:tr>
        <w:trPr>
          <w:trHeight w:val="210"/>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Opinion of Sherman &amp; Howard L.L.C.</w:t>
              </w:r>
            </w:hyperlink>
          </w:p>
        </w:tc>
      </w:tr>
      <w:tr>
        <w:trPr>
          <w:trHeight w:val="230"/>
        </w:trPr>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r>
      <w:tr>
        <w:trPr>
          <w:trHeight w:val="209"/>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Consent of Marcum LLP, independent registered public accounting firm</w:t>
              </w:r>
            </w:hyperlink>
          </w:p>
        </w:tc>
      </w:tr>
      <w:tr>
        <w:trPr>
          <w:trHeight w:val="230"/>
        </w:trPr>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r>
      <w:tr>
        <w:trPr>
          <w:trHeight w:val="210"/>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Consent of Baker Tilly US LLP, independent auditor</w:t>
              </w:r>
            </w:hyperlink>
          </w:p>
        </w:tc>
      </w:tr>
      <w:tr>
        <w:trPr>
          <w:trHeight w:val="230"/>
        </w:trPr>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tcPr>
          <w:p>
            <w:pPr>
              <w:spacing w:after="0"/>
              <w:rPr>
                <w:sz w:val="19"/>
                <w:szCs w:val="19"/>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4"/>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Consent of Sherman &amp; Howard L.L.C. (contained in Exhibit 5.1)</w:t>
              </w:r>
            </w:hyperlink>
          </w:p>
        </w:tc>
      </w:tr>
      <w:tr>
        <w:trPr>
          <w:trHeight w:val="34"/>
        </w:trPr>
        <w:tc>
          <w:tcPr>
            <w:tcW w:w="1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right w:val="single" w:sz="8" w:color="CCEEFF"/>
            </w:tcBorders>
            <w:shd w:val="clear" w:color="auto" w:fill="CCEEFF"/>
          </w:tcPr>
          <w:p>
            <w:pPr>
              <w:spacing w:after="0"/>
              <w:rPr>
                <w:sz w:val="2"/>
                <w:szCs w:val="2"/>
                <w:color w:val="auto"/>
              </w:rPr>
            </w:pPr>
          </w:p>
        </w:tc>
      </w:tr>
    </w:tbl>
    <w:p>
      <w:pPr>
        <w:spacing w:after="0" w:line="215" w:lineRule="exact"/>
        <w:rPr>
          <w:sz w:val="20"/>
          <w:szCs w:val="20"/>
          <w:color w:val="auto"/>
        </w:rPr>
      </w:pPr>
    </w:p>
    <w:p>
      <w:pPr>
        <w:ind w:left="1140" w:hanging="1132"/>
        <w:spacing w:after="0"/>
        <w:tabs>
          <w:tab w:leader="none" w:pos="1140" w:val="left"/>
        </w:tabs>
        <w:numPr>
          <w:ilvl w:val="0"/>
          <w:numId w:val="2"/>
        </w:numPr>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Calculation of Filing Fees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firstLine="1304"/>
        <w:spacing w:after="0" w:line="254" w:lineRule="auto"/>
        <w:tabs>
          <w:tab w:leader="none" w:pos="1565"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94" w:lineRule="exact"/>
        <w:rPr>
          <w:rFonts w:ascii="Arial" w:cs="Arial" w:eastAsia="Arial" w:hAnsi="Arial"/>
          <w:sz w:val="18"/>
          <w:szCs w:val="18"/>
          <w:color w:val="auto"/>
        </w:rPr>
      </w:pPr>
    </w:p>
    <w:p>
      <w:pPr>
        <w:ind w:right="20" w:firstLine="1304"/>
        <w:spacing w:after="0" w:line="277" w:lineRule="auto"/>
        <w:tabs>
          <w:tab w:leader="none" w:pos="1612"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provided, however, that paragraphs (i) and (ii)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this Registration Statement.</w:t>
      </w:r>
    </w:p>
    <w:p>
      <w:pPr>
        <w:spacing w:after="0" w:line="165" w:lineRule="exact"/>
        <w:rPr>
          <w:sz w:val="20"/>
          <w:szCs w:val="20"/>
          <w:color w:val="auto"/>
        </w:rPr>
      </w:pPr>
    </w:p>
    <w:p>
      <w:pPr>
        <w:jc w:val="both"/>
        <w:ind w:firstLine="980"/>
        <w:spacing w:after="0" w:line="263" w:lineRule="auto"/>
        <w:tabs>
          <w:tab w:leader="none" w:pos="1224"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firstLine="980"/>
        <w:spacing w:after="0" w:line="277" w:lineRule="auto"/>
        <w:tabs>
          <w:tab w:leader="none" w:pos="1239"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656"/>
        <w:spacing w:after="0" w:line="257" w:lineRule="auto"/>
        <w:tabs>
          <w:tab w:leader="none" w:pos="91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jc w:val="both"/>
        <w:ind w:firstLine="656"/>
        <w:spacing w:after="0" w:line="254" w:lineRule="auto"/>
        <w:tabs>
          <w:tab w:leader="none" w:pos="89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Town of Billerica, Commonwealth of Massachusetts, on June 30, 2022.</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each of Raymond Chang and Timothy R. Oakes, and each of them, as his or her true and lawful attorney-in-fact and agent, with full power of substitution and resubstitution, for him or her and in his or her name, place and stead, in any and all capacities, to sign any and all amendments to this registration statement on Form S-8,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380" w:type="dxa"/>
            <w:vAlign w:val="bottom"/>
            <w:tcBorders>
              <w:bottom w:val="single" w:sz="8" w:color="auto"/>
            </w:tcBorders>
          </w:tcPr>
          <w:p>
            <w:pPr>
              <w:ind w:left="20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c>
          <w:tcPr>
            <w:tcW w:w="1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30, 2022</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Raymond Chang</w:t>
            </w: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R. Oakes</w:t>
            </w:r>
          </w:p>
        </w:tc>
        <w:tc>
          <w:tcPr>
            <w:tcW w:w="1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30, 2022</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Timothy R. Oakes</w:t>
            </w: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Guichao Hua</w:t>
            </w:r>
          </w:p>
        </w:tc>
        <w:tc>
          <w:tcPr>
            <w:tcW w:w="1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30, 2022</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Guichao Hua</w:t>
            </w: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Mahoney</w:t>
            </w:r>
          </w:p>
        </w:tc>
        <w:tc>
          <w:tcPr>
            <w:tcW w:w="1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30, 2022</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Timothy Mahoney</w:t>
            </w: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Massie</w:t>
            </w:r>
          </w:p>
        </w:tc>
        <w:tc>
          <w:tcPr>
            <w:tcW w:w="1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President, COO and 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30, 2022</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Thomas Massie</w:t>
            </w: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J. Sokolow</w:t>
            </w:r>
          </w:p>
        </w:tc>
        <w:tc>
          <w:tcPr>
            <w:tcW w:w="1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30, 2022</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Leonard J. Sokolow</w:t>
            </w: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Krishnan Varier</w:t>
            </w:r>
          </w:p>
        </w:tc>
        <w:tc>
          <w:tcPr>
            <w:tcW w:w="1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30, 2022</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Krishnan Varier</w:t>
            </w: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Wilcox</w:t>
            </w:r>
          </w:p>
        </w:tc>
        <w:tc>
          <w:tcPr>
            <w:tcW w:w="1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June 30, 2022</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Stuart Wilcox</w:t>
            </w: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41"/>
        </w:trPr>
        <w:tc>
          <w:tcPr>
            <w:tcW w:w="4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II-6</w:t>
            </w: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2022 OMNIBUS EQUITY INCENTIVE PLAN</w:t>
      </w:r>
    </w:p>
    <w:p>
      <w:pPr>
        <w:spacing w:after="0" w:line="22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Purpose; Eligibility</w:t>
      </w:r>
      <w:r>
        <w:rPr>
          <w:rFonts w:ascii="Arial" w:cs="Arial" w:eastAsia="Arial" w:hAnsi="Arial"/>
          <w:sz w:val="18"/>
          <w:szCs w:val="18"/>
          <w:color w:val="auto"/>
        </w:rPr>
        <w:t>.</w:t>
      </w:r>
    </w:p>
    <w:p>
      <w:pPr>
        <w:spacing w:after="0" w:line="221"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General Purpose</w:t>
      </w:r>
      <w:r>
        <w:rPr>
          <w:rFonts w:ascii="Arial" w:cs="Arial" w:eastAsia="Arial" w:hAnsi="Arial"/>
          <w:sz w:val="17"/>
          <w:szCs w:val="17"/>
          <w:color w:val="auto"/>
        </w:rPr>
        <w:t>. The name of this plan is the Agrify Corporation 2022 Omnibus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The purposes of the Plan are to (a) enable Agrify Corporation,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any Affiliate to attract and retain the types of Employees, Consultants and Directors who will contribute to the Company’s long-term success; (b) provide incentives that align the interests of Employees, Consultants and Directors with those of the shareholders of the Company; and (c) promote the success of the Company’s business.</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Eligible Award Recipients</w:t>
      </w:r>
      <w:r>
        <w:rPr>
          <w:rFonts w:ascii="Arial" w:cs="Arial" w:eastAsia="Arial" w:hAnsi="Arial"/>
          <w:sz w:val="18"/>
          <w:szCs w:val="18"/>
          <w:color w:val="auto"/>
        </w:rPr>
        <w:t>.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Available Awards</w:t>
      </w:r>
      <w:r>
        <w:rPr>
          <w:rFonts w:ascii="Arial" w:cs="Arial" w:eastAsia="Arial" w:hAnsi="Arial"/>
          <w:sz w:val="18"/>
          <w:szCs w:val="18"/>
          <w:color w:val="auto"/>
        </w:rPr>
        <w:t>. Awards that may be granted under the Plan include: (a) Incentive Stock Options, (b) Non-qualified Stock Options, (c) Stock Appreciation Rights, (d) Restricted Awards, (e) Performance Share Awards, (f) Cash Awards, and (g) Other Equity-Based Awards.</w:t>
      </w:r>
    </w:p>
    <w:p>
      <w:pPr>
        <w:spacing w:after="0" w:line="17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corporation or other entity that, directly or through one or more intermediaries, controls, is controlled by or is under common control with, the Company.</w:t>
      </w:r>
    </w:p>
    <w:p>
      <w:pPr>
        <w:spacing w:after="0" w:line="162"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requirements related to or implicated by the administration of the Plan under applicable state corporate law, United States federal and state securities laws, the Code, any stock exchange or quotation system on which the shares of Common Stock are listed or quoted, and the applicable laws of any foreign country or jurisdiction where Awards are granted under the Plan.</w:t>
      </w:r>
    </w:p>
    <w:p>
      <w:pPr>
        <w:spacing w:after="0" w:line="176"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any right granted under the Plan, including an Incentive Stock Option, a Non-qualified Stock Option, a Stock Appreciation Right, a Restricted Award, a Performance Share Award, a Cash Award, or an Other Equity-Based Award.</w:t>
      </w:r>
    </w:p>
    <w:p>
      <w:pPr>
        <w:spacing w:after="0" w:line="162"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176"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as constituted at any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Award</w:t>
      </w:r>
      <w:r>
        <w:rPr>
          <w:rFonts w:ascii="Arial" w:cs="Arial" w:eastAsia="Arial" w:hAnsi="Arial"/>
          <w:sz w:val="18"/>
          <w:szCs w:val="18"/>
          <w:color w:val="auto"/>
        </w:rPr>
        <w:t>” means an Award denominated in cash that is granted under Section 10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respect to any Employee or Consultant, unless the applicable Award Agreement states otherwise:</w:t>
      </w:r>
    </w:p>
    <w:p>
      <w:pPr>
        <w:spacing w:after="0" w:line="225" w:lineRule="exact"/>
        <w:rPr>
          <w:sz w:val="20"/>
          <w:szCs w:val="20"/>
          <w:color w:val="auto"/>
        </w:rPr>
      </w:pPr>
    </w:p>
    <w:p>
      <w:pPr>
        <w:ind w:left="980"/>
        <w:spacing w:after="0" w:line="277" w:lineRule="auto"/>
        <w:tabs>
          <w:tab w:leader="none" w:pos="1236"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Employee or Consultant is a party to an employment or service agreement with the Company or its Affiliates and such agreement provides for a definition of Cause, the definition contained therein; or</w:t>
      </w:r>
    </w:p>
    <w:p>
      <w:pPr>
        <w:spacing w:after="0" w:line="170" w:lineRule="exact"/>
        <w:rPr>
          <w:rFonts w:ascii="Arial" w:cs="Arial" w:eastAsia="Arial" w:hAnsi="Arial"/>
          <w:sz w:val="18"/>
          <w:szCs w:val="18"/>
          <w:color w:val="auto"/>
        </w:rPr>
      </w:pPr>
    </w:p>
    <w:p>
      <w:pPr>
        <w:jc w:val="both"/>
        <w:ind w:left="980"/>
        <w:spacing w:after="0" w:line="293" w:lineRule="auto"/>
        <w:tabs>
          <w:tab w:leader="none" w:pos="1239"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no such agreement exists, or if such agreement does not define Cause: (i) the commission of, or plea of guilty or no contest to, a felony or a crime involving moral turpitude or the commission of any other act involving willful malfeasance or material fiduciary breach with respect to the Company or an Affiliate; (ii) conduct that brings or is reasonably likely to bring the Company or an Affiliate negative publicity or into public disgrace, embarrassment, or disrepute; (iii) gross negligence or willful misconduct with respect to the Company or an Affiliate; (iv) material violation of state or federal securities laws; or (v) material violation of the Company’s written policies or codes of conduct, including written policies related to discrimination, harassment, performance of illegal or unethical activities, and ethical misconduct.</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With respect to any Director, unless the applicable Award Agreement states otherwise, a determination by a majority of the disinterested</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Board members that the Director has engaged in any of the following:</w:t>
      </w:r>
    </w:p>
    <w:p>
      <w:pPr>
        <w:spacing w:after="0" w:line="211" w:lineRule="exact"/>
        <w:rPr>
          <w:sz w:val="20"/>
          <w:szCs w:val="20"/>
          <w:color w:val="auto"/>
        </w:rPr>
      </w:pPr>
    </w:p>
    <w:p>
      <w:pPr>
        <w:ind w:left="1220" w:hanging="240"/>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malfeasance in office;</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misconduct or neglect;</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false or fraudulent misrepresentation inducing the director’s appointment;</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willful conversion of corporate funds; or</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repeated failure to participate in Board meetings on a regular basis despite having received proper notice of the meetings in advance.</w:t>
      </w:r>
    </w:p>
    <w:p>
      <w:pPr>
        <w:spacing w:after="0" w:line="237" w:lineRule="exact"/>
        <w:rPr>
          <w:sz w:val="20"/>
          <w:szCs w:val="20"/>
          <w:color w:val="auto"/>
        </w:rPr>
      </w:pPr>
    </w:p>
    <w:p>
      <w:pPr>
        <w:ind w:right="20" w:firstLine="972"/>
        <w:spacing w:after="0" w:line="277" w:lineRule="auto"/>
        <w:rPr>
          <w:sz w:val="20"/>
          <w:szCs w:val="20"/>
          <w:color w:val="auto"/>
        </w:rPr>
      </w:pPr>
      <w:r>
        <w:rPr>
          <w:rFonts w:ascii="Arial" w:cs="Arial" w:eastAsia="Arial" w:hAnsi="Arial"/>
          <w:sz w:val="18"/>
          <w:szCs w:val="18"/>
          <w:color w:val="auto"/>
        </w:rPr>
        <w:t>The Committee, in its absolute discretion, shall determine the effect of all matters and questions relating to whether a Participant has been discharged for Cause.</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w:t>
      </w:r>
    </w:p>
    <w:p>
      <w:pPr>
        <w:spacing w:after="0" w:line="229" w:lineRule="exact"/>
        <w:rPr>
          <w:sz w:val="20"/>
          <w:szCs w:val="20"/>
          <w:color w:val="auto"/>
        </w:rPr>
      </w:pPr>
    </w:p>
    <w:p>
      <w:pPr>
        <w:jc w:val="both"/>
        <w:ind w:left="980"/>
        <w:spacing w:after="0" w:line="263" w:lineRule="auto"/>
        <w:tabs>
          <w:tab w:leader="none" w:pos="12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w:t>
      </w:r>
    </w:p>
    <w:p>
      <w:pPr>
        <w:spacing w:after="0" w:line="183" w:lineRule="exact"/>
        <w:rPr>
          <w:rFonts w:ascii="Arial" w:cs="Arial" w:eastAsia="Arial" w:hAnsi="Arial"/>
          <w:sz w:val="18"/>
          <w:szCs w:val="18"/>
          <w:color w:val="auto"/>
        </w:rPr>
      </w:pPr>
    </w:p>
    <w:p>
      <w:pPr>
        <w:ind w:left="1240" w:hanging="260"/>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Incumbent Directors cease for any reason to constitute at least a majority of the Board;</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which is 10 business days prior to the consummation of a complete liquidation or dissolution of the Company;</w:t>
      </w:r>
    </w:p>
    <w:p>
      <w:pPr>
        <w:spacing w:after="0" w:line="225" w:lineRule="exact"/>
        <w:rPr>
          <w:rFonts w:ascii="Arial" w:cs="Arial" w:eastAsia="Arial" w:hAnsi="Arial"/>
          <w:sz w:val="18"/>
          <w:szCs w:val="18"/>
          <w:color w:val="auto"/>
        </w:rPr>
      </w:pPr>
    </w:p>
    <w:p>
      <w:pPr>
        <w:jc w:val="both"/>
        <w:ind w:left="980"/>
        <w:spacing w:after="0" w:line="269" w:lineRule="auto"/>
        <w:tabs>
          <w:tab w:leader="none" w:pos="123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acquisition by any Person of Beneficial Ownership of 50% or more (on a fully diluted basis) of either (i)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17"/>
          <w:szCs w:val="17"/>
          <w:b w:val="1"/>
          <w:bCs w:val="1"/>
          <w:color w:val="auto"/>
        </w:rPr>
        <w:t>Outstanding Company Common Stock</w:t>
      </w:r>
      <w:r>
        <w:rPr>
          <w:rFonts w:ascii="Arial" w:cs="Arial" w:eastAsia="Arial" w:hAnsi="Arial"/>
          <w:sz w:val="17"/>
          <w:szCs w:val="17"/>
          <w:color w:val="auto"/>
        </w:rPr>
        <w:t>”) or (ii) the combined voting power of the then outstanding voting securities of the Company entitled to vote generally in the election of directors (the “</w:t>
      </w:r>
      <w:r>
        <w:rPr>
          <w:rFonts w:ascii="Arial" w:cs="Arial" w:eastAsia="Arial" w:hAnsi="Arial"/>
          <w:sz w:val="17"/>
          <w:szCs w:val="17"/>
          <w:b w:val="1"/>
          <w:bCs w:val="1"/>
          <w:color w:val="auto"/>
        </w:rPr>
        <w:t>Outstanding Company Voting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for purposes of this Plan, the following acquisitions shall not constitute a Change in Control: (A) any acquisition by the Company or any Affiliate, (B) any acquisition by any employee benefit plan sponsored or maintained by the Company or any subsidiary, (C) any acquisition which complies with clauses, (i), (ii) and (iii) of subsection (e) of this definition or (D) in respect of an Award held by a particular Participant, any acquisition by the Participant or any group of persons including the Participant (or any entity controlled by the Participant or any group of persons including the Participant); 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ind w:left="980"/>
        <w:spacing w:after="0" w:line="285" w:lineRule="auto"/>
        <w:tabs>
          <w:tab w:leader="none" w:pos="122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that requires the approval of the Company’s shareholders, whether for such transaction or the issuance of securities in the transaction (a “</w:t>
      </w:r>
      <w:r>
        <w:rPr>
          <w:rFonts w:ascii="Arial" w:cs="Arial" w:eastAsia="Arial" w:hAnsi="Arial"/>
          <w:sz w:val="16"/>
          <w:szCs w:val="16"/>
          <w:b w:val="1"/>
          <w:bCs w:val="1"/>
          <w:color w:val="auto"/>
        </w:rPr>
        <w:t>Business Combination</w:t>
      </w:r>
      <w:r>
        <w:rPr>
          <w:rFonts w:ascii="Arial" w:cs="Arial" w:eastAsia="Arial" w:hAnsi="Arial"/>
          <w:sz w:val="16"/>
          <w:szCs w:val="16"/>
          <w:color w:val="auto"/>
        </w:rPr>
        <w:t>”), unless immediately following such Business Combination: (i) more than 50% of the total voting power of (A) the entity resulting from such Business Combination (the “</w:t>
      </w:r>
      <w:r>
        <w:rPr>
          <w:rFonts w:ascii="Arial" w:cs="Arial" w:eastAsia="Arial" w:hAnsi="Arial"/>
          <w:sz w:val="16"/>
          <w:szCs w:val="16"/>
          <w:b w:val="1"/>
          <w:bCs w:val="1"/>
          <w:color w:val="auto"/>
        </w:rPr>
        <w:t>Surviving Company</w:t>
      </w:r>
      <w:r>
        <w:rPr>
          <w:rFonts w:ascii="Arial" w:cs="Arial" w:eastAsia="Arial" w:hAnsi="Arial"/>
          <w:sz w:val="16"/>
          <w:szCs w:val="16"/>
          <w:color w:val="auto"/>
        </w:rPr>
        <w:t>”), or (B)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6"/>
          <w:szCs w:val="16"/>
          <w:b w:val="1"/>
          <w:bCs w:val="1"/>
          <w:color w:val="auto"/>
        </w:rPr>
        <w:t>Parent Company</w:t>
      </w:r>
      <w:r>
        <w:rPr>
          <w:rFonts w:ascii="Arial" w:cs="Arial" w:eastAsia="Arial" w:hAnsi="Arial"/>
          <w:sz w:val="16"/>
          <w:szCs w:val="16"/>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(ii)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(iii)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391"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it may be amended from time to time. Any reference to a section of the Code shall be deemed to include a reference to any regulations promulgated thereunder.</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of one or more members of the Board appointed by the Board to administer the Plan in accordance with Section 3.3 and Section 3.4.</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$0.001 par value per share, of the Company, or such other securities of the Company as may be designated by the Committee from time to time in substitution thereof.</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Agrify Corporation, a Nevada corporation, and any successor thereto.</w:t>
      </w:r>
    </w:p>
    <w:p>
      <w:pPr>
        <w:spacing w:after="0" w:line="225"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Consultant</w:t>
      </w:r>
      <w:r>
        <w:rPr>
          <w:rFonts w:ascii="Arial" w:cs="Arial" w:eastAsia="Arial" w:hAnsi="Arial"/>
          <w:sz w:val="17"/>
          <w:szCs w:val="17"/>
          <w:color w:val="auto"/>
        </w:rPr>
        <w:t>” means any individual or entity which performs bona fide services to the Company or an Affiliate, other than as an Employee or Director, and who may be offered securities registerable pursuant to a registration statement on Form S-8 under the Securities Act.</w:t>
      </w:r>
    </w:p>
    <w:p>
      <w:pPr>
        <w:spacing w:after="0" w:line="140"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Continuous Service</w:t>
      </w:r>
      <w:r>
        <w:rPr>
          <w:rFonts w:ascii="Arial" w:cs="Arial" w:eastAsia="Arial" w:hAnsi="Arial"/>
          <w:sz w:val="16"/>
          <w:szCs w:val="16"/>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there is no interruption or termination of the Participant’s Continuous Service; </w:t>
      </w:r>
      <w:r>
        <w:rPr>
          <w:rFonts w:ascii="Arial" w:cs="Arial" w:eastAsia="Arial" w:hAnsi="Arial"/>
          <w:sz w:val="16"/>
          <w:szCs w:val="16"/>
          <w:i w:val="1"/>
          <w:iCs w:val="1"/>
          <w:color w:val="auto"/>
        </w:rPr>
        <w:t>provided further that</w:t>
      </w:r>
      <w:r>
        <w:rPr>
          <w:rFonts w:ascii="Arial" w:cs="Arial" w:eastAsia="Arial" w:hAnsi="Arial"/>
          <w:sz w:val="16"/>
          <w:szCs w:val="16"/>
          <w:color w:val="auto"/>
        </w:rPr>
        <w:t xml:space="preserve"> if 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Stock Units (DSUs)</w:t>
      </w:r>
      <w:r>
        <w:rPr>
          <w:rFonts w:ascii="Arial" w:cs="Arial" w:eastAsia="Arial" w:hAnsi="Arial"/>
          <w:sz w:val="18"/>
          <w:szCs w:val="18"/>
          <w:color w:val="auto"/>
        </w:rPr>
        <w:t>” has the meaning set forth in Section 8.1(b)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Disqualifying Disposition</w:t>
      </w:r>
      <w:r>
        <w:rPr>
          <w:rFonts w:ascii="Arial" w:cs="Arial" w:eastAsia="Arial" w:hAnsi="Arial"/>
          <w:sz w:val="18"/>
          <w:szCs w:val="18"/>
          <w:color w:val="auto"/>
        </w:rPr>
        <w:t>” has the meaning set forth in Section 17.12.</w:t>
      </w:r>
    </w:p>
    <w:p>
      <w:pPr>
        <w:spacing w:after="0" w:line="225" w:lineRule="exact"/>
        <w:rPr>
          <w:sz w:val="20"/>
          <w:szCs w:val="20"/>
          <w:color w:val="auto"/>
        </w:rPr>
      </w:pPr>
    </w:p>
    <w:p>
      <w:pPr>
        <w:jc w:val="both"/>
        <w:ind w:right="20" w:firstLine="9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mean the date that the Company’s shareholders approve this Plan if such shareholder approval occurs before the first anniversary of the date the Plan is adopted by the Board.</w:t>
      </w:r>
    </w:p>
    <w:p>
      <w:pPr>
        <w:spacing w:after="0" w:line="162"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means any person, including an Officer or Director, employed by the Company or an Affiliate;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share of Common Stock (or if no sales were reported the closing price on the date immediately preceding such date) as quoted on such exchange or system on the day of determination, as reported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In the absence of an established market for the Common Stock, the Fair Market Value shall be determined in good faith by the Committee and such determination shall be conclusive and binding on all persons.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Company’s fiscal year.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Standing Rights</w:t>
      </w:r>
      <w:r>
        <w:rPr>
          <w:rFonts w:ascii="Arial" w:cs="Arial" w:eastAsia="Arial" w:hAnsi="Arial"/>
          <w:sz w:val="18"/>
          <w:szCs w:val="18"/>
          <w:color w:val="auto"/>
        </w:rPr>
        <w:t>” has the meaning set forth in Section 7.</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unless the applicable Award Agreement states otherwise:</w:t>
      </w:r>
    </w:p>
    <w:p>
      <w:pPr>
        <w:spacing w:after="0" w:line="229" w:lineRule="exact"/>
        <w:rPr>
          <w:sz w:val="20"/>
          <w:szCs w:val="20"/>
          <w:color w:val="auto"/>
        </w:rPr>
      </w:pPr>
    </w:p>
    <w:p>
      <w:pPr>
        <w:ind w:left="980"/>
        <w:spacing w:after="0" w:line="277" w:lineRule="auto"/>
        <w:tabs>
          <w:tab w:leader="none" w:pos="12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 Employee or Consultant is a party to an employment or service agreement with the Company or its Affiliates and such agreement provides for a definition of Good Reason, the definition contained therein; or</w:t>
      </w:r>
    </w:p>
    <w:p>
      <w:pPr>
        <w:spacing w:after="0" w:line="170" w:lineRule="exact"/>
        <w:rPr>
          <w:rFonts w:ascii="Arial" w:cs="Arial" w:eastAsia="Arial" w:hAnsi="Arial"/>
          <w:sz w:val="18"/>
          <w:szCs w:val="18"/>
          <w:color w:val="auto"/>
        </w:rPr>
      </w:pPr>
    </w:p>
    <w:p>
      <w:pPr>
        <w:jc w:val="both"/>
        <w:ind w:left="980"/>
        <w:spacing w:after="0" w:line="293" w:lineRule="auto"/>
        <w:tabs>
          <w:tab w:leader="none" w:pos="12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(i) any material, adverse change in the Participant’s duties, responsibilities, authority, title, status or reporting structure; or (ii) a material reduction in the Participant’s base salary or bonus opportunity other than as part of an across-the-board salary reduction that applies in substantially the same proportions to all similarly situated Employees.</w:t>
      </w:r>
    </w:p>
    <w:p>
      <w:pPr>
        <w:spacing w:after="0" w:line="160"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Date</w:t>
      </w:r>
      <w:r>
        <w:rPr>
          <w:rFonts w:ascii="Arial" w:cs="Arial" w:eastAsia="Arial" w:hAnsi="Arial"/>
          <w:sz w:val="18"/>
          <w:szCs w:val="18"/>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ind w:firstLine="9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that is designated by the Committee as an incentive stock option within the meaning of Section 422 of the Code and that meets the requirements set out in the Plan.</w:t>
      </w:r>
    </w:p>
    <w:p>
      <w:pPr>
        <w:spacing w:after="0" w:line="162" w:lineRule="exact"/>
        <w:rPr>
          <w:sz w:val="20"/>
          <w:szCs w:val="20"/>
          <w:color w:val="auto"/>
        </w:rPr>
      </w:pPr>
    </w:p>
    <w:p>
      <w:pPr>
        <w:jc w:val="both"/>
        <w:ind w:firstLine="972"/>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Incumbent Directors</w:t>
      </w:r>
      <w:r>
        <w:rPr>
          <w:rFonts w:ascii="Arial" w:cs="Arial" w:eastAsia="Arial" w:hAnsi="Arial"/>
          <w:sz w:val="17"/>
          <w:szCs w:val="17"/>
          <w:color w:val="auto"/>
        </w:rPr>
        <w:t xml:space="preserve">” means individuals who, on the Effective Date, constitute the Board,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Non-Employee Director</w:t>
      </w:r>
      <w:r>
        <w:rPr>
          <w:rFonts w:ascii="Arial" w:cs="Arial" w:eastAsia="Arial" w:hAnsi="Arial"/>
          <w:sz w:val="18"/>
          <w:szCs w:val="18"/>
          <w:color w:val="auto"/>
        </w:rPr>
        <w:t>” means a Director who is a “non-employee director” within the meaning of Rule 16b-3.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Non-qualified Stock Option</w:t>
      </w:r>
      <w:r>
        <w:rPr>
          <w:rFonts w:ascii="Arial" w:cs="Arial" w:eastAsia="Arial" w:hAnsi="Arial"/>
          <w:sz w:val="16"/>
          <w:szCs w:val="16"/>
          <w:color w:val="auto"/>
        </w:rPr>
        <w:t>” means an Option that by its terms does not qualify or is not intended to qualify as an Incentive Stock Option.</w:t>
      </w:r>
    </w:p>
    <w:p>
      <w:pPr>
        <w:spacing w:after="0" w:line="248"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Incentive Stock Option or a Non-qualified Stock Option granted pursuant to the Plan.</w:t>
      </w:r>
    </w:p>
    <w:p>
      <w:pPr>
        <w:spacing w:after="0" w:line="225"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Exercise Price</w:t>
      </w:r>
      <w:r>
        <w:rPr>
          <w:rFonts w:ascii="Arial" w:cs="Arial" w:eastAsia="Arial" w:hAnsi="Arial"/>
          <w:sz w:val="18"/>
          <w:szCs w:val="18"/>
          <w:color w:val="auto"/>
        </w:rPr>
        <w:t>” means the price at which a share of Common Stock may be purchased upon the exercise of an Option.</w:t>
      </w:r>
    </w:p>
    <w:p>
      <w:pPr>
        <w:spacing w:after="0" w:line="225"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“Other Equity-Based Award” </w:t>
      </w:r>
      <w:r>
        <w:rPr>
          <w:rFonts w:ascii="Arial" w:cs="Arial" w:eastAsia="Arial" w:hAnsi="Arial"/>
          <w:sz w:val="18"/>
          <w:szCs w:val="18"/>
          <w:color w:val="auto"/>
        </w:rPr>
        <w:t>means an Award that is not an Option, Stock Appreciation Right, Restricted Stock, Restricted Stock Unit, 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 Award that is granted under Section 10 and is payable by delivery of Common Stock and/or which is measured by reference to the value of Common Stock.</w:t>
      </w:r>
    </w:p>
    <w:p>
      <w:pPr>
        <w:spacing w:after="0" w:line="176"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eligible person to whom an Award is granted pursuant to the Plan or, if applicable, such other person who holds an outstanding Award.</w:t>
      </w:r>
    </w:p>
    <w:p>
      <w:pPr>
        <w:spacing w:after="0" w:line="162"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Goals</w:t>
      </w:r>
      <w:r>
        <w:rPr>
          <w:rFonts w:ascii="Arial" w:cs="Arial" w:eastAsia="Arial" w:hAnsi="Arial"/>
          <w:sz w:val="18"/>
          <w:szCs w:val="18"/>
          <w:color w:val="auto"/>
        </w:rPr>
        <w:t>” means, for a Performance Period, the one or more goals established by the Committee for the Performance Period based upon business criteria or other performance measures determined by the Committee in its discretion.</w:t>
      </w:r>
    </w:p>
    <w:p>
      <w:pPr>
        <w:spacing w:after="0" w:line="162"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one or more periods of time, as the Committee may select, over which the attainment of one or more Performance Goals will be measured for the purpose of determining a Participant’s right to and the payment of a Performance Share Award or a Cash Award.</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Share Award</w:t>
      </w:r>
      <w:r>
        <w:rPr>
          <w:rFonts w:ascii="Arial" w:cs="Arial" w:eastAsia="Arial" w:hAnsi="Arial"/>
          <w:sz w:val="18"/>
          <w:szCs w:val="18"/>
          <w:color w:val="auto"/>
        </w:rPr>
        <w:t>” means any Award granted pursuant to Section 9 hereof.</w:t>
      </w:r>
    </w:p>
    <w:p>
      <w:pPr>
        <w:spacing w:after="0" w:line="225"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Share</w:t>
      </w:r>
      <w:r>
        <w:rPr>
          <w:rFonts w:ascii="Arial" w:cs="Arial" w:eastAsia="Arial" w:hAnsi="Arial"/>
          <w:sz w:val="18"/>
          <w:szCs w:val="18"/>
          <w:color w:val="auto"/>
        </w:rPr>
        <w:t>” means the grant of a right to receive a number of actual shares of Common Stock or share units based upon the performance of the Company during a Performance Period, as determined by the Committee.</w:t>
      </w:r>
    </w:p>
    <w:p>
      <w:pPr>
        <w:spacing w:after="0" w:line="162" w:lineRule="exact"/>
        <w:rPr>
          <w:sz w:val="20"/>
          <w:szCs w:val="20"/>
          <w:color w:val="auto"/>
        </w:rPr>
      </w:pPr>
    </w:p>
    <w:p>
      <w:pPr>
        <w:jc w:val="both"/>
        <w:ind w:firstLine="972"/>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Transferee</w:t>
      </w:r>
      <w:r>
        <w:rPr>
          <w:rFonts w:ascii="Arial" w:cs="Arial" w:eastAsia="Arial" w:hAnsi="Arial"/>
          <w:sz w:val="16"/>
          <w:szCs w:val="16"/>
          <w:color w:val="auto"/>
        </w:rPr>
        <w:t>” means: (a)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50% of the beneficial interest, a foundation in which these persons (or the Optionholder) control the management of assets, and any other entity in which these persons (or the Optionholder) own more than 50% of the voting interests; (b) third parties designated by the Committee in connection with a program established and approved by the Committee pursuant to which Participants may receive a cash payment or other consideration in consideration for the transfer of a Non-qualified Stock Option; and (c) such other transferees as may be permitted by the Committee in its sole discretion.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ind w:left="980"/>
        <w:spacing w:after="0"/>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 person as defined in Section 13(d)(3) of the Exchange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means this Agrify Corporation 2022 Omnibus Equity Incentive Plan, as amended and/or amended and restated from time to time.</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Rights</w:t>
      </w:r>
      <w:r>
        <w:rPr>
          <w:rFonts w:ascii="Arial" w:cs="Arial" w:eastAsia="Arial" w:hAnsi="Arial"/>
          <w:sz w:val="18"/>
          <w:szCs w:val="18"/>
          <w:color w:val="auto"/>
        </w:rPr>
        <w:t>” has the meaning set forth in Section 7.</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Award</w:t>
      </w:r>
      <w:r>
        <w:rPr>
          <w:rFonts w:ascii="Arial" w:cs="Arial" w:eastAsia="Arial" w:hAnsi="Arial"/>
          <w:sz w:val="18"/>
          <w:szCs w:val="18"/>
          <w:color w:val="auto"/>
        </w:rPr>
        <w:t>” means any Award granted pursuant to Section 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Period</w:t>
      </w:r>
      <w:r>
        <w:rPr>
          <w:rFonts w:ascii="Arial" w:cs="Arial" w:eastAsia="Arial" w:hAnsi="Arial"/>
          <w:sz w:val="18"/>
          <w:szCs w:val="18"/>
          <w:color w:val="auto"/>
        </w:rPr>
        <w:t>” has the meaning set forth in Section 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Appreciation Right</w:t>
      </w:r>
      <w:r>
        <w:rPr>
          <w:rFonts w:ascii="Arial" w:cs="Arial" w:eastAsia="Arial" w:hAnsi="Arial"/>
          <w:sz w:val="18"/>
          <w:szCs w:val="18"/>
          <w:color w:val="auto"/>
        </w:rPr>
        <w:t>” means the right pursuant to an Award granted under Section 7 to receive, upon exercise, an amount payable in cash or shares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for Stock Exchange</w:t>
      </w:r>
      <w:r>
        <w:rPr>
          <w:rFonts w:ascii="Arial" w:cs="Arial" w:eastAsia="Arial" w:hAnsi="Arial"/>
          <w:sz w:val="18"/>
          <w:szCs w:val="18"/>
          <w:color w:val="auto"/>
        </w:rPr>
        <w:t>” has the meaning set forth in Section 6.4.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“Substitute Award” </w:t>
      </w:r>
      <w:r>
        <w:rPr>
          <w:rFonts w:ascii="Arial" w:cs="Arial" w:eastAsia="Arial" w:hAnsi="Arial"/>
          <w:sz w:val="18"/>
          <w:szCs w:val="18"/>
          <w:color w:val="auto"/>
        </w:rPr>
        <w:t>has the meaning set forth in Section 4.5.</w:t>
      </w:r>
    </w:p>
    <w:p>
      <w:pPr>
        <w:spacing w:after="0" w:line="225"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 Percent Shareholder</w:t>
      </w:r>
      <w:r>
        <w:rPr>
          <w:rFonts w:ascii="Arial" w:cs="Arial" w:eastAsia="Arial" w:hAnsi="Arial"/>
          <w:sz w:val="18"/>
          <w:szCs w:val="18"/>
          <w:color w:val="auto"/>
        </w:rPr>
        <w:t>” means a person who owns (or is deemed to own pursuant to Section 424(d) of the Code) stock possessing more than 10% of the total combined voting power of all classes of stock of the Company or of any of its Affiliates.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“Total Share Reserve</w:t>
      </w:r>
      <w:r>
        <w:rPr>
          <w:rFonts w:ascii="Arial" w:cs="Arial" w:eastAsia="Arial" w:hAnsi="Arial"/>
          <w:sz w:val="18"/>
          <w:szCs w:val="18"/>
          <w:color w:val="auto"/>
        </w:rPr>
        <w:t>” has the meaning set forth in Section 4.1.</w:t>
      </w:r>
    </w:p>
    <w:p>
      <w:pPr>
        <w:spacing w:after="0" w:line="229"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184" w:lineRule="exact"/>
        <w:rPr>
          <w:sz w:val="20"/>
          <w:szCs w:val="20"/>
          <w:color w:val="auto"/>
        </w:rPr>
      </w:pPr>
    </w:p>
    <w:p>
      <w:pPr>
        <w:ind w:left="1220" w:hanging="240"/>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construe and interpret the Plan and apply its provisions;</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promulgate, amend, and rescind rules and regulations relating to the administration of the Plan;</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carry out the purposes of the Plan;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ind w:firstLine="980"/>
        <w:spacing w:after="0" w:line="277" w:lineRule="auto"/>
        <w:tabs>
          <w:tab w:leader="none" w:pos="12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delegate its authority to one or more Officers of the Company with respect to Awards that do not involve “insiders” within the meaning of Section 16 of the Exchange Act;</w:t>
      </w:r>
    </w:p>
    <w:p>
      <w:pPr>
        <w:spacing w:after="0" w:line="170" w:lineRule="exact"/>
        <w:rPr>
          <w:rFonts w:ascii="Arial" w:cs="Arial" w:eastAsia="Arial" w:hAnsi="Arial"/>
          <w:sz w:val="18"/>
          <w:szCs w:val="18"/>
          <w:color w:val="auto"/>
        </w:rPr>
      </w:pPr>
    </w:p>
    <w:p>
      <w:pPr>
        <w:ind w:left="1220" w:hanging="240"/>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determine when Awards are to be granted under the Plan and the applicable Grant Date;</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from time to time to select, subject to the limitations set forth in this Plan, those eligible Award recipients to whom Awards shall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granted;</w:t>
      </w:r>
    </w:p>
    <w:p>
      <w:pPr>
        <w:spacing w:after="0" w:line="210" w:lineRule="exact"/>
        <w:rPr>
          <w:rFonts w:ascii="Arial" w:cs="Arial" w:eastAsia="Arial" w:hAnsi="Arial"/>
          <w:sz w:val="17"/>
          <w:szCs w:val="17"/>
          <w:color w:val="auto"/>
        </w:rPr>
      </w:pPr>
    </w:p>
    <w:p>
      <w:pPr>
        <w:ind w:left="1240" w:hanging="260"/>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made subject to each Award;</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determine whether each Option is to be an Incentive Stock Option or a Non-qualified Stock Option;</w:t>
      </w:r>
    </w:p>
    <w:p>
      <w:pPr>
        <w:spacing w:after="0" w:line="225" w:lineRule="exact"/>
        <w:rPr>
          <w:rFonts w:ascii="Arial" w:cs="Arial" w:eastAsia="Arial" w:hAnsi="Arial"/>
          <w:sz w:val="18"/>
          <w:szCs w:val="18"/>
          <w:color w:val="auto"/>
        </w:rPr>
      </w:pPr>
    </w:p>
    <w:p>
      <w:pPr>
        <w:ind w:right="20" w:firstLine="980"/>
        <w:spacing w:after="0" w:line="277" w:lineRule="auto"/>
        <w:tabs>
          <w:tab w:leader="none" w:pos="11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170" w:lineRule="exact"/>
        <w:rPr>
          <w:rFonts w:ascii="Arial" w:cs="Arial" w:eastAsia="Arial" w:hAnsi="Arial"/>
          <w:sz w:val="18"/>
          <w:szCs w:val="18"/>
          <w:color w:val="auto"/>
        </w:rPr>
      </w:pPr>
    </w:p>
    <w:p>
      <w:pPr>
        <w:ind w:firstLine="980"/>
        <w:spacing w:after="0" w:line="342" w:lineRule="auto"/>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determine the target number of Performance Shares to be granted pursuant to a Performance Share Award, the performance measures that will be used to establish the Performance Goals, the Performance Period(s) and the number of Performance Shares earned by a Participant;</w:t>
      </w:r>
    </w:p>
    <w:p>
      <w:pPr>
        <w:spacing w:after="0" w:line="123" w:lineRule="exact"/>
        <w:rPr>
          <w:rFonts w:ascii="Arial" w:cs="Arial" w:eastAsia="Arial" w:hAnsi="Arial"/>
          <w:sz w:val="16"/>
          <w:szCs w:val="16"/>
          <w:color w:val="auto"/>
        </w:rPr>
      </w:pPr>
    </w:p>
    <w:p>
      <w:pPr>
        <w:jc w:val="both"/>
        <w:ind w:firstLine="980"/>
        <w:spacing w:after="0" w:line="311" w:lineRule="auto"/>
        <w:tabs>
          <w:tab w:leader="none" w:pos="1237"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to amend any outstanding Awards, including for the purpose of modifying the time or manner of vesting, or the term of any outstanding Award;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148" w:lineRule="exact"/>
        <w:rPr>
          <w:rFonts w:ascii="Arial" w:cs="Arial" w:eastAsia="Arial" w:hAnsi="Arial"/>
          <w:sz w:val="16"/>
          <w:szCs w:val="16"/>
          <w:color w:val="auto"/>
        </w:rPr>
      </w:pPr>
    </w:p>
    <w:p>
      <w:pPr>
        <w:jc w:val="both"/>
        <w:ind w:firstLine="980"/>
        <w:spacing w:after="0" w:line="263" w:lineRule="auto"/>
        <w:tabs>
          <w:tab w:leader="none" w:pos="11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183" w:lineRule="exact"/>
        <w:rPr>
          <w:rFonts w:ascii="Arial" w:cs="Arial" w:eastAsia="Arial" w:hAnsi="Arial"/>
          <w:sz w:val="18"/>
          <w:szCs w:val="18"/>
          <w:color w:val="auto"/>
        </w:rPr>
      </w:pPr>
    </w:p>
    <w:p>
      <w:pPr>
        <w:ind w:right="20" w:firstLine="980"/>
        <w:spacing w:after="0" w:line="277" w:lineRule="auto"/>
        <w:tabs>
          <w:tab w:leader="none" w:pos="12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make decisions with respect to outstanding Awards that may become necessary upon a change in corporate control or an event that triggers anti-dilution adjustments;</w:t>
      </w:r>
    </w:p>
    <w:p>
      <w:pPr>
        <w:spacing w:after="0" w:line="170" w:lineRule="exact"/>
        <w:rPr>
          <w:rFonts w:ascii="Arial" w:cs="Arial" w:eastAsia="Arial" w:hAnsi="Arial"/>
          <w:sz w:val="18"/>
          <w:szCs w:val="18"/>
          <w:color w:val="auto"/>
        </w:rPr>
      </w:pPr>
    </w:p>
    <w:p>
      <w:pPr>
        <w:ind w:firstLine="980"/>
        <w:spacing w:after="0" w:line="277" w:lineRule="auto"/>
        <w:tabs>
          <w:tab w:leader="none" w:pos="12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interpret, administer, reconcile any inconsistency in, correct any defect in and/or supply any omission in the Plan and any instrument or agreement relating to, or Award granted under, the Plan;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exercise discretion to make any and all other determinations which it determines to be necessary or advisable for the administration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211"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16"/>
          <w:szCs w:val="16"/>
          <w:color w:val="auto"/>
        </w:rPr>
        <w:t>Except to the extent (i) approved in advance by holders of a majority of the shares of the Company entitled to vote generally in the election of directors, or (ii) as a result of any Change of Control or any adjustment as provided in Article 14 or Article 15, the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Committee Decisions Final</w:t>
      </w:r>
      <w:r>
        <w:rPr>
          <w:rFonts w:ascii="Arial" w:cs="Arial" w:eastAsia="Arial" w:hAnsi="Arial"/>
          <w:sz w:val="18"/>
          <w:szCs w:val="18"/>
          <w:color w:val="auto"/>
        </w:rPr>
        <w:t>. All decisions made by the Committee pursuant to the provisions of the Plan shall be final and binding on the Company and the Participants, unless such decisions are determined by a court having jurisdiction to be arbitrary and capricious.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ind w:firstLine="324"/>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Delegation</w:t>
      </w:r>
      <w:r>
        <w:rPr>
          <w:rFonts w:ascii="Arial" w:cs="Arial" w:eastAsia="Arial" w:hAnsi="Arial"/>
          <w:sz w:val="17"/>
          <w:szCs w:val="17"/>
          <w:color w:val="auto"/>
        </w:rPr>
        <w:t>. The Committee or, if no Committee has been appointed, the Board may delegate administration of the Plan to a committee or committees of one or more members of the Board, and the term “</w:t>
      </w:r>
      <w:r>
        <w:rPr>
          <w:rFonts w:ascii="Arial" w:cs="Arial" w:eastAsia="Arial" w:hAnsi="Arial"/>
          <w:sz w:val="17"/>
          <w:szCs w:val="17"/>
          <w:b w:val="1"/>
          <w:bCs w:val="1"/>
          <w:color w:val="auto"/>
        </w:rPr>
        <w:t>Committee</w:t>
      </w:r>
      <w:r>
        <w:rPr>
          <w:rFonts w:ascii="Arial" w:cs="Arial" w:eastAsia="Arial" w:hAnsi="Arial"/>
          <w:sz w:val="17"/>
          <w:szCs w:val="17"/>
          <w:color w:val="auto"/>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Committee Composition</w:t>
      </w:r>
      <w:r>
        <w:rPr>
          <w:rFonts w:ascii="Arial" w:cs="Arial" w:eastAsia="Arial" w:hAnsi="Arial"/>
          <w:sz w:val="18"/>
          <w:szCs w:val="18"/>
          <w:color w:val="auto"/>
        </w:rPr>
        <w:t>.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 committee of one or more members of the Board who are not Non-Employee Directors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19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Indemnification</w:t>
      </w:r>
      <w:r>
        <w:rPr>
          <w:rFonts w:ascii="Arial" w:cs="Arial" w:eastAsia="Arial" w:hAnsi="Arial"/>
          <w:sz w:val="17"/>
          <w:szCs w:val="17"/>
          <w:color w:val="auto"/>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within 60 days after the institution of any such action, suit or proceeding, such Committee shall, in writing, offer the Company the</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at its own expense to handle and defend such action, suit or proceeding.</w:t>
      </w:r>
    </w:p>
    <w:p>
      <w:pPr>
        <w:spacing w:after="0" w:line="18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4.1 Subject to adjustment in accordance with Section 14, an amount of shares of Common Stock equal to (i) two million (2,000,000)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number of shares of Common Stock underlying any award granted under the Agrify Corporation 2020 Omnibus Equity Incentive Plan (the “</w:t>
      </w:r>
      <w:r>
        <w:rPr>
          <w:rFonts w:ascii="Arial" w:cs="Arial" w:eastAsia="Arial" w:hAnsi="Arial"/>
          <w:sz w:val="18"/>
          <w:szCs w:val="18"/>
          <w:b w:val="1"/>
          <w:bCs w:val="1"/>
          <w:color w:val="auto"/>
        </w:rPr>
        <w:t>Prior Plan</w:t>
      </w:r>
      <w:r>
        <w:rPr>
          <w:rFonts w:ascii="Arial" w:cs="Arial" w:eastAsia="Arial" w:hAnsi="Arial"/>
          <w:sz w:val="18"/>
          <w:szCs w:val="18"/>
          <w:color w:val="auto"/>
        </w:rPr>
        <w:t xml:space="preserve">”) that expires, terminates or is canceled or forfeited under the terms of the Prior Plan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the number of shares of Common Stock underlying any award granted under the Prior Plan between January 1, 2022 and the date of the Company’s 2022 Annual Meeting of Stockholders shall be available for the grant of Awards under the Plan (the “</w:t>
      </w:r>
      <w:r>
        <w:rPr>
          <w:rFonts w:ascii="Arial" w:cs="Arial" w:eastAsia="Arial" w:hAnsi="Arial"/>
          <w:sz w:val="18"/>
          <w:szCs w:val="18"/>
          <w:b w:val="1"/>
          <w:bCs w:val="1"/>
          <w:color w:val="auto"/>
        </w:rPr>
        <w:t>Total Share Reserve</w:t>
      </w:r>
      <w:r>
        <w:rPr>
          <w:rFonts w:ascii="Arial" w:cs="Arial" w:eastAsia="Arial" w:hAnsi="Arial"/>
          <w:sz w:val="18"/>
          <w:szCs w:val="18"/>
          <w:color w:val="auto"/>
        </w:rPr>
        <w:t>”). During the terms of the Awards, the Company shall keep available at all times the number of shares of Common Stock required to satisfy such Awards.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ind w:firstLine="324"/>
        <w:spacing w:after="0" w:line="277" w:lineRule="auto"/>
        <w:rPr>
          <w:sz w:val="20"/>
          <w:szCs w:val="20"/>
          <w:color w:val="auto"/>
        </w:rPr>
      </w:pPr>
      <w:r>
        <w:rPr>
          <w:rFonts w:ascii="Arial" w:cs="Arial" w:eastAsia="Arial" w:hAnsi="Arial"/>
          <w:sz w:val="18"/>
          <w:szCs w:val="18"/>
          <w:color w:val="auto"/>
        </w:rPr>
        <w:t>4.2 Shares of Common Stock available for distribution under the Plan may consist, in whole or in part, of authorized and unissued shares, treasury shares or shares reacquired by the Company in any manner.</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4.3 Subject to adjustment in accordance with Section 14, the maximum number of shares of Common Stock that may be issued in the aggregate pursuant to the exercise of Incentive Stock Options shall be equal to the Total Share Reserve (the </w:t>
      </w:r>
      <w:r>
        <w:rPr>
          <w:rFonts w:ascii="Arial" w:cs="Arial" w:eastAsia="Arial" w:hAnsi="Arial"/>
          <w:sz w:val="18"/>
          <w:szCs w:val="18"/>
          <w:b w:val="1"/>
          <w:bCs w:val="1"/>
          <w:color w:val="auto"/>
        </w:rPr>
        <w:t>“ISO Limit”</w:t>
      </w:r>
      <w:r>
        <w:rPr>
          <w:rFonts w:ascii="Arial" w:cs="Arial" w:eastAsia="Arial" w:hAnsi="Arial"/>
          <w:sz w:val="18"/>
          <w:szCs w:val="18"/>
          <w:color w:val="auto"/>
        </w:rPr>
        <w:t>).</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4.4 Any shares of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(other than with respect to Restricted Awards and Performance Share Awards, in which case such shares will again be available for issuance under the Plan), or (c) shares covered by a stock-settled Stock Appreciation Right or other Awards that were not issued upon the settlement of the Award.</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4.5 Awards may, in the sole discretion of the Committee, be granted under the Plan in assumption of, or in substitution for, outstanding awards previously granted by an entity acquired by the Company or with which the Company combines (“</w:t>
      </w:r>
      <w:r>
        <w:rPr>
          <w:rFonts w:ascii="Arial" w:cs="Arial" w:eastAsia="Arial" w:hAnsi="Arial"/>
          <w:sz w:val="16"/>
          <w:szCs w:val="16"/>
          <w:b w:val="1"/>
          <w:bCs w:val="1"/>
          <w:color w:val="auto"/>
        </w:rPr>
        <w:t>Substitute Awards</w:t>
      </w:r>
      <w:r>
        <w:rPr>
          <w:rFonts w:ascii="Arial" w:cs="Arial" w:eastAsia="Arial" w:hAnsi="Arial"/>
          <w:sz w:val="16"/>
          <w:szCs w:val="16"/>
          <w:color w:val="auto"/>
        </w:rPr>
        <w:t xml:space="preserve">”). Substitute Awards shall not be counted against the Total Share Reserve; </w:t>
      </w:r>
      <w:r>
        <w:rPr>
          <w:rFonts w:ascii="Arial" w:cs="Arial" w:eastAsia="Arial" w:hAnsi="Arial"/>
          <w:sz w:val="16"/>
          <w:szCs w:val="16"/>
          <w:i w:val="1"/>
          <w:iCs w:val="1"/>
          <w:color w:val="auto"/>
        </w:rPr>
        <w:t>provided, that</w:t>
      </w:r>
      <w:r>
        <w:rPr>
          <w:rFonts w:ascii="Arial" w:cs="Arial" w:eastAsia="Arial" w:hAnsi="Arial"/>
          <w:sz w:val="16"/>
          <w:szCs w:val="16"/>
          <w:color w:val="auto"/>
        </w:rPr>
        <w:t>, Substitute Awards issued in connection with the assumption of, or in substitution for, outstanding options intended to qualify as Incentive Stock Options shall be counted against the ISO limit. Subject to applicable stock exchange requirements, available shares under a shareholder-approved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spacing w:after="0" w:line="164"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 for Specific Awards</w:t>
      </w:r>
      <w:r>
        <w:rPr>
          <w:rFonts w:ascii="Arial" w:cs="Arial" w:eastAsia="Arial" w:hAnsi="Arial"/>
          <w:sz w:val="18"/>
          <w:szCs w:val="18"/>
          <w:color w:val="auto"/>
        </w:rPr>
        <w:t>.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Ten Percent Shareholders</w:t>
      </w:r>
      <w:r>
        <w:rPr>
          <w:rFonts w:ascii="Arial" w:cs="Arial" w:eastAsia="Arial" w:hAnsi="Arial"/>
          <w:sz w:val="18"/>
          <w:szCs w:val="18"/>
          <w:color w:val="auto"/>
        </w:rPr>
        <w:t>. A Ten Percent Shareholder shall not be granted an Incentive Stock Option unless the Option Exercise Price is at least 110% of the Fair Market Value of the Common Stock on the Grant Date and the Option is not exercisable after the expiration of five years from the Grant Date.</w:t>
      </w:r>
    </w:p>
    <w:p>
      <w:pPr>
        <w:spacing w:after="0" w:line="184" w:lineRule="exact"/>
        <w:rPr>
          <w:sz w:val="20"/>
          <w:szCs w:val="20"/>
          <w:color w:val="auto"/>
        </w:rPr>
      </w:pPr>
    </w:p>
    <w:p>
      <w:pPr>
        <w:jc w:val="both"/>
        <w:ind w:firstLine="8"/>
        <w:spacing w:after="0" w:line="290" w:lineRule="auto"/>
        <w:tabs>
          <w:tab w:leader="none" w:pos="19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Option Provisions</w:t>
      </w:r>
      <w:r>
        <w:rPr>
          <w:rFonts w:ascii="Arial" w:cs="Arial" w:eastAsia="Arial" w:hAnsi="Arial"/>
          <w:sz w:val="16"/>
          <w:szCs w:val="16"/>
          <w:color w:val="auto"/>
        </w:rPr>
        <w:t>. Each Option granted under the Plan shall be evidenced by an Award Agreement. Each Option so granted shall be subject to the conditions set forth in this Section 6,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shares of Common 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16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Section 5.2 regarding Ten Percent Shareholders, no Incentive Stock Option shall be exercisable after the expiration of 10 years from the Grant Date. The term of a Non-qualified Stock Option granted under the Plan shall be determined by the Committee; </w:t>
      </w:r>
      <w:r>
        <w:rPr>
          <w:rFonts w:ascii="Arial" w:cs="Arial" w:eastAsia="Arial" w:hAnsi="Arial"/>
          <w:sz w:val="18"/>
          <w:szCs w:val="18"/>
          <w:i w:val="1"/>
          <w:iCs w:val="1"/>
          <w:color w:val="auto"/>
        </w:rPr>
        <w:t>provided, however</w:t>
      </w:r>
      <w:r>
        <w:rPr>
          <w:rFonts w:ascii="Arial" w:cs="Arial" w:eastAsia="Arial" w:hAnsi="Arial"/>
          <w:sz w:val="18"/>
          <w:szCs w:val="18"/>
          <w:color w:val="auto"/>
        </w:rPr>
        <w:t>, no Non-qualified Stock Option shall be exercisable after the expiration of 10 years from the Grant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ind w:firstLine="324"/>
        <w:spacing w:after="0" w:line="30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Exercise Price of an Incentive Stock Option</w:t>
      </w:r>
      <w:r>
        <w:rPr>
          <w:rFonts w:ascii="Arial" w:cs="Arial" w:eastAsia="Arial" w:hAnsi="Arial"/>
          <w:sz w:val="16"/>
          <w:szCs w:val="16"/>
          <w:color w:val="auto"/>
        </w:rPr>
        <w:t>. Subject to the provisions of Section 5.2 regarding Ten Percent Shareholders,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Exercise Price of a Non-qualified Stock Option</w:t>
      </w:r>
      <w:r>
        <w:rPr>
          <w:rFonts w:ascii="Arial" w:cs="Arial" w:eastAsia="Arial" w:hAnsi="Arial"/>
          <w:sz w:val="18"/>
          <w:szCs w:val="18"/>
          <w:color w:val="auto"/>
        </w:rPr>
        <w:t>.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18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Consideration</w:t>
      </w:r>
      <w:r>
        <w:rPr>
          <w:rFonts w:ascii="Arial" w:cs="Arial" w:eastAsia="Arial" w:hAnsi="Arial"/>
          <w:sz w:val="17"/>
          <w:szCs w:val="17"/>
          <w:color w:val="auto"/>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Arial" w:cs="Arial" w:eastAsia="Arial" w:hAnsi="Arial"/>
          <w:sz w:val="17"/>
          <w:szCs w:val="17"/>
          <w:b w:val="1"/>
          <w:bCs w:val="1"/>
          <w:color w:val="auto"/>
        </w:rPr>
        <w:t>Stock for Stock</w:t>
      </w:r>
      <w:r>
        <w:rPr>
          <w:rFonts w:ascii="Arial" w:cs="Arial" w:eastAsia="Arial" w:hAnsi="Arial"/>
          <w:sz w:val="17"/>
          <w:szCs w:val="17"/>
          <w:color w:val="auto"/>
        </w:rPr>
        <w:t xml:space="preserve"> </w:t>
      </w:r>
      <w:r>
        <w:rPr>
          <w:rFonts w:ascii="Arial" w:cs="Arial" w:eastAsia="Arial" w:hAnsi="Arial"/>
          <w:sz w:val="17"/>
          <w:szCs w:val="17"/>
          <w:b w:val="1"/>
          <w:bCs w:val="1"/>
          <w:color w:val="auto"/>
        </w:rPr>
        <w:t>Exchange</w:t>
      </w:r>
      <w:r>
        <w:rPr>
          <w:rFonts w:ascii="Arial" w:cs="Arial" w:eastAsia="Arial" w:hAnsi="Arial"/>
          <w:sz w:val="17"/>
          <w:szCs w:val="17"/>
          <w:color w:val="auto"/>
        </w:rPr>
        <w:t>”); (ii) a “cashless” exercise program established with a broker; (iii) by reduction in the number of shares of Common Stock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deliverable upon exercise of such Option with a Fair Market Value equal to the aggregate Option Exercise Price at the time of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Common Stock acquired, directly or indirectly from the Company, shall be paid only by shares of the Common Stock of the Company that have been held for more than six months (or such longer or shorter period of time required to avoid a charge to earnings for financial accounting purposes). Notwithstanding the foregoing, during any period for which the Common Stock is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w:t>
      </w:r>
    </w:p>
    <w:p>
      <w:pPr>
        <w:spacing w:after="0" w:line="1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Transferability of an Incentive Stock Option</w:t>
      </w:r>
      <w:r>
        <w:rPr>
          <w:rFonts w:ascii="Arial" w:cs="Arial" w:eastAsia="Arial" w:hAnsi="Arial"/>
          <w:sz w:val="18"/>
          <w:szCs w:val="18"/>
          <w:color w:val="auto"/>
        </w:rPr>
        <w:t>.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ind w:firstLine="324"/>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Transferability of a Non-qualified Stock Option</w:t>
      </w:r>
      <w:r>
        <w:rPr>
          <w:rFonts w:ascii="Arial" w:cs="Arial" w:eastAsia="Arial" w:hAnsi="Arial"/>
          <w:sz w:val="18"/>
          <w:szCs w:val="18"/>
          <w:color w:val="auto"/>
        </w:rPr>
        <w:t>. A Non-qualified Stock Option may, in the sole discretion of the Committee, be transferable to a Permitted Transferee,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Vesting of Options</w:t>
      </w:r>
      <w:r>
        <w:rPr>
          <w:rFonts w:ascii="Arial" w:cs="Arial" w:eastAsia="Arial" w:hAnsi="Arial"/>
          <w:sz w:val="18"/>
          <w:szCs w:val="18"/>
          <w:color w:val="auto"/>
        </w:rPr>
        <w:t>. Subject to Section 13.6, each Option shall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 of Common Stock.</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Termination of Continuous Service</w:t>
      </w:r>
      <w:r>
        <w:rPr>
          <w:rFonts w:ascii="Arial" w:cs="Arial" w:eastAsia="Arial" w:hAnsi="Arial"/>
          <w:sz w:val="18"/>
          <w:szCs w:val="18"/>
          <w:color w:val="auto"/>
        </w:rPr>
        <w:t>. In the event an Optionholder’s Continuous Service terminates, the Optionholder may exercise his or her Option (to the extent that the Optionholder was entitled to exercise such Option as of the date of termination) in accordance with, and during the period set forth in, the terms of the applicable Award Agreement. If, after termination, the Optionholder does not exercise his or her Option within the time specified in the Award Agreement, the Option shall terminate.</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Extension of Termination Date</w:t>
      </w:r>
      <w:r>
        <w:rPr>
          <w:rFonts w:ascii="Arial" w:cs="Arial" w:eastAsia="Arial" w:hAnsi="Arial"/>
          <w:sz w:val="17"/>
          <w:szCs w:val="17"/>
          <w:color w:val="auto"/>
        </w:rPr>
        <w:t>. An Optionholder’s Award Agreement may also provide that if the exercise of the Option following the termination of the Optionholder’s Continuous Service for any reason would be prohibited at any time because the issuance of shares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Incentive Stock Option $100,000 Limitation</w:t>
      </w:r>
      <w:r>
        <w:rPr>
          <w:rFonts w:ascii="Arial" w:cs="Arial" w:eastAsia="Arial" w:hAnsi="Arial"/>
          <w:sz w:val="18"/>
          <w:szCs w:val="18"/>
          <w:color w:val="auto"/>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187" w:lineRule="exact"/>
        <w:rPr>
          <w:sz w:val="20"/>
          <w:szCs w:val="20"/>
          <w:color w:val="auto"/>
        </w:rPr>
      </w:pPr>
    </w:p>
    <w:p>
      <w:pPr>
        <w:jc w:val="both"/>
        <w:ind w:firstLine="8"/>
        <w:spacing w:after="0" w:line="259"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Each Stock Appreciation Right granted under the Plan shall be evidenced by an Award Agreement. Each Stock Appreciation Right so granted shall be subject to the conditions set forth in this Section 7, and to such other conditions not inconsistent with the Plan as may be reflected in the applicable Award Agreement. Stock Appreciation Rights may be granted alone (“</w:t>
      </w:r>
      <w:r>
        <w:rPr>
          <w:rFonts w:ascii="Arial" w:cs="Arial" w:eastAsia="Arial" w:hAnsi="Arial"/>
          <w:sz w:val="18"/>
          <w:szCs w:val="18"/>
          <w:b w:val="1"/>
          <w:bCs w:val="1"/>
          <w:color w:val="auto"/>
        </w:rPr>
        <w:t>Free Standing Rights</w:t>
      </w:r>
      <w:r>
        <w:rPr>
          <w:rFonts w:ascii="Arial" w:cs="Arial" w:eastAsia="Arial" w:hAnsi="Arial"/>
          <w:sz w:val="18"/>
          <w:szCs w:val="18"/>
          <w:color w:val="auto"/>
        </w:rPr>
        <w:t>”) or in tandem with an Option granted under the Plan (“</w:t>
      </w:r>
      <w:r>
        <w:rPr>
          <w:rFonts w:ascii="Arial" w:cs="Arial" w:eastAsia="Arial" w:hAnsi="Arial"/>
          <w:sz w:val="18"/>
          <w:szCs w:val="18"/>
          <w:b w:val="1"/>
          <w:bCs w:val="1"/>
          <w:color w:val="auto"/>
        </w:rPr>
        <w:t>Related Rights</w:t>
      </w:r>
      <w:r>
        <w:rPr>
          <w:rFonts w:ascii="Arial" w:cs="Arial" w:eastAsia="Arial" w:hAnsi="Arial"/>
          <w:sz w:val="18"/>
          <w:szCs w:val="18"/>
          <w:color w:val="auto"/>
        </w:rPr>
        <w:t>”).</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Grant Requirements for Related Rights</w:t>
      </w:r>
      <w:r>
        <w:rPr>
          <w:rFonts w:ascii="Arial" w:cs="Arial" w:eastAsia="Arial" w:hAnsi="Arial"/>
          <w:sz w:val="18"/>
          <w:szCs w:val="18"/>
          <w:color w:val="auto"/>
        </w:rPr>
        <w:t>. Any Related Right that relates to a Non-qualified Stock Option may be granted at the same time the Option is granted or at any time thereafter but before the exercise or expiration of the Option. Any Related Right that relates to an Incentive Stock Option must be granted at the same time the Incentive Stock Option is granted.</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a Stock Appreciation Right granted under the Plan shall be determined by the Committee; </w:t>
      </w:r>
      <w:r>
        <w:rPr>
          <w:rFonts w:ascii="Arial" w:cs="Arial" w:eastAsia="Arial" w:hAnsi="Arial"/>
          <w:sz w:val="18"/>
          <w:szCs w:val="18"/>
          <w:i w:val="1"/>
          <w:iCs w:val="1"/>
          <w:color w:val="auto"/>
        </w:rPr>
        <w:t>provided, however</w:t>
      </w:r>
      <w:r>
        <w:rPr>
          <w:rFonts w:ascii="Arial" w:cs="Arial" w:eastAsia="Arial" w:hAnsi="Arial"/>
          <w:sz w:val="18"/>
          <w:szCs w:val="18"/>
          <w:color w:val="auto"/>
        </w:rPr>
        <w:t>, no Stock Appreciation Right shall be exercisable later than the tenth anniversary of the Grant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Vesting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Section 13.6, each Stock Appreciation Right shall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 of Common Stock.</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xml:space="preserve">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or related Option. Payment with respect to the exercise of a Stock Appreciation Right shall be made on the date of exercise. Payment shall be made in the form of shares of Common Stock (with or without restrictions as to substantial risk of forfeiture and transferability, as determined by the Committee in its sole discretion), cash or a combination thereof, as determined by the Committee.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both"/>
        <w:ind w:firstLine="324"/>
        <w:spacing w:after="0" w:line="272"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The exercise price of a Free Standing Right shall be determined by the Committee, but shall not be less than 100% of the Fair Market Value of one share of Common Stock on the Grant Date of such Stock Appreciation Right. A Related Right granted simultaneously with or subsequent to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a Stock Appreciation Right, by its terms, shall be exercisable only when the Fair Market Value per share of Common Stock subject to the Stock Appreciation Right and related Option exceeds the exercise price per share thereof and no Stock Appreciation Rights may be granted in tandem with an Option unless the Committee determines that the requirements of Section 7.1 are satisfied.</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Reduction in the Underlying Option Shares</w:t>
      </w:r>
      <w:r>
        <w:rPr>
          <w:rFonts w:ascii="Arial" w:cs="Arial" w:eastAsia="Arial" w:hAnsi="Arial"/>
          <w:sz w:val="18"/>
          <w:szCs w:val="18"/>
          <w:color w:val="auto"/>
        </w:rPr>
        <w:t xml:space="preserve"> Upon any exercise of a Related Right, the number of shares of Common Stock for which any related Option shall be exercisable shall be reduced by the number of shares for which the Stock Appreciation Right has been exercised. The number of shares of Common Stock for which a Related Right shall be exercisable shall be reduced upon any exercise of any related Option by the number of shares of Common Stock for which such Option has been exercised.</w:t>
      </w:r>
    </w:p>
    <w:p>
      <w:pPr>
        <w:spacing w:after="0" w:line="183" w:lineRule="exact"/>
        <w:rPr>
          <w:sz w:val="20"/>
          <w:szCs w:val="20"/>
          <w:color w:val="auto"/>
        </w:rPr>
      </w:pPr>
    </w:p>
    <w:p>
      <w:pPr>
        <w:jc w:val="both"/>
        <w:ind w:firstLine="8"/>
        <w:spacing w:after="0" w:line="294" w:lineRule="auto"/>
        <w:tabs>
          <w:tab w:leader="none" w:pos="20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Restricted Awards</w:t>
      </w:r>
      <w:r>
        <w:rPr>
          <w:rFonts w:ascii="Arial" w:cs="Arial" w:eastAsia="Arial" w:hAnsi="Arial"/>
          <w:sz w:val="16"/>
          <w:szCs w:val="16"/>
          <w:color w:val="auto"/>
        </w:rPr>
        <w:t xml:space="preserve"> A Restricted Award is an Award of actual shares of Common Stock (“</w:t>
      </w:r>
      <w:r>
        <w:rPr>
          <w:rFonts w:ascii="Arial" w:cs="Arial" w:eastAsia="Arial" w:hAnsi="Arial"/>
          <w:sz w:val="16"/>
          <w:szCs w:val="16"/>
          <w:b w:val="1"/>
          <w:bCs w:val="1"/>
          <w:color w:val="auto"/>
        </w:rPr>
        <w:t>Restricted Stock</w:t>
      </w:r>
      <w:r>
        <w:rPr>
          <w:rFonts w:ascii="Arial" w:cs="Arial" w:eastAsia="Arial" w:hAnsi="Arial"/>
          <w:sz w:val="16"/>
          <w:szCs w:val="16"/>
          <w:color w:val="auto"/>
        </w:rPr>
        <w:t>”) or hypothetical Common Stock units (“</w:t>
      </w:r>
      <w:r>
        <w:rPr>
          <w:rFonts w:ascii="Arial" w:cs="Arial" w:eastAsia="Arial" w:hAnsi="Arial"/>
          <w:sz w:val="16"/>
          <w:szCs w:val="16"/>
          <w:b w:val="1"/>
          <w:bCs w:val="1"/>
          <w:color w:val="auto"/>
        </w:rPr>
        <w:t>Restricted Stock Units</w:t>
      </w:r>
      <w:r>
        <w:rPr>
          <w:rFonts w:ascii="Arial" w:cs="Arial" w:eastAsia="Arial" w:hAnsi="Arial"/>
          <w:sz w:val="16"/>
          <w:szCs w:val="16"/>
          <w:color w:val="auto"/>
        </w:rPr>
        <w:t>”) having a value equal to the Fair 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Arial" w:cs="Arial" w:eastAsia="Arial" w:hAnsi="Arial"/>
          <w:sz w:val="16"/>
          <w:szCs w:val="16"/>
          <w:b w:val="1"/>
          <w:bCs w:val="1"/>
          <w:color w:val="auto"/>
        </w:rPr>
        <w:t>Restricted Period</w:t>
      </w:r>
      <w:r>
        <w:rPr>
          <w:rFonts w:ascii="Arial" w:cs="Arial" w:eastAsia="Arial" w:hAnsi="Arial"/>
          <w:sz w:val="16"/>
          <w:szCs w:val="16"/>
          <w:color w:val="auto"/>
        </w:rPr>
        <w:t>”) as the Committee shall determine. Each Restricted Award granted under the Plan shall be evidenced by an Award Agreement. Each Restricted Award so granted shall be subject to the conditions set forth in this Section 8, and to such other conditions not inconsistent with the Plan as may be reflected in the applicable Award Agreement.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Restricted Stock and Restricted Stock Units</w:t>
      </w:r>
    </w:p>
    <w:p>
      <w:pPr>
        <w:spacing w:after="0" w:line="225" w:lineRule="exact"/>
        <w:rPr>
          <w:sz w:val="20"/>
          <w:szCs w:val="20"/>
          <w:color w:val="auto"/>
        </w:rPr>
      </w:pPr>
    </w:p>
    <w:p>
      <w:pPr>
        <w:jc w:val="both"/>
        <w:ind w:firstLine="656"/>
        <w:spacing w:after="0" w:line="290" w:lineRule="auto"/>
        <w:tabs>
          <w:tab w:leader="none" w:pos="899"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shareholder as to such Restricted Stock, including the right to vote such Restricted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Participant shall not have the right to receive dividends on any unvested shares of Restricted Stock.</w:t>
      </w:r>
    </w:p>
    <w:p>
      <w:pPr>
        <w:spacing w:after="0" w:line="165" w:lineRule="exact"/>
        <w:rPr>
          <w:rFonts w:ascii="Arial" w:cs="Arial" w:eastAsia="Arial" w:hAnsi="Arial"/>
          <w:sz w:val="16"/>
          <w:szCs w:val="16"/>
          <w:color w:val="auto"/>
        </w:rPr>
      </w:pPr>
    </w:p>
    <w:p>
      <w:pPr>
        <w:jc w:val="both"/>
        <w:ind w:firstLine="656"/>
        <w:spacing w:after="0" w:line="257" w:lineRule="auto"/>
        <w:tabs>
          <w:tab w:leader="none" w:pos="9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conditions of a grant of Restricted Stock Units shall be reflected in an Award Agreement. No shares of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Arial" w:cs="Arial" w:eastAsia="Arial" w:hAnsi="Arial"/>
          <w:sz w:val="18"/>
          <w:szCs w:val="18"/>
          <w:b w:val="1"/>
          <w:bCs w:val="1"/>
          <w:color w:val="auto"/>
        </w:rPr>
        <w:t>Deferred Stock Units</w:t>
      </w:r>
      <w:r>
        <w:rPr>
          <w:rFonts w:ascii="Arial" w:cs="Arial" w:eastAsia="Arial" w:hAnsi="Arial"/>
          <w:sz w:val="18"/>
          <w:szCs w:val="18"/>
          <w:color w:val="auto"/>
        </w:rPr>
        <w: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Restrictions</w:t>
      </w:r>
    </w:p>
    <w:p>
      <w:pPr>
        <w:spacing w:after="0" w:line="225" w:lineRule="exact"/>
        <w:rPr>
          <w:sz w:val="20"/>
          <w:szCs w:val="20"/>
          <w:color w:val="auto"/>
        </w:rPr>
      </w:pPr>
    </w:p>
    <w:p>
      <w:pPr>
        <w:jc w:val="both"/>
        <w:ind w:firstLine="656"/>
        <w:spacing w:after="0" w:line="255" w:lineRule="auto"/>
        <w:tabs>
          <w:tab w:leader="none" w:pos="8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jc w:val="both"/>
        <w:ind w:firstLine="656"/>
        <w:spacing w:after="0" w:line="257" w:lineRule="auto"/>
        <w:tabs>
          <w:tab w:leader="none" w:pos="9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Restricted Stock Units and Deferred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shall have the authority to remove any or all of the restrictions on the Restricted Stock, Restricted Stock Units and Deferred Stock Units whenever it may determine that, by reason of changes in Applicable Laws or other changes in circumstances arising after the date the Restricted Stock or Restricted Stock Units or Deferred Stock Units are granted, such action is appropriate.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Restricted Period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Restricted Awards, the Restricted Period shall commence on the Grant Date and end at the time or times set forth on a schedule established by the Committee in the applicable Award Agreement. No Restricted Award may be granted or settled for a fraction of a share of Common Stock. The Committee may, but shall not be required to, provide for an acceleration of vesting in the terms of any Award Agreement upon the occurrence of a specified event.</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Delivery of Restricted Stock and Settlement of Restricted Stock Units</w:t>
      </w:r>
      <w:r>
        <w:rPr>
          <w:rFonts w:ascii="Arial" w:cs="Arial" w:eastAsia="Arial" w:hAnsi="Arial"/>
          <w:sz w:val="17"/>
          <w:szCs w:val="17"/>
          <w:color w:val="auto"/>
        </w:rPr>
        <w:t xml:space="preserve"> Upon the expiration of the Restricted Period with respect to any shares of Restricted Stock, the restrictions set forth in Section 8.2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Arial" w:cs="Arial" w:eastAsia="Arial" w:hAnsi="Arial"/>
          <w:sz w:val="17"/>
          <w:szCs w:val="17"/>
          <w:b w:val="1"/>
          <w:bCs w:val="1"/>
          <w:color w:val="auto"/>
        </w:rPr>
        <w:t>Vested Unit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explicitly provided in the applicable Award Agreement, the Committee may, in its sole discretion, elect to pay cash or part cash and part Common Stock in lieu of delivering only shares of Common Stock for Vested Units. If a cash payment is made in lieu of delivering shares of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Stock Restrictions</w:t>
      </w:r>
      <w:r>
        <w:rPr>
          <w:rFonts w:ascii="Arial" w:cs="Arial" w:eastAsia="Arial" w:hAnsi="Arial"/>
          <w:sz w:val="18"/>
          <w:szCs w:val="18"/>
          <w:color w:val="auto"/>
        </w:rPr>
        <w:t xml:space="preserve"> Each certificate representing Restricted Stock awarded under the Plan shall bear a legend in such form as the Company deems appropriate.</w:t>
      </w:r>
    </w:p>
    <w:p>
      <w:pPr>
        <w:spacing w:after="0" w:line="170" w:lineRule="exact"/>
        <w:rPr>
          <w:sz w:val="20"/>
          <w:szCs w:val="20"/>
          <w:color w:val="auto"/>
        </w:rPr>
      </w:pPr>
    </w:p>
    <w:p>
      <w:pPr>
        <w:jc w:val="both"/>
        <w:ind w:firstLine="8"/>
        <w:spacing w:after="0" w:line="296"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Performance Share Awards</w:t>
      </w:r>
      <w:r>
        <w:rPr>
          <w:rFonts w:ascii="Arial" w:cs="Arial" w:eastAsia="Arial" w:hAnsi="Arial"/>
          <w:sz w:val="16"/>
          <w:szCs w:val="16"/>
          <w:color w:val="auto"/>
        </w:rPr>
        <w:t xml:space="preserve"> Each Performance Share Award granted under the Plan shall be evidenced by an Award Agreement. Each Performance Share Award so granted shall be subject to the conditions set forth in this Section 9, and to such other conditions not inconsistent with the Plan as may be reflected in the applicable Award Agreement. The Committee shall have the discretion to 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firstLine="324"/>
        <w:spacing w:after="0" w:line="308"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Earning Performance Share Awards</w:t>
      </w:r>
      <w:r>
        <w:rPr>
          <w:rFonts w:ascii="Arial" w:cs="Arial" w:eastAsia="Arial" w:hAnsi="Arial"/>
          <w:sz w:val="17"/>
          <w:szCs w:val="17"/>
          <w:color w:val="auto"/>
        </w:rPr>
        <w:t xml:space="preserve"> The number of Performance Shares earned by a Participant will depend on the extent to which the performance goals established by the Committee are attained within the applicable Performance Period, as determined by the Committee.</w:t>
      </w:r>
    </w:p>
    <w:p>
      <w:pPr>
        <w:spacing w:after="0" w:line="146" w:lineRule="exact"/>
        <w:rPr>
          <w:sz w:val="20"/>
          <w:szCs w:val="20"/>
          <w:color w:val="auto"/>
        </w:rPr>
      </w:pPr>
    </w:p>
    <w:p>
      <w:pPr>
        <w:jc w:val="both"/>
        <w:ind w:firstLine="8"/>
        <w:spacing w:after="0" w:line="275" w:lineRule="auto"/>
        <w:tabs>
          <w:tab w:leader="none" w:pos="315"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Other Equity-Based Awards and Cash Awards</w:t>
      </w:r>
      <w:r>
        <w:rPr>
          <w:rFonts w:ascii="Arial" w:cs="Arial" w:eastAsia="Arial" w:hAnsi="Arial"/>
          <w:sz w:val="17"/>
          <w:szCs w:val="17"/>
          <w:color w:val="auto"/>
        </w:rPr>
        <w:t xml:space="preserve"> 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pacing w:after="0" w:line="176" w:lineRule="exact"/>
        <w:rPr>
          <w:rFonts w:ascii="Arial" w:cs="Arial" w:eastAsia="Arial" w:hAnsi="Arial"/>
          <w:sz w:val="17"/>
          <w:szCs w:val="17"/>
          <w:color w:val="auto"/>
        </w:rPr>
      </w:pPr>
    </w:p>
    <w:p>
      <w:pPr>
        <w:jc w:val="both"/>
        <w:ind w:firstLine="8"/>
        <w:spacing w:after="0" w:line="269" w:lineRule="auto"/>
        <w:tabs>
          <w:tab w:leader="none" w:pos="32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Securities Law Compliance</w:t>
      </w:r>
      <w:r>
        <w:rPr>
          <w:rFonts w:ascii="Arial" w:cs="Arial" w:eastAsia="Arial" w:hAnsi="Arial"/>
          <w:sz w:val="17"/>
          <w:szCs w:val="17"/>
          <w:color w:val="auto"/>
        </w:rPr>
        <w:t xml:space="preserve">. Each Award Agreement shall provide that no shares of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shares of Common Stock upon exercise of the Awards;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spacing w:after="0" w:line="185" w:lineRule="exact"/>
        <w:rPr>
          <w:rFonts w:ascii="Arial" w:cs="Arial" w:eastAsia="Arial" w:hAnsi="Arial"/>
          <w:sz w:val="17"/>
          <w:szCs w:val="17"/>
          <w:color w:val="auto"/>
        </w:rPr>
      </w:pPr>
    </w:p>
    <w:p>
      <w:pPr>
        <w:ind w:firstLine="8"/>
        <w:spacing w:after="0" w:line="277" w:lineRule="auto"/>
        <w:tabs>
          <w:tab w:leader="none" w:pos="31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Use of Proceeds from Stock</w:t>
      </w:r>
      <w:r>
        <w:rPr>
          <w:rFonts w:ascii="Arial" w:cs="Arial" w:eastAsia="Arial" w:hAnsi="Arial"/>
          <w:sz w:val="18"/>
          <w:szCs w:val="18"/>
          <w:color w:val="auto"/>
        </w:rPr>
        <w:t>. Proceeds from the sale of Common Stock pursuant to Awards, or upon exercise thereof, shall constitute general funds of the Company.</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Acceleration of Exercisability and Vesting</w:t>
      </w:r>
      <w:r>
        <w:rPr>
          <w:rFonts w:ascii="Arial" w:cs="Arial" w:eastAsia="Arial" w:hAnsi="Arial"/>
          <w:sz w:val="18"/>
          <w:szCs w:val="18"/>
          <w:color w:val="auto"/>
        </w:rPr>
        <w:t>.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18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Shareholder Rights</w:t>
      </w:r>
      <w:r>
        <w:rPr>
          <w:rFonts w:ascii="Arial" w:cs="Arial" w:eastAsia="Arial" w:hAnsi="Arial"/>
          <w:sz w:val="18"/>
          <w:szCs w:val="18"/>
          <w:color w:val="auto"/>
        </w:rPr>
        <w:t>. Except as provided in the Plan or an Award Agreement, no Participant shall be deemed to be the holder of, or to have any of the rights of a holder with respect to, any shares of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Section 14 hereof.</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Employment or Other Service Rights</w:t>
      </w:r>
      <w:r>
        <w:rPr>
          <w:rFonts w:ascii="Arial" w:cs="Arial" w:eastAsia="Arial" w:hAnsi="Arial"/>
          <w:sz w:val="18"/>
          <w:szCs w:val="18"/>
          <w:color w:val="auto"/>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Transfer; Approved Leave of Absence</w:t>
      </w:r>
      <w:r>
        <w:rPr>
          <w:rFonts w:ascii="Arial" w:cs="Arial" w:eastAsia="Arial" w:hAnsi="Arial"/>
          <w:sz w:val="16"/>
          <w:szCs w:val="16"/>
          <w:color w:val="auto"/>
        </w:rPr>
        <w:t>. For purposes of the Plan, no termination of employment by an Employee shall be deemed to result 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both"/>
        <w:ind w:firstLine="324"/>
        <w:spacing w:after="0" w:line="272"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Withholding Obligations</w:t>
      </w:r>
      <w:r>
        <w:rPr>
          <w:rFonts w:ascii="Arial" w:cs="Arial" w:eastAsia="Arial" w:hAnsi="Arial"/>
          <w:sz w:val="17"/>
          <w:szCs w:val="17"/>
          <w:color w:val="auto"/>
        </w:rPr>
        <w:t xml:space="preserve">.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 (b) authorizing the Company to withhold shares of Common Stock from the shares of Common Stock otherwise issuable to the Participant as a result of the exercise or acquisition of Common Stock under the Award,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shares of Common Stock are withheld with a value exceeding the maximum amount of tax required to be withheld by law; or (c) delivering to the Company previously owned and unencumbered shares of Common Stock of the Company.</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u w:val="single" w:color="auto"/>
          <w:color w:val="auto"/>
        </w:rPr>
        <w:t>Minimum Vesting</w:t>
      </w:r>
      <w:r>
        <w:rPr>
          <w:rFonts w:ascii="Arial" w:cs="Arial" w:eastAsia="Arial" w:hAnsi="Arial"/>
          <w:sz w:val="17"/>
          <w:szCs w:val="17"/>
          <w:color w:val="auto"/>
        </w:rPr>
        <w:t>. No Award shall be granted with terms providing for any right of exercise or lapse of any vesting obligations earlier than a date that is at least one year following the date of grant. Notwithstanding the foregoing, the Committee may grant up to a maximum of five percent (5%) of the aggregate number of shares of Common Stock available for issuance under this Plan (subject to adjustment under Section 14), without regard for any limitations or other requirements for exercise or vesting as set forth in this Section 13.6, and the minimum vesting requirement does not apply to (A) any Substitute Awards, (B) shares of Common Stock delivered in lieu of fully vested Cash Awards, (C) Awards to Directors that vest on the earlier of the one year anniversary of the date of grant or the next annual meeting of stockholders which is at least 50 weeks after the immediately preceding year’s annual meeting, and (D) the Committee’s discretion to provide for accelerated exercisability or vesting of any Award, including in cases of retirement, death, disability or a Change in Control, in the terms of the Award or otherwise.</w:t>
      </w:r>
    </w:p>
    <w:p>
      <w:pPr>
        <w:spacing w:after="0" w:line="178" w:lineRule="exact"/>
        <w:rPr>
          <w:sz w:val="20"/>
          <w:szCs w:val="20"/>
          <w:color w:val="auto"/>
        </w:rPr>
      </w:pPr>
    </w:p>
    <w:p>
      <w:pPr>
        <w:jc w:val="both"/>
        <w:ind w:firstLine="8"/>
        <w:spacing w:after="0" w:line="286" w:lineRule="auto"/>
        <w:tabs>
          <w:tab w:leader="none" w:pos="31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Stock</w:t>
      </w:r>
      <w:r>
        <w:rPr>
          <w:rFonts w:ascii="Arial" w:cs="Arial" w:eastAsia="Arial" w:hAnsi="Arial"/>
          <w:sz w:val="16"/>
          <w:szCs w:val="16"/>
          <w:color w:val="auto"/>
        </w:rPr>
        <w:t>.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Share Awards and Cash Awards are subject, the maximum number of shares of Common Stock subject to all Awards stated in Section 4 will be equitably adjusted or substituted, as to the number, price or kind of a share of Common Stock or other consideration subject to such Awards to the extent necessary to preserve the economic intent of such Award. In the case of adjustments made pursuant to this Section 14, unless the Committee specifically determines that such adjustment is in the best interests of the Company or its Affiliates, the Committee shall, in the case of Incentive Stock Options, ensure that any adjustments under this Section 14 will not constitute a modification, extension or renewal of the Incentive Stock Options within the meaning of Section 424(h)(3) of the Code and in the case of Non-qualified Stock Options, ensure that any adjustments under this Section 14 will not constitute a modification of such Non-qualified Stock Options within the meaning of Section 409A of the Code. Any adjustments made under this Section 14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173" w:lineRule="exact"/>
        <w:rPr>
          <w:rFonts w:ascii="Arial" w:cs="Arial" w:eastAsia="Arial" w:hAnsi="Arial"/>
          <w:sz w:val="16"/>
          <w:szCs w:val="16"/>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Effect of Change in Control</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15.1 The Committee may, in its sole discretion, at the time an Award is made or at any time prior to, coincident with or after the time of a Change of Control, cause any Award either (i) to be canceled in consideration of a payment in cash or other consideration in amount per share equal to the excess, if any, of the price or implied price per share of Common Stock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of Control; (iii) accelerate any time periods, or waive any other conditions, relating to the vesting, exercise, payment or distribution of an Award so that any Award to a Participant whose employment has been terminated as a result of a Change of Control may be vested, exercised, paid or distributed in full on or before a date fixed by the Committee; (iv) to be purchased from a Participant whose employment has been terminated as a result of a Change of Control, upon the Participant’s request, for an amount of cash equal to the amount that could have been obtained upon the exercise, payment or distribution of such rights had such Award been currently exercisable or payable; or</w:t>
      </w:r>
    </w:p>
    <w:p>
      <w:pPr>
        <w:spacing w:after="0" w:line="6" w:lineRule="exact"/>
        <w:rPr>
          <w:sz w:val="20"/>
          <w:szCs w:val="20"/>
          <w:color w:val="auto"/>
        </w:rPr>
      </w:pPr>
    </w:p>
    <w:p>
      <w:pPr>
        <w:ind w:firstLine="8"/>
        <w:spacing w:after="0" w:line="323" w:lineRule="auto"/>
        <w:tabs>
          <w:tab w:leader="none" w:pos="2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terminate any then outstanding Award or make any other adjustment to the Awards then outstanding as the Committee deems necessary or appropriate to reflect such transaction or change. The number of shares of Common Stock subject to any Award shall be rounded to the nearest whole number.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both"/>
        <w:ind w:firstLine="324"/>
        <w:spacing w:after="0" w:line="263" w:lineRule="auto"/>
        <w:rPr>
          <w:sz w:val="20"/>
          <w:szCs w:val="20"/>
          <w:color w:val="auto"/>
        </w:rPr>
      </w:pPr>
      <w:r>
        <w:rPr>
          <w:rFonts w:ascii="Arial" w:cs="Arial" w:eastAsia="Arial" w:hAnsi="Arial"/>
          <w:sz w:val="18"/>
          <w:szCs w:val="18"/>
          <w:color w:val="auto"/>
        </w:rPr>
        <w:t>15.2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spacing w:after="0" w:line="184"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Awards</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Amendment of Plan</w:t>
      </w:r>
      <w:r>
        <w:rPr>
          <w:rFonts w:ascii="Arial" w:cs="Arial" w:eastAsia="Arial" w:hAnsi="Arial"/>
          <w:sz w:val="18"/>
          <w:szCs w:val="18"/>
          <w:color w:val="auto"/>
        </w:rPr>
        <w:t>. The Board at any time, and from time to time, may amend or terminate the Plan. However, except as provided in Section 14 relating to adjustments upon changes in Common Stock and Section 16.3,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Board may, in its sole discretion, submit any other amendment to the Plan for shareholder approval.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Contemplated Amendments</w:t>
      </w:r>
      <w:r>
        <w:rPr>
          <w:rFonts w:ascii="Arial" w:cs="Arial" w:eastAsia="Arial" w:hAnsi="Arial"/>
          <w:sz w:val="18"/>
          <w:szCs w:val="18"/>
          <w:color w:val="auto"/>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No Impairment of Rights</w:t>
      </w:r>
      <w:r>
        <w:rPr>
          <w:rFonts w:ascii="Arial" w:cs="Arial" w:eastAsia="Arial" w:hAnsi="Arial"/>
          <w:sz w:val="18"/>
          <w:szCs w:val="18"/>
          <w:color w:val="auto"/>
        </w:rPr>
        <w:t>. Rights under any Award granted before amendment of the Plan shall not be impaired by any amendment of the Plan unless (a) the Company requests the consent of the Participant and (b) the Participant consents in writing.</w:t>
      </w:r>
    </w:p>
    <w:p>
      <w:pPr>
        <w:spacing w:after="0" w:line="170"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Amendment of Awards</w:t>
      </w:r>
      <w:r>
        <w:rPr>
          <w:rFonts w:ascii="Arial" w:cs="Arial" w:eastAsia="Arial" w:hAnsi="Arial"/>
          <w:sz w:val="18"/>
          <w:szCs w:val="18"/>
          <w:color w:val="auto"/>
        </w:rPr>
        <w:t xml:space="preserve">. The Committee at any time, and from time to time, may amend the terms of any one or more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Committee may not affect any amendment which would otherwise constitute an impairment of the rights under any Award unless (a)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requests the consent of the Participant and (b) the Participant consents in writing.</w:t>
      </w:r>
    </w:p>
    <w:p>
      <w:pPr>
        <w:spacing w:after="0" w:line="184"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u w:val="single" w:color="auto"/>
          <w:color w:val="auto"/>
        </w:rPr>
        <w:t>Forfeiture Events</w:t>
      </w:r>
      <w:r>
        <w:rPr>
          <w:rFonts w:ascii="Arial" w:cs="Arial" w:eastAsia="Arial" w:hAnsi="Arial"/>
          <w:sz w:val="17"/>
          <w:szCs w:val="17"/>
          <w:color w:val="auto"/>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spacing w:after="0" w:line="1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Clawback</w:t>
      </w:r>
      <w:r>
        <w:rPr>
          <w:rFonts w:ascii="Arial" w:cs="Arial" w:eastAsia="Arial" w:hAnsi="Arial"/>
          <w:sz w:val="18"/>
          <w:szCs w:val="18"/>
          <w:color w:val="auto"/>
        </w:rPr>
        <w:t>. Awards under the Plan shall be subject to the Company’s clawback policy, as in effect from time to time. If there shall be no such clawback policy in effect, (1) awards under the Plan and any shares of Common Stock issued pursuant to Awards under the Plan (and any gains thereon) shall be subject to recovery or “clawback” by the Company if and to the extent that the vesting of such Awards was determined or calculated based on materially inaccurate financial statements or any other material inaccurate performance metric criteria; and (2) if the Company or its subsidiaries terminate a Participant’s service relationship due to the Participant’s gross negligence or willful misconduct (whether or not such actions also constitute “cause” under an Award Agreement), which conduct, directly or indirectly, results in the Company preparing an accounting restatement, any Awards under the Plan, whether or not vested, as well as any shares of Common Stock issued pursuant to Awards under this Plan (and any gains thereon) shall be subject to forfeiture, recovery and “clawback.”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jc w:val="both"/>
        <w:ind w:firstLine="324"/>
        <w:spacing w:after="0" w:line="263"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u w:val="single" w:color="auto"/>
          <w:color w:val="auto"/>
        </w:rPr>
        <w:t>Other Compensation Arrangements</w:t>
      </w:r>
      <w:r>
        <w:rPr>
          <w:rFonts w:ascii="Arial" w:cs="Arial" w:eastAsia="Arial" w:hAnsi="Arial"/>
          <w:sz w:val="18"/>
          <w:szCs w:val="18"/>
          <w:color w:val="auto"/>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Sub-Plans</w:t>
      </w:r>
      <w:r>
        <w:rPr>
          <w:rFonts w:ascii="Arial" w:cs="Arial" w:eastAsia="Arial" w:hAnsi="Arial"/>
          <w:sz w:val="18"/>
          <w:szCs w:val="18"/>
          <w:color w:val="auto"/>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u w:val="single" w:color="auto"/>
          <w:color w:val="auto"/>
        </w:rPr>
        <w:t>Deferral of Awards</w:t>
      </w:r>
      <w:r>
        <w:rPr>
          <w:rFonts w:ascii="Arial" w:cs="Arial" w:eastAsia="Arial" w:hAnsi="Arial"/>
          <w:sz w:val="16"/>
          <w:szCs w:val="16"/>
          <w:color w:val="auto"/>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shall be unfunded. Neither the Company, the Board nor the Committee shall be required to establish any special or separate fund or to segregate any assets to assure the performance of its obligations under the Plan.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u w:val="single" w:color="auto"/>
          <w:color w:val="auto"/>
        </w:rPr>
        <w:t>Recapitalizations</w:t>
      </w:r>
      <w:r>
        <w:rPr>
          <w:rFonts w:ascii="Arial" w:cs="Arial" w:eastAsia="Arial" w:hAnsi="Arial"/>
          <w:sz w:val="18"/>
          <w:szCs w:val="18"/>
          <w:color w:val="auto"/>
        </w:rPr>
        <w:t>. Each Award Agreement shall contain provisions required to reflect the provisions of Section 14.</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u w:val="single" w:color="auto"/>
          <w:color w:val="auto"/>
        </w:rPr>
        <w:t>Delivery</w:t>
      </w:r>
      <w:r>
        <w:rPr>
          <w:rFonts w:ascii="Arial" w:cs="Arial" w:eastAsia="Arial" w:hAnsi="Arial"/>
          <w:sz w:val="18"/>
          <w:szCs w:val="18"/>
          <w:color w:val="auto"/>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Common Stock shall be issued or delivered pursuant to the Plan. The Committee shall determine whether cash, additional Awards or other securities or property shall be issued or paid in lieu of fractional shares of Common Stock or whether any fractional shares should be rounded, forfeited or otherwise eliminated.</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u w:val="single" w:color="auto"/>
          <w:color w:val="auto"/>
        </w:rPr>
        <w:t>Other Provisions</w:t>
      </w:r>
      <w:r>
        <w:rPr>
          <w:rFonts w:ascii="Arial" w:cs="Arial" w:eastAsia="Arial" w:hAnsi="Arial"/>
          <w:sz w:val="18"/>
          <w:szCs w:val="18"/>
          <w:color w:val="auto"/>
        </w:rPr>
        <w:t>. The Award Agreements authorized under the Plan may contain such other provisions not inconsistent with this Plan, including, without limitation, restrictions upon the exercise of Awards, as the Committee may deem advisable.</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17.11 </w:t>
      </w:r>
      <w:r>
        <w:rPr>
          <w:rFonts w:ascii="Arial" w:cs="Arial" w:eastAsia="Arial" w:hAnsi="Arial"/>
          <w:sz w:val="16"/>
          <w:szCs w:val="16"/>
          <w:u w:val="single" w:color="auto"/>
          <w:color w:val="auto"/>
        </w:rPr>
        <w:t>Section 409A</w:t>
      </w:r>
      <w:r>
        <w:rPr>
          <w:rFonts w:ascii="Arial" w:cs="Arial" w:eastAsia="Arial" w:hAnsi="Arial"/>
          <w:sz w:val="16"/>
          <w:szCs w:val="16"/>
          <w:color w:val="auto"/>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(6)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ind w:firstLine="324"/>
        <w:spacing w:after="0" w:line="257"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u w:val="single" w:color="auto"/>
          <w:color w:val="auto"/>
        </w:rPr>
        <w:t>Disqualifying Dispositions</w:t>
      </w:r>
      <w:r>
        <w:rPr>
          <w:rFonts w:ascii="Arial" w:cs="Arial" w:eastAsia="Arial" w:hAnsi="Arial"/>
          <w:sz w:val="18"/>
          <w:szCs w:val="18"/>
          <w:color w:val="auto"/>
        </w:rPr>
        <w:t>. Any Participant who shall make a “disposition” (as defined in Section 424 of the Code) of all or any portion of shares of Common Stock acquired upon exercise of an Incentive Stock Option within two years from the Grant Date of such Incentive Stock Option or within one year after the issuance of the shares of Common Stock acquired upon exercise of such Incentive Stock Option (a “</w:t>
      </w:r>
      <w:r>
        <w:rPr>
          <w:rFonts w:ascii="Arial" w:cs="Arial" w:eastAsia="Arial" w:hAnsi="Arial"/>
          <w:sz w:val="18"/>
          <w:szCs w:val="18"/>
          <w:b w:val="1"/>
          <w:bCs w:val="1"/>
          <w:color w:val="auto"/>
        </w:rPr>
        <w:t>Disqualifying Disposition</w:t>
      </w:r>
      <w:r>
        <w:rPr>
          <w:rFonts w:ascii="Arial" w:cs="Arial" w:eastAsia="Arial" w:hAnsi="Arial"/>
          <w:sz w:val="18"/>
          <w:szCs w:val="18"/>
          <w:color w:val="auto"/>
        </w:rPr>
        <w:t>”) shall be required to immediately advise the Company in writing as to the occurrence of the sale and the price realized upon the sale of such shares of Common Stock.</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u w:val="single" w:color="auto"/>
          <w:color w:val="auto"/>
        </w:rPr>
        <w:t>Section 16</w:t>
      </w:r>
      <w:r>
        <w:rPr>
          <w:rFonts w:ascii="Arial" w:cs="Arial" w:eastAsia="Arial" w:hAnsi="Arial"/>
          <w:sz w:val="18"/>
          <w:szCs w:val="18"/>
          <w:color w:val="auto"/>
        </w:rPr>
        <w:t>.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Section 17.13, such provision to the extent possible shall be interpreted and/or deemed amended so as to avoid such conflict.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u w:val="single" w:color="auto"/>
          <w:color w:val="auto"/>
        </w:rPr>
        <w:t>Beneficiary Designation</w:t>
      </w:r>
      <w:r>
        <w:rPr>
          <w:rFonts w:ascii="Arial" w:cs="Arial" w:eastAsia="Arial" w:hAnsi="Arial"/>
          <w:sz w:val="18"/>
          <w:szCs w:val="18"/>
          <w:color w:val="auto"/>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17.15 </w:t>
      </w:r>
      <w:r>
        <w:rPr>
          <w:rFonts w:ascii="Arial" w:cs="Arial" w:eastAsia="Arial" w:hAnsi="Arial"/>
          <w:sz w:val="18"/>
          <w:szCs w:val="18"/>
          <w:u w:val="single" w:color="auto"/>
          <w:color w:val="auto"/>
        </w:rPr>
        <w:t>Expenses</w:t>
      </w:r>
      <w:r>
        <w:rPr>
          <w:rFonts w:ascii="Arial" w:cs="Arial" w:eastAsia="Arial" w:hAnsi="Arial"/>
          <w:sz w:val="18"/>
          <w:szCs w:val="18"/>
          <w:color w:val="auto"/>
        </w:rPr>
        <w:t>. The costs of administering the Plan shall be paid by the Company.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17.16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17.17 </w:t>
      </w:r>
      <w:r>
        <w:rPr>
          <w:rFonts w:ascii="Arial" w:cs="Arial" w:eastAsia="Arial" w:hAnsi="Arial"/>
          <w:sz w:val="18"/>
          <w:szCs w:val="18"/>
          <w:u w:val="single" w:color="auto"/>
          <w:color w:val="auto"/>
        </w:rPr>
        <w:t>Plan Headings</w:t>
      </w:r>
      <w:r>
        <w:rPr>
          <w:rFonts w:ascii="Arial" w:cs="Arial" w:eastAsia="Arial" w:hAnsi="Arial"/>
          <w:sz w:val="18"/>
          <w:szCs w:val="18"/>
          <w:color w:val="auto"/>
        </w:rPr>
        <w:t>. The headings in the Plan are for purposes of convenience only and are not intended to define or limit the construction of the provisions hereof.</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17.18 </w:t>
      </w:r>
      <w:r>
        <w:rPr>
          <w:rFonts w:ascii="Arial" w:cs="Arial" w:eastAsia="Arial" w:hAnsi="Arial"/>
          <w:sz w:val="17"/>
          <w:szCs w:val="17"/>
          <w:u w:val="single" w:color="auto"/>
          <w:color w:val="auto"/>
        </w:rPr>
        <w:t>Non-Uniform Treatment</w:t>
      </w:r>
      <w:r>
        <w:rPr>
          <w:rFonts w:ascii="Arial" w:cs="Arial" w:eastAsia="Arial" w:hAnsi="Arial"/>
          <w:sz w:val="17"/>
          <w:szCs w:val="17"/>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65" w:lineRule="exact"/>
        <w:rPr>
          <w:sz w:val="20"/>
          <w:szCs w:val="20"/>
          <w:color w:val="auto"/>
        </w:rPr>
      </w:pPr>
    </w:p>
    <w:p>
      <w:pPr>
        <w:ind w:left="400" w:hanging="320"/>
        <w:spacing w:after="0"/>
        <w:tabs>
          <w:tab w:leader="none" w:pos="40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Effective Date of Plan</w:t>
      </w:r>
      <w:r>
        <w:rPr>
          <w:rFonts w:ascii="Arial" w:cs="Arial" w:eastAsia="Arial" w:hAnsi="Arial"/>
          <w:sz w:val="18"/>
          <w:szCs w:val="18"/>
          <w:color w:val="auto"/>
        </w:rPr>
        <w:t>. The Plan shall become effective as of the Effective Date.</w:t>
      </w:r>
    </w:p>
    <w:p>
      <w:pPr>
        <w:spacing w:after="0" w:line="225" w:lineRule="exact"/>
        <w:rPr>
          <w:rFonts w:ascii="Arial" w:cs="Arial" w:eastAsia="Arial" w:hAnsi="Arial"/>
          <w:sz w:val="18"/>
          <w:szCs w:val="18"/>
          <w:color w:val="auto"/>
        </w:rPr>
      </w:pPr>
    </w:p>
    <w:p>
      <w:pPr>
        <w:jc w:val="both"/>
        <w:ind w:left="-100" w:firstLine="180"/>
        <w:spacing w:after="0" w:line="263" w:lineRule="auto"/>
        <w:tabs>
          <w:tab w:leader="none" w:pos="38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Termination or Suspension of the Plan</w:t>
      </w:r>
      <w:r>
        <w:rPr>
          <w:rFonts w:ascii="Arial" w:cs="Arial" w:eastAsia="Arial" w:hAnsi="Arial"/>
          <w:sz w:val="18"/>
          <w:szCs w:val="18"/>
          <w:color w:val="auto"/>
        </w:rPr>
        <w:t>. The Plan shall terminate automatically on June 8, 2032. No Award shall be granted pursuant to the Plan after h date, but Awards theretofore granted may extend beyond that date. The Board may suspend or terminate the Plan at any earlier date pursuant to Section 1 hereof. No Awards may be granted under the Plan while the Plan is suspended or after it is terminated.</w:t>
      </w:r>
    </w:p>
    <w:p>
      <w:pPr>
        <w:spacing w:after="0" w:line="183" w:lineRule="exact"/>
        <w:rPr>
          <w:rFonts w:ascii="Arial" w:cs="Arial" w:eastAsia="Arial" w:hAnsi="Arial"/>
          <w:sz w:val="18"/>
          <w:szCs w:val="18"/>
          <w:color w:val="auto"/>
        </w:rPr>
      </w:pPr>
    </w:p>
    <w:p>
      <w:pPr>
        <w:ind w:left="-80" w:firstLine="160"/>
        <w:spacing w:after="0" w:line="277" w:lineRule="auto"/>
        <w:tabs>
          <w:tab w:leader="none" w:pos="401"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law of the State of Nevada shall govern all questions concerning the construction, validity and interpretation of this Plan, without ard to such state’s conflict of law rules.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adopted by the Board of Directors of Agrify Corporation on April 19, 2022.</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approved by the shareholders of Agrify Corporation on June 8, 2022.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2022 EMPLOYEE STOCK PURCHASE PLAN</w:t>
      </w:r>
    </w:p>
    <w:p>
      <w:pPr>
        <w:spacing w:after="0" w:line="225" w:lineRule="exact"/>
        <w:rPr>
          <w:sz w:val="20"/>
          <w:szCs w:val="20"/>
          <w:color w:val="auto"/>
        </w:rPr>
      </w:pPr>
    </w:p>
    <w:p>
      <w:pPr>
        <w:jc w:val="both"/>
        <w:ind w:firstLine="332"/>
        <w:spacing w:after="0" w:line="261" w:lineRule="auto"/>
        <w:tabs>
          <w:tab w:leader="none" w:pos="51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This Agrify Corporation 2022 Employee Stock Purchase Plan (the “</w:t>
      </w:r>
      <w:r>
        <w:rPr>
          <w:rFonts w:ascii="Arial" w:cs="Arial" w:eastAsia="Arial" w:hAnsi="Arial"/>
          <w:sz w:val="18"/>
          <w:szCs w:val="18"/>
          <w:b w:val="1"/>
          <w:bCs w:val="1"/>
          <w:color w:val="auto"/>
        </w:rPr>
        <w:t>Plan</w:t>
      </w:r>
      <w:r>
        <w:rPr>
          <w:rFonts w:ascii="Arial" w:cs="Arial" w:eastAsia="Arial" w:hAnsi="Arial"/>
          <w:sz w:val="18"/>
          <w:szCs w:val="18"/>
          <w:color w:val="auto"/>
        </w:rPr>
        <w:t>”) is intended to provide employees of the Company and its Participating Subsidiaries with an opportunity to acquire a proprietary interest in the Company through the purchase of shares of Common Stock. The Company intends that the Plan qualify as an “employee stock purchase plan” under Section 423 of the Code and the Plan shall be interpreted in a manner that is consistent with that intent.</w:t>
      </w:r>
    </w:p>
    <w:p>
      <w:pPr>
        <w:spacing w:after="0" w:line="183" w:lineRule="exact"/>
        <w:rPr>
          <w:rFonts w:ascii="Arial" w:cs="Arial" w:eastAsia="Arial" w:hAnsi="Arial"/>
          <w:sz w:val="18"/>
          <w:szCs w:val="18"/>
          <w:color w:val="auto"/>
        </w:rPr>
      </w:pPr>
    </w:p>
    <w:p>
      <w:pPr>
        <w:ind w:left="520" w:hanging="188"/>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or Board of Directors</w:t>
      </w:r>
      <w:r>
        <w:rPr>
          <w:rFonts w:ascii="Arial" w:cs="Arial" w:eastAsia="Arial" w:hAnsi="Arial"/>
          <w:sz w:val="18"/>
          <w:szCs w:val="18"/>
          <w:color w:val="auto"/>
        </w:rPr>
        <w:t>” means the Board of Directors of the Company, as constituted from time to time.</w:t>
      </w:r>
    </w:p>
    <w:p>
      <w:pPr>
        <w:spacing w:after="0" w:line="225" w:lineRule="exact"/>
        <w:rPr>
          <w:sz w:val="20"/>
          <w:szCs w:val="20"/>
          <w:color w:val="auto"/>
        </w:rPr>
      </w:pPr>
    </w:p>
    <w:p>
      <w:pPr>
        <w:jc w:val="both"/>
        <w:ind w:firstLine="117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it may be amended from time to time. Any reference to a section of the Code shall be deemed to include a reference to any regulations promulgated thereunder.</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committee appointed by the Board to administer the Plan.</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the Company, par value $0.001 per share.</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Agrify Corporation, a Nevada corporation, including any successor thereto.</w:t>
      </w:r>
    </w:p>
    <w:p>
      <w:pPr>
        <w:spacing w:after="0" w:line="225" w:lineRule="exact"/>
        <w:rPr>
          <w:sz w:val="20"/>
          <w:szCs w:val="20"/>
          <w:color w:val="auto"/>
        </w:rPr>
      </w:pPr>
    </w:p>
    <w:p>
      <w:pPr>
        <w:jc w:val="both"/>
        <w:ind w:firstLine="117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Compensation</w:t>
      </w:r>
      <w:r>
        <w:rPr>
          <w:rFonts w:ascii="Arial" w:cs="Arial" w:eastAsia="Arial" w:hAnsi="Arial"/>
          <w:sz w:val="16"/>
          <w:szCs w:val="16"/>
          <w:color w:val="auto"/>
        </w:rPr>
        <w:t>” means base salary, wages, annual bonuses and commissions paid to an Eligible Employee by the Company or a Participating Subsidiary as compensation for services to the Company or Participating Subsidiary, before deduction for any salary deferral contributions made by the Eligible Employee to any tax-qualified or nonqualified deferred compensation plan, including overtime, vacation pay, holiday pay, jury duty pay and funeral leave pay, but excluding education or tuition reimbursements, imputed income arising under any group insurance or benefit program, travel expenses, business and relocation expenses, and income received in connection with stock options or other equity-based awards.</w:t>
      </w:r>
    </w:p>
    <w:p>
      <w:pPr>
        <w:spacing w:after="0" w:line="154" w:lineRule="exact"/>
        <w:rPr>
          <w:sz w:val="20"/>
          <w:szCs w:val="20"/>
          <w:color w:val="auto"/>
        </w:rPr>
      </w:pPr>
    </w:p>
    <w:p>
      <w:pPr>
        <w:jc w:val="both"/>
        <w:ind w:firstLine="117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Transaction</w:t>
      </w:r>
      <w:r>
        <w:rPr>
          <w:rFonts w:ascii="Arial" w:cs="Arial" w:eastAsia="Arial" w:hAnsi="Arial"/>
          <w:sz w:val="18"/>
          <w:szCs w:val="18"/>
          <w:color w:val="auto"/>
        </w:rPr>
        <w:t>” means a merger, consolidation, acquisition of property or stock, separation, reorganization or other corporate event described in Section 424 of the Code.</w:t>
      </w:r>
    </w:p>
    <w:p>
      <w:pPr>
        <w:spacing w:after="0" w:line="162" w:lineRule="exact"/>
        <w:rPr>
          <w:sz w:val="20"/>
          <w:szCs w:val="20"/>
          <w:color w:val="auto"/>
        </w:rPr>
      </w:pPr>
    </w:p>
    <w:p>
      <w:pPr>
        <w:jc w:val="both"/>
        <w:ind w:right="20" w:firstLine="117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Broker</w:t>
      </w:r>
      <w:r>
        <w:rPr>
          <w:rFonts w:ascii="Arial" w:cs="Arial" w:eastAsia="Arial" w:hAnsi="Arial"/>
          <w:sz w:val="18"/>
          <w:szCs w:val="18"/>
          <w:color w:val="auto"/>
        </w:rPr>
        <w:t>” means the financial services firm or other agent designated by the Company to maintain ESPP Share Accounts on behalf of Participants who have purchased shares of Common Stock under the Plan.</w:t>
      </w:r>
    </w:p>
    <w:p>
      <w:pPr>
        <w:spacing w:after="0" w:line="162" w:lineRule="exact"/>
        <w:rPr>
          <w:sz w:val="20"/>
          <w:szCs w:val="20"/>
          <w:color w:val="auto"/>
        </w:rPr>
      </w:pPr>
    </w:p>
    <w:p>
      <w:pPr>
        <w:jc w:val="both"/>
        <w:ind w:right="20" w:firstLine="117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as of which this Plan is adopted by the Board, subject to the Plan obtaining shareholder approval in accordance with Section 19.11 hereof.</w:t>
      </w:r>
    </w:p>
    <w:p>
      <w:pPr>
        <w:spacing w:after="0" w:line="162" w:lineRule="exact"/>
        <w:rPr>
          <w:sz w:val="20"/>
          <w:szCs w:val="20"/>
          <w:color w:val="auto"/>
        </w:rPr>
      </w:pPr>
    </w:p>
    <w:p>
      <w:pPr>
        <w:jc w:val="both"/>
        <w:ind w:firstLine="117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person who renders services to the Company or a Participating Subsidiary as an employee pursuant to an employment relationship with such employer. For purposes of the Plan, the employment relationship shall be treated as continuing intact while the individual is on military leave, sick leave or other leave of absence approved by the Company or a Participating Subsidiary that meets the requirements of Treasury Regulation Section 1.421-1(h)(2). Where the period of leave exceeds three (3) months, or such other period of time specified in Treasury Regulation Section 1.421-1(h)(2), and the individual’s right to re-employment is not guaranteed by statute or contract, the employment relationship shall be deemed to have terminated on the first day immediately following such three-month period, or such other period specified in Treasury Regulation Section 1.421-1(h)(2).</w:t>
      </w:r>
    </w:p>
    <w:p>
      <w:pPr>
        <w:spacing w:after="0" w:line="189" w:lineRule="exact"/>
        <w:rPr>
          <w:sz w:val="20"/>
          <w:szCs w:val="20"/>
          <w:color w:val="auto"/>
        </w:rPr>
      </w:pPr>
    </w:p>
    <w:p>
      <w:pPr>
        <w:jc w:val="both"/>
        <w:ind w:firstLine="117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Employee</w:t>
      </w:r>
      <w:r>
        <w:rPr>
          <w:rFonts w:ascii="Arial" w:cs="Arial" w:eastAsia="Arial" w:hAnsi="Arial"/>
          <w:sz w:val="16"/>
          <w:szCs w:val="16"/>
          <w:color w:val="auto"/>
        </w:rPr>
        <w:t>” means an Employee who (i) has been employed by the Company or a Participating Subsidiary for at least three (3) months and (ii) is customarily employed for at least twenty (20) hours per week and more than five (5) months in any calendar year. Notwithstanding the foregoing, the Committee may exclude from participation in the Plan or any Offering Employees who are “highly compensated employees” of the Company or a Participating Subsidiary (within the meaning of Section 414(q) of the Code) or a sub-set of such highly compensated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117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Enrollment Form</w:t>
      </w:r>
      <w:r>
        <w:rPr>
          <w:rFonts w:ascii="Arial" w:cs="Arial" w:eastAsia="Arial" w:hAnsi="Arial"/>
          <w:sz w:val="18"/>
          <w:szCs w:val="18"/>
          <w:color w:val="auto"/>
        </w:rPr>
        <w:t>” means an agreement pursuant to which an Eligible Employee may elect to enroll in the Plan, to authorize a new level of payroll deductions, or to stop payroll deductions and withdraw from an Offering Period.</w:t>
      </w:r>
    </w:p>
    <w:p>
      <w:pPr>
        <w:spacing w:after="0" w:line="162" w:lineRule="exact"/>
        <w:rPr>
          <w:sz w:val="20"/>
          <w:szCs w:val="20"/>
          <w:color w:val="auto"/>
        </w:rPr>
      </w:pPr>
    </w:p>
    <w:p>
      <w:pPr>
        <w:jc w:val="both"/>
        <w:ind w:firstLine="117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ESPP Share Account</w:t>
      </w:r>
      <w:r>
        <w:rPr>
          <w:rFonts w:ascii="Arial" w:cs="Arial" w:eastAsia="Arial" w:hAnsi="Arial"/>
          <w:sz w:val="18"/>
          <w:szCs w:val="18"/>
          <w:color w:val="auto"/>
        </w:rPr>
        <w:t>” means an account into which Common Stock purchased with accumulated payroll deductions at the end of an Offering Period are held on behalf of a Participant.</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jc w:val="both"/>
        <w:ind w:firstLine="117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as of any date, the value of the shares of Common Stock as determined below. If the shares are listed on any established stock exchange or a national market system, including, without limitation, the New York Stock Exchange or the Nasdaq Stock Market, the Fair Market Value shall be the closing price of a share (or if no sales were reported, the closing price on the date immediately preceding such date) as quoted on such exchange or system on the day of determination, as reported in The Wall Street Journal. In the absence of an established market for the shares, the Fair Market Value shall be determined in good faith by the Committee and such determination shall be conclusive and binding on all persons.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Date</w:t>
      </w:r>
      <w:r>
        <w:rPr>
          <w:rFonts w:ascii="Arial" w:cs="Arial" w:eastAsia="Arial" w:hAnsi="Arial"/>
          <w:sz w:val="18"/>
          <w:szCs w:val="18"/>
          <w:color w:val="auto"/>
        </w:rPr>
        <w:t>” means the first Trading Day of each Offering Period as designated by the Committee.</w:t>
      </w:r>
    </w:p>
    <w:p>
      <w:pPr>
        <w:spacing w:after="0" w:line="225" w:lineRule="exact"/>
        <w:rPr>
          <w:sz w:val="20"/>
          <w:szCs w:val="20"/>
          <w:color w:val="auto"/>
        </w:rPr>
      </w:pPr>
    </w:p>
    <w:p>
      <w:pPr>
        <w:jc w:val="both"/>
        <w:ind w:firstLine="117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or Offering Period</w:t>
      </w:r>
      <w:r>
        <w:rPr>
          <w:rFonts w:ascii="Arial" w:cs="Arial" w:eastAsia="Arial" w:hAnsi="Arial"/>
          <w:sz w:val="18"/>
          <w:szCs w:val="18"/>
          <w:color w:val="auto"/>
        </w:rPr>
        <w:t>” means a period of six months beginning each January 1 and July 1 of each year; provided, that, pursuant to Section 5, the Committee may change the duration of future Offering Periods (subject to a maximum Offering Period of twenty-seven (27) months) and/or the start and end dates of future Offering Periods.</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Eligible Employee who is actively participating in the Plan.</w:t>
      </w:r>
    </w:p>
    <w:p>
      <w:pPr>
        <w:spacing w:after="0" w:line="225" w:lineRule="exact"/>
        <w:rPr>
          <w:sz w:val="20"/>
          <w:szCs w:val="20"/>
          <w:color w:val="auto"/>
        </w:rPr>
      </w:pPr>
    </w:p>
    <w:p>
      <w:pPr>
        <w:jc w:val="both"/>
        <w:ind w:right="20" w:firstLine="117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Subsidiaries</w:t>
      </w:r>
      <w:r>
        <w:rPr>
          <w:rFonts w:ascii="Arial" w:cs="Arial" w:eastAsia="Arial" w:hAnsi="Arial"/>
          <w:sz w:val="18"/>
          <w:szCs w:val="18"/>
          <w:color w:val="auto"/>
        </w:rPr>
        <w:t>” means the Subsidiaries that have been designated as eligible to participate in the Plan, and such other Subsidiaries that may be designated by the Committee from time to time in its sole discretion.</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means this Agrify Corporation 2022 Employee Stock Purchase Plan, as set forth herein, and as amended from time to time.</w:t>
      </w:r>
    </w:p>
    <w:p>
      <w:pPr>
        <w:spacing w:after="0" w:line="23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Date</w:t>
      </w:r>
      <w:r>
        <w:rPr>
          <w:rFonts w:ascii="Arial" w:cs="Arial" w:eastAsia="Arial" w:hAnsi="Arial"/>
          <w:sz w:val="18"/>
          <w:szCs w:val="18"/>
          <w:color w:val="auto"/>
        </w:rPr>
        <w:t>” means the last Trading Day of each Offering Period.</w:t>
      </w:r>
    </w:p>
    <w:p>
      <w:pPr>
        <w:spacing w:after="0" w:line="225" w:lineRule="exact"/>
        <w:rPr>
          <w:sz w:val="20"/>
          <w:szCs w:val="20"/>
          <w:color w:val="auto"/>
        </w:rPr>
      </w:pPr>
    </w:p>
    <w:p>
      <w:pPr>
        <w:jc w:val="both"/>
        <w:ind w:firstLine="117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means an amount equal to the lesser of (i) eighty-five percent (85%) (or such greater percentage as designated by the Committee) of the Fair Market Value of a share of Common Stock on the Offering Date or (ii) eighty-five percent (85%) (or such greater percentage as designated by the Committee) of the Fair Market Value of a share of Common Stock on the Purchase Date; provided, that, the Purchase Price per share of Common Stock will in no event be less than the par value of the Common Stock.</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jc w:val="both"/>
        <w:ind w:firstLine="117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domestic or foreign, of which not less than 50% of the combined voting power is held by the Company or a Subsidiary, whether or not such corporation exists now or is hereafter organized or acquired by the Company or a Subsidiary. In all cases, the determination of whether an entity is a Subsidiary shall be made in accordance with Section 424(f) of the Code.</w:t>
      </w:r>
    </w:p>
    <w:p>
      <w:pPr>
        <w:spacing w:after="0" w:line="176" w:lineRule="exact"/>
        <w:rPr>
          <w:sz w:val="20"/>
          <w:szCs w:val="20"/>
          <w:color w:val="auto"/>
        </w:rPr>
      </w:pPr>
    </w:p>
    <w:p>
      <w:pPr>
        <w:jc w:val="both"/>
        <w:ind w:firstLine="117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national stock exchange upon which the Common Stock is listed is open for trading or, if the Common Stock is not listed on an established stock exchange or national market system, a business day, as determined by the Committee in good faith.</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332"/>
        <w:spacing w:after="0" w:line="279" w:lineRule="auto"/>
        <w:tabs>
          <w:tab w:leader="none" w:pos="504"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shall be administered by the Committee which shall have the authority to construe and interpret the Plan, prescribe, amend and rescind rules relating to the Plan’s administration and take any other actions necessary or desirable for the administration of the Plan. The Committee may correct any defect or supply any omission or reconcile any inconsistency or ambiguity in the Plan. The decisions of the Committee shall be final and binding on all persons. All expenses of administering the Plan shall be borne by the Company.</w:t>
      </w:r>
    </w:p>
    <w:p>
      <w:pPr>
        <w:spacing w:after="0" w:line="171" w:lineRule="exact"/>
        <w:rPr>
          <w:rFonts w:ascii="Arial" w:cs="Arial" w:eastAsia="Arial" w:hAnsi="Arial"/>
          <w:sz w:val="17"/>
          <w:szCs w:val="17"/>
          <w:color w:val="auto"/>
        </w:rPr>
      </w:pPr>
    </w:p>
    <w:p>
      <w:pPr>
        <w:jc w:val="both"/>
        <w:ind w:firstLine="332"/>
        <w:spacing w:after="0" w:line="263" w:lineRule="auto"/>
        <w:tabs>
          <w:tab w:leader="none" w:pos="51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Unless otherwise determined by the Committee in a manner that is consistent with Section 423 of the Code, any individual who is an Eligible Employee as of the first day of the enrollment period designated by the Committee for a particular Offering Period shall be eligible to participate in such Offering Period, subject to the requirements of Section 423 of the Code.</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any provision of the Plan to the contrary, no Eligible Employee shall be granted an option under the Plan if (i) immediately after the grant of the option, such Eligible Employee (or any other person whose stock would be attributed to such Eligible Employee pursuant to Section 424(d) of the Code) would own capital stock of the Company or hold outstanding options to purchase stock possessing 5% or more of the total combined voting power or value of all classes of stock of the Company or any Subsidiary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the option is granted) for each calendar year in which such option is outstanding at any time.</w:t>
      </w:r>
    </w:p>
    <w:p>
      <w:pPr>
        <w:spacing w:after="0" w:line="164" w:lineRule="exact"/>
        <w:rPr>
          <w:sz w:val="20"/>
          <w:szCs w:val="20"/>
          <w:color w:val="auto"/>
        </w:rPr>
      </w:pPr>
    </w:p>
    <w:p>
      <w:pPr>
        <w:jc w:val="both"/>
        <w:ind w:firstLine="332"/>
        <w:spacing w:after="0" w:line="263" w:lineRule="auto"/>
        <w:tabs>
          <w:tab w:leader="none" w:pos="51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Offering Periods</w:t>
      </w:r>
      <w:r>
        <w:rPr>
          <w:rFonts w:ascii="Arial" w:cs="Arial" w:eastAsia="Arial" w:hAnsi="Arial"/>
          <w:sz w:val="18"/>
          <w:szCs w:val="18"/>
          <w:color w:val="auto"/>
        </w:rPr>
        <w:t>. The Plan shall be implemented by a series of Offering Periods, each of which shall be six (6) months in duration, with new Offering Periods commencing on or about January 1 and July 1 of each year (or such other times as determined by the Committee). The Committee shall have the authority to change the duration, frequency, start and end dates of Offering Periods.</w:t>
      </w:r>
    </w:p>
    <w:p>
      <w:pPr>
        <w:spacing w:after="0" w:line="183" w:lineRule="exact"/>
        <w:rPr>
          <w:rFonts w:ascii="Arial" w:cs="Arial" w:eastAsia="Arial" w:hAnsi="Arial"/>
          <w:sz w:val="18"/>
          <w:szCs w:val="18"/>
          <w:color w:val="auto"/>
        </w:rPr>
      </w:pPr>
    </w:p>
    <w:p>
      <w:pPr>
        <w:ind w:left="520" w:hanging="188"/>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25" w:lineRule="exact"/>
        <w:rPr>
          <w:sz w:val="20"/>
          <w:szCs w:val="20"/>
          <w:color w:val="auto"/>
        </w:rPr>
      </w:pPr>
    </w:p>
    <w:p>
      <w:pPr>
        <w:jc w:val="both"/>
        <w:ind w:left="340" w:firstLine="324"/>
        <w:spacing w:after="0" w:line="29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Enrollment; Payroll Deductions</w:t>
      </w:r>
      <w:r>
        <w:rPr>
          <w:rFonts w:ascii="Arial" w:cs="Arial" w:eastAsia="Arial" w:hAnsi="Arial"/>
          <w:sz w:val="16"/>
          <w:szCs w:val="16"/>
          <w:color w:val="auto"/>
        </w:rPr>
        <w:t>. An Eligible Employee may elect to participate in the Plan by properly completing an Enrollment Form, which may be electronic, and submitting it to the Company, in accordance with the enrollment procedures established by the Committee. Participation in the Plan is entirely voluntary. By submitting an Enrollment Form, the Eligible Employee authorizes payroll deductions from his or her paycheck in an amount equal to at least 1%, but not more than 10% of his or her Compensation on each pay day occurring during an Offering Period (or such other maximum percentage as the Committee may establish from time to time before an Offering Period begins). Payroll deductions shall commence on the first payroll date following the Offering Date and end on the last payroll date on or before the Purchase Date. The Company shall maintain records of all payroll deductions but shall have no obligation to pay interest on payroll deductions or to hold such amounts in a trust or in any segregated account. Unless expressly permitted by the Committee, a Participant may not make any separate contributions or payments to the Plan.</w:t>
      </w:r>
    </w:p>
    <w:p>
      <w:pPr>
        <w:spacing w:after="0" w:line="165" w:lineRule="exact"/>
        <w:rPr>
          <w:sz w:val="20"/>
          <w:szCs w:val="20"/>
          <w:color w:val="auto"/>
        </w:rPr>
      </w:pPr>
    </w:p>
    <w:p>
      <w:pPr>
        <w:jc w:val="both"/>
        <w:ind w:left="340" w:firstLine="324"/>
        <w:spacing w:after="0" w:line="30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Election Changes</w:t>
      </w:r>
      <w:r>
        <w:rPr>
          <w:rFonts w:ascii="Arial" w:cs="Arial" w:eastAsia="Arial" w:hAnsi="Arial"/>
          <w:sz w:val="16"/>
          <w:szCs w:val="16"/>
          <w:color w:val="auto"/>
        </w:rPr>
        <w:t>. During an Offering Period, a Participant may decrease or increase his or her rate of payroll deductions applicable to such Offering Period. To make such a change, the Participant must submit a new Enrollment Form authorizing the new rate of payroll deductions at least fifteen days before the Purchase Date. A Participant may decrease or increase his or her rate of payroll deductions for future Offering Periods by submitting a new Enrollment Form authorizing the new rate of payroll deductions at least fifteen days before the start of the next Offering Period.</w:t>
      </w:r>
    </w:p>
    <w:p>
      <w:pPr>
        <w:spacing w:after="0" w:line="15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Automatic Re-enrollment</w:t>
      </w:r>
      <w:r>
        <w:rPr>
          <w:rFonts w:ascii="Arial" w:cs="Arial" w:eastAsia="Arial" w:hAnsi="Arial"/>
          <w:sz w:val="17"/>
          <w:szCs w:val="17"/>
          <w:color w:val="auto"/>
        </w:rPr>
        <w:t>. The deduction rate selected in the Enrollment Form shall remain in effect for subsequent Offering Periods unless the Participant (a) submits a new Enrollment Form authorizing a new level of payroll deductions in accordance with Section 6.2, (b) withdraws from the Plan in accordance with Section 10, or (c) terminates employment or otherwise becomes ineligible to participate in the Plan.</w:t>
      </w:r>
    </w:p>
    <w:p>
      <w:pPr>
        <w:spacing w:after="0" w:line="165" w:lineRule="exact"/>
        <w:rPr>
          <w:sz w:val="20"/>
          <w:szCs w:val="20"/>
          <w:color w:val="auto"/>
        </w:rPr>
      </w:pPr>
    </w:p>
    <w:p>
      <w:pPr>
        <w:jc w:val="both"/>
        <w:ind w:firstLine="332"/>
        <w:spacing w:after="0" w:line="259" w:lineRule="auto"/>
        <w:tabs>
          <w:tab w:leader="none" w:pos="50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On each Offering Date, each Participant in the applicable Offering Period shall be granted an option to purchase, on the Purchase Date, a number of shares of Common Stock determined by dividing the Participant’s accumulated payroll deductions by the applicable Purchase Price; provided, however, that in no event shall any Participant purchase more than 8,500 shares of Common Stock during an Offering Period (subject to adjustment in accordance with Section 18 and the limitations set forth in Section 13 of the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332"/>
        <w:spacing w:after="0" w:line="296" w:lineRule="auto"/>
        <w:tabs>
          <w:tab w:leader="none" w:pos="504"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Exercise of Option/Purchase of Shares</w:t>
      </w:r>
      <w:r>
        <w:rPr>
          <w:rFonts w:ascii="Arial" w:cs="Arial" w:eastAsia="Arial" w:hAnsi="Arial"/>
          <w:sz w:val="16"/>
          <w:szCs w:val="16"/>
          <w:color w:val="auto"/>
        </w:rPr>
        <w:t>. A Participant’s option to purchase shares of Common Stock will be exercised automatically on the Purchase Date of each Offering Period. The Participant’s accumulated payroll deductions will be used to purchase the maximum number of whole shares that can be purchased with the amounts in the Participant’s notional account. No fractional shares may be purchased but notional fractional shares of Common Stock will be allocated to the Participant’s ESPP Share Account to be aggregated with other notional fractional shares of Common Stock on future Purchase Dates, subject to earlier withdrawal by the Participant in accordance with Section 10 or termination of employment in accordance with Section 11.</w:t>
      </w:r>
    </w:p>
    <w:p>
      <w:pPr>
        <w:spacing w:after="0" w:line="161" w:lineRule="exact"/>
        <w:rPr>
          <w:rFonts w:ascii="Arial" w:cs="Arial" w:eastAsia="Arial" w:hAnsi="Arial"/>
          <w:sz w:val="16"/>
          <w:szCs w:val="16"/>
          <w:color w:val="auto"/>
        </w:rPr>
      </w:pPr>
    </w:p>
    <w:p>
      <w:pPr>
        <w:jc w:val="both"/>
        <w:ind w:firstLine="332"/>
        <w:spacing w:after="0" w:line="296" w:lineRule="auto"/>
        <w:tabs>
          <w:tab w:leader="none" w:pos="504"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Transfer of Shares</w:t>
      </w:r>
      <w:r>
        <w:rPr>
          <w:rFonts w:ascii="Arial" w:cs="Arial" w:eastAsia="Arial" w:hAnsi="Arial"/>
          <w:sz w:val="16"/>
          <w:szCs w:val="16"/>
          <w:color w:val="auto"/>
        </w:rPr>
        <w:t>. As soon as reasonably practicable after each Purchase Date, the Company will arrange for the delivery to each Participant of the shares of Common Stock purchased upon exercise of his or her option. The Committee may permit or require that the shares be deposited directly into an ESPP Share Account established in the name of the Participant with a Designated Broker and may require that the shares of Common Stock be retained with such Designated Broker for a specified period of time. Participants will not have any voting, dividend or other rights of a shareholder with respect to the shares of Common Stock subject to any option granted hereunder until such shares have been delivered pursuant to this Section 9.</w:t>
      </w:r>
    </w:p>
    <w:p>
      <w:pPr>
        <w:spacing w:after="0" w:line="161" w:lineRule="exact"/>
        <w:rPr>
          <w:rFonts w:ascii="Arial" w:cs="Arial" w:eastAsia="Arial" w:hAnsi="Arial"/>
          <w:sz w:val="16"/>
          <w:szCs w:val="16"/>
          <w:color w:val="auto"/>
        </w:rPr>
      </w:pPr>
    </w:p>
    <w:p>
      <w:pPr>
        <w:ind w:left="600" w:hanging="268"/>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w:t>
      </w:r>
    </w:p>
    <w:p>
      <w:pPr>
        <w:spacing w:after="0" w:line="225"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Withdrawal Procedure</w:t>
      </w:r>
      <w:r>
        <w:rPr>
          <w:rFonts w:ascii="Arial" w:cs="Arial" w:eastAsia="Arial" w:hAnsi="Arial"/>
          <w:sz w:val="18"/>
          <w:szCs w:val="18"/>
          <w:color w:val="auto"/>
        </w:rPr>
        <w:t>. A Participant may withdraw from an Offering by submitting to the Company a revised Enrollment Form indicating his or her election to withdraw at least fifteen days before the Purchase Date. The accumulated payroll deductions held on behalf of a Participant in his or her notional account (that have not been used to purchase shares of Common Stock) shall be paid to the Participant promptly following receipt of the Participant’s Enrollment Form indicating his or her election to withdraw and the Participant’s option shall be automatically terminated. If a Participant withdraws from an Offering Period, no payroll deductions will be made during any succeeding Offering Period, unless the Participant re-enrolls in accordance with Section 6.1 of the Plan.</w:t>
      </w:r>
    </w:p>
    <w:p>
      <w:pPr>
        <w:spacing w:after="0" w:line="192"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 on Succeeding Offering Periods</w:t>
      </w:r>
      <w:r>
        <w:rPr>
          <w:rFonts w:ascii="Arial" w:cs="Arial" w:eastAsia="Arial" w:hAnsi="Arial"/>
          <w:sz w:val="18"/>
          <w:szCs w:val="18"/>
          <w:color w:val="auto"/>
        </w:rPr>
        <w:t>. A Participant’s election to withdraw from an Offering Period will not have any effect upon his or her eligibility to participate in succeeding Offering Periods that commence following the completion of the Offering Period from which the Participant withdraws.</w:t>
      </w:r>
    </w:p>
    <w:p>
      <w:pPr>
        <w:spacing w:after="0" w:line="184" w:lineRule="exact"/>
        <w:rPr>
          <w:sz w:val="20"/>
          <w:szCs w:val="20"/>
          <w:color w:val="auto"/>
        </w:rPr>
      </w:pPr>
    </w:p>
    <w:p>
      <w:pPr>
        <w:jc w:val="both"/>
        <w:ind w:firstLine="332"/>
        <w:spacing w:after="0" w:line="254" w:lineRule="auto"/>
        <w:tabs>
          <w:tab w:leader="none" w:pos="60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Change in Employment Status</w:t>
      </w:r>
      <w:r>
        <w:rPr>
          <w:rFonts w:ascii="Arial" w:cs="Arial" w:eastAsia="Arial" w:hAnsi="Arial"/>
          <w:sz w:val="18"/>
          <w:szCs w:val="18"/>
          <w:color w:val="auto"/>
        </w:rPr>
        <w:t>. Upon termination of a Participant’s employment for any reason, including death, disability or retirement, or a change in the Participant’s employment status following which the Participant is no longer an Eligible Employee, which in either case occurs at least thirty days before the Purchase Date, the Participant will be deemed to have withdrawn from the Plan and the payroll deductions in the Participant’s notional account (that have not been used to purchase shares of Common Stock) shall be returned to the Participant, or in the case of the Participant’s death, to the person(s) entitled to such amounts under Section 17, and the Participant’s option shall be automatically terminated. If the Participant’s termination of employment or change in status occurs within thirty days before a Purchase Date, the accumulated payroll deductions shall be used to purchase shares on the Purchase Date.</w:t>
      </w:r>
    </w:p>
    <w:p>
      <w:pPr>
        <w:spacing w:after="0" w:line="194" w:lineRule="exact"/>
        <w:rPr>
          <w:rFonts w:ascii="Arial" w:cs="Arial" w:eastAsia="Arial" w:hAnsi="Arial"/>
          <w:sz w:val="18"/>
          <w:szCs w:val="18"/>
          <w:color w:val="auto"/>
        </w:rPr>
      </w:pPr>
    </w:p>
    <w:p>
      <w:pPr>
        <w:ind w:left="600" w:hanging="268"/>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or be payable with respect to the payroll deductions of a Participant in the Plan.</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Shares Reserved for Plan</w:t>
      </w:r>
      <w:r>
        <w:rPr>
          <w:rFonts w:ascii="Arial" w:cs="Arial" w:eastAsia="Arial" w:hAnsi="Arial"/>
          <w:sz w:val="18"/>
          <w:szCs w:val="18"/>
          <w:color w:val="auto"/>
        </w:rPr>
        <w:t>.</w:t>
      </w:r>
    </w:p>
    <w:p>
      <w:pPr>
        <w:spacing w:after="0" w:line="225"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Number of Shares</w:t>
      </w:r>
      <w:r>
        <w:rPr>
          <w:rFonts w:ascii="Arial" w:cs="Arial" w:eastAsia="Arial" w:hAnsi="Arial"/>
          <w:sz w:val="18"/>
          <w:szCs w:val="18"/>
          <w:color w:val="auto"/>
        </w:rPr>
        <w:t>. A total of 500,000 shares of Common Stock have been reserved as authorized for the grant of options under the Plan. The shares of Common Stock may be newly issued shares, treasury shares or shares acquired on the open market.</w:t>
      </w:r>
    </w:p>
    <w:p>
      <w:pPr>
        <w:spacing w:after="0" w:line="170" w:lineRule="exact"/>
        <w:rPr>
          <w:sz w:val="20"/>
          <w:szCs w:val="20"/>
          <w:color w:val="auto"/>
        </w:rPr>
      </w:pPr>
    </w:p>
    <w:p>
      <w:pPr>
        <w:jc w:val="both"/>
        <w:ind w:left="340" w:firstLine="324"/>
        <w:spacing w:after="0" w:line="272"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Over-subscribed Offerings</w:t>
      </w:r>
      <w:r>
        <w:rPr>
          <w:rFonts w:ascii="Arial" w:cs="Arial" w:eastAsia="Arial" w:hAnsi="Arial"/>
          <w:sz w:val="17"/>
          <w:szCs w:val="17"/>
          <w:color w:val="auto"/>
        </w:rPr>
        <w:t>. The number of shares of Common Stock which a Participant may purchase in an Offering under the Plan may be reduced if the Offering is over-subscribed. No option granted under the Plan shall permit a Participant to purchase shares of Common Stock which, if added together with the total number of shares of Common Stock purchased by all other Participants in such Offering would exceed the total number of shares of Common Stock remaining available under the Plan. If the Committee determines that, on a particular Purchase Date, the number of shares of Common Stock with respect to which options are to be exercised exceeds the number of shares of Common Stock then available under the Plan, the Company shall make a pro rata allocation of the shares of Common Stock remaining available for purchase in as uniform a manner as practicable and as the Committee determines to be equitable.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332"/>
        <w:spacing w:after="0" w:line="259" w:lineRule="auto"/>
        <w:tabs>
          <w:tab w:leader="none" w:pos="60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No payroll deductions credited to a Participant, nor any rights with respect to the exercise of an option or any rights to receive Common Stock hereunder may be assigned, transferred, pledged or otherwise disposed of in any way (other than by will, the laws of descent and distribution, or as provided in Section 17 hereof) by the Participant. Any attempt to assign, transfer, pledge or otherwise dispose of such rights or amounts shall be without effect.</w:t>
      </w:r>
    </w:p>
    <w:p>
      <w:pPr>
        <w:spacing w:after="0" w:line="186" w:lineRule="exact"/>
        <w:rPr>
          <w:rFonts w:ascii="Arial" w:cs="Arial" w:eastAsia="Arial" w:hAnsi="Arial"/>
          <w:sz w:val="18"/>
          <w:szCs w:val="18"/>
          <w:color w:val="auto"/>
        </w:rPr>
      </w:pPr>
    </w:p>
    <w:p>
      <w:pPr>
        <w:ind w:firstLine="332"/>
        <w:spacing w:after="0" w:line="308" w:lineRule="auto"/>
        <w:tabs>
          <w:tab w:leader="none" w:pos="607"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Application of Funds</w:t>
      </w:r>
      <w:r>
        <w:rPr>
          <w:rFonts w:ascii="Arial" w:cs="Arial" w:eastAsia="Arial" w:hAnsi="Arial"/>
          <w:sz w:val="17"/>
          <w:szCs w:val="17"/>
          <w:color w:val="auto"/>
        </w:rPr>
        <w:t>. All payroll deductions received or held by the Company under the Plan may be used by the Company for any corporate purpose to the extent permitted by applicable law, and the Company shall not be required to segregate such payroll deductions or contributions.</w:t>
      </w:r>
    </w:p>
    <w:p>
      <w:pPr>
        <w:spacing w:after="0" w:line="146" w:lineRule="exact"/>
        <w:rPr>
          <w:rFonts w:ascii="Arial" w:cs="Arial" w:eastAsia="Arial" w:hAnsi="Arial"/>
          <w:sz w:val="17"/>
          <w:szCs w:val="17"/>
          <w:color w:val="auto"/>
        </w:rPr>
      </w:pPr>
    </w:p>
    <w:p>
      <w:pPr>
        <w:jc w:val="both"/>
        <w:ind w:firstLine="332"/>
        <w:spacing w:after="0" w:line="263" w:lineRule="auto"/>
        <w:tabs>
          <w:tab w:leader="none" w:pos="60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Statements</w:t>
      </w:r>
      <w:r>
        <w:rPr>
          <w:rFonts w:ascii="Arial" w:cs="Arial" w:eastAsia="Arial" w:hAnsi="Arial"/>
          <w:sz w:val="18"/>
          <w:szCs w:val="18"/>
          <w:color w:val="auto"/>
        </w:rPr>
        <w:t>. Participants will be provided with statements at least annually which shall set forth the contributions made by the Participant to the Plan, the Purchase Price of any shares of Common Stock purchased with accumulated funds, the number of shares of Common Stock purchased, and any payroll deduction amounts remaining in the Participant’s notional account.</w:t>
      </w:r>
    </w:p>
    <w:p>
      <w:pPr>
        <w:spacing w:after="0" w:line="183" w:lineRule="exact"/>
        <w:rPr>
          <w:rFonts w:ascii="Arial" w:cs="Arial" w:eastAsia="Arial" w:hAnsi="Arial"/>
          <w:sz w:val="18"/>
          <w:szCs w:val="18"/>
          <w:color w:val="auto"/>
        </w:rPr>
      </w:pPr>
    </w:p>
    <w:p>
      <w:pPr>
        <w:jc w:val="both"/>
        <w:ind w:firstLine="332"/>
        <w:spacing w:after="0" w:line="301" w:lineRule="auto"/>
        <w:tabs>
          <w:tab w:leader="none" w:pos="59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A Participant may file, on forms supplied by the Committee, a written designation of beneficiary who is to receive any shares of Common Stock and cash in respect of any fractional shares of Common Stock, if any, from the Participant’s ESPP Share Account under the Plan in the event of such Participant’s death. In addition, a Participant may file a written designation of beneficiary who is to receive any cash withheld through payroll deductions and credited to the Participant’s notional account in the event of the Participant’s death prior to the Purchase Date of an Offering Period.</w:t>
      </w:r>
    </w:p>
    <w:p>
      <w:pPr>
        <w:spacing w:after="0" w:line="157" w:lineRule="exact"/>
        <w:rPr>
          <w:rFonts w:ascii="Arial" w:cs="Arial" w:eastAsia="Arial" w:hAnsi="Arial"/>
          <w:sz w:val="16"/>
          <w:szCs w:val="16"/>
          <w:color w:val="auto"/>
        </w:rPr>
      </w:pPr>
    </w:p>
    <w:p>
      <w:pPr>
        <w:ind w:left="600" w:hanging="268"/>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Dissolution or Liquidation; Corporate Transactions</w:t>
      </w:r>
      <w:r>
        <w:rPr>
          <w:rFonts w:ascii="Arial" w:cs="Arial" w:eastAsia="Arial" w:hAnsi="Arial"/>
          <w:sz w:val="18"/>
          <w:szCs w:val="18"/>
          <w:color w:val="auto"/>
        </w:rPr>
        <w:t>.</w:t>
      </w:r>
    </w:p>
    <w:p>
      <w:pPr>
        <w:spacing w:after="0" w:line="225"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Common Stock, or other property), recapitalization, stock split, reverse stock split, reorganization, merger, consolidation, split-up, spin-off, combination, repurchase, or exchange of Common Stock or other securities of the Company, or other change in the Company’s structure affecting the Common Stock occurs, then in order to prevent dilution or enlargement of the benefits or potential benefits intended to be made available under the Plan, the Committee will, in such manner as it deems equitable, adjust the number of shares and class of Common Stock that may be delivered under the Plan, the Purchase Price per share and the number of shares of Common Stock covered by each outstanding option under the Plan, and the numerical limits of Section 7 and Section 13.</w:t>
      </w:r>
    </w:p>
    <w:p>
      <w:pPr>
        <w:spacing w:after="0" w:line="164"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Unless otherwise determined by the Committee, in the event of a proposed dissolution or liquidation of the Company, any Offering Period then in progress will be shortened by setting a new Purchase Date and the Offering Period will end immediately prior to the proposed dissolution or liquidation. The new Purchase Date will be before the date of the Company’s proposed dissolution or liquidation. Before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10.</w:t>
      </w:r>
    </w:p>
    <w:p>
      <w:pPr>
        <w:spacing w:after="0" w:line="192"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 xml:space="preserve">18.3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In the event of a Corporate Transaction,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on which the Offering Period will end. The new Purchase Date will occur before the date of the Corporate Transaction. Prior to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10.</w:t>
      </w:r>
    </w:p>
    <w:p>
      <w:pPr>
        <w:spacing w:after="0" w:line="164" w:lineRule="exact"/>
        <w:rPr>
          <w:sz w:val="20"/>
          <w:szCs w:val="20"/>
          <w:color w:val="auto"/>
        </w:rPr>
      </w:pPr>
    </w:p>
    <w:p>
      <w:pPr>
        <w:ind w:left="600" w:hanging="268"/>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u w:val="single" w:color="auto"/>
          <w:color w:val="auto"/>
        </w:rPr>
        <w:t>Equal Rights and Privileges</w:t>
      </w:r>
      <w:r>
        <w:rPr>
          <w:rFonts w:ascii="Arial" w:cs="Arial" w:eastAsia="Arial" w:hAnsi="Arial"/>
          <w:sz w:val="18"/>
          <w:szCs w:val="18"/>
          <w:color w:val="auto"/>
        </w:rPr>
        <w:t>. Notwithstanding any provision of the Plan to the contrary and in accordance with Section 423 of the Code, all Eligible Employees who are granted options under the Plan shall have the same rights and privileges.</w:t>
      </w:r>
    </w:p>
    <w:p>
      <w:pPr>
        <w:spacing w:after="0" w:line="170"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Neither the Plan nor any compensation paid hereunder will confer on any Participant the right to continue as an Employee or in any other capacity.</w:t>
      </w:r>
    </w:p>
    <w:p>
      <w:pPr>
        <w:spacing w:after="0" w:line="170"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u w:val="single" w:color="auto"/>
          <w:color w:val="auto"/>
        </w:rPr>
        <w:t>Rights as Shareholder</w:t>
      </w:r>
      <w:r>
        <w:rPr>
          <w:rFonts w:ascii="Arial" w:cs="Arial" w:eastAsia="Arial" w:hAnsi="Arial"/>
          <w:sz w:val="18"/>
          <w:szCs w:val="18"/>
          <w:color w:val="auto"/>
        </w:rPr>
        <w:t>. A Participant will become a shareholder with respect to the shares of Common Stock that are purchased pursuant to options granted under the Plan when the shares are transferred to the Participant’s ESPP Share Account. A Participant will have no rights as a shareholder with respect to shares of Common Stock for which an election to participate in an Offering Period has been made until such Participant becomes a shareholder as provided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320"/>
        <w:spacing w:after="0"/>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Plan shall be binding on the Company and its successors and assigns.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u w:val="single" w:color="auto"/>
          <w:color w:val="auto"/>
        </w:rPr>
        <w:t>Entire Plan</w:t>
      </w:r>
      <w:r>
        <w:rPr>
          <w:rFonts w:ascii="Arial" w:cs="Arial" w:eastAsia="Arial" w:hAnsi="Arial"/>
          <w:sz w:val="18"/>
          <w:szCs w:val="18"/>
          <w:color w:val="auto"/>
        </w:rPr>
        <w:t>. This Plan constitutes the entire plan with respect to the subject matter hereof and supersedes all prior plans with respect to the subject matter hereof.</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19.6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The obligations of the Company with respect to payments under the Plan are subject to compliance with all applicable laws and regulations. Common Stock shall not be issued with respect to an option granted under the Plan unless the exercise of such option and the issuance and delivery of the shares of Common Stock pursuant thereto shall comply with all applicable provisions of law, including, without limitation, the Securities Act, the Exchange Act, and the requirements of any stock exchange upon which the shares may then be listed.</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19.7 </w:t>
      </w:r>
      <w:r>
        <w:rPr>
          <w:rFonts w:ascii="Arial" w:cs="Arial" w:eastAsia="Arial" w:hAnsi="Arial"/>
          <w:sz w:val="18"/>
          <w:szCs w:val="18"/>
          <w:u w:val="single" w:color="auto"/>
          <w:color w:val="auto"/>
        </w:rPr>
        <w:t>Notice of Disqualifying Dispositions</w:t>
      </w:r>
      <w:r>
        <w:rPr>
          <w:rFonts w:ascii="Arial" w:cs="Arial" w:eastAsia="Arial" w:hAnsi="Arial"/>
          <w:sz w:val="18"/>
          <w:szCs w:val="18"/>
          <w:color w:val="auto"/>
        </w:rPr>
        <w:t>. Each Participant shall give the Company prompt written notice of any disposition or other transfer of shares of Common Stock acquired pursuant to the exercise of an option acquired under the Plan, if such disposition or transfer is made within two years after the Offering Date or within one year after the Purchase Date.</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19.8 </w:t>
      </w:r>
      <w:r>
        <w:rPr>
          <w:rFonts w:ascii="Arial" w:cs="Arial" w:eastAsia="Arial" w:hAnsi="Arial"/>
          <w:sz w:val="18"/>
          <w:szCs w:val="18"/>
          <w:u w:val="single" w:color="auto"/>
          <w:color w:val="auto"/>
        </w:rPr>
        <w:t>Term of Plan</w:t>
      </w:r>
      <w:r>
        <w:rPr>
          <w:rFonts w:ascii="Arial" w:cs="Arial" w:eastAsia="Arial" w:hAnsi="Arial"/>
          <w:sz w:val="18"/>
          <w:szCs w:val="18"/>
          <w:color w:val="auto"/>
        </w:rPr>
        <w:t>. The Plan shall become effective on the Effective Date and, unless terminated earlier pursuant to Section 19.9, shall have a term of ten years.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19.9 </w:t>
      </w:r>
      <w:r>
        <w:rPr>
          <w:rFonts w:ascii="Arial" w:cs="Arial" w:eastAsia="Arial" w:hAnsi="Arial"/>
          <w:sz w:val="17"/>
          <w:szCs w:val="17"/>
          <w:u w:val="single" w:color="auto"/>
          <w:color w:val="auto"/>
        </w:rPr>
        <w:t>Amendment or Termination</w:t>
      </w:r>
      <w:r>
        <w:rPr>
          <w:rFonts w:ascii="Arial" w:cs="Arial" w:eastAsia="Arial" w:hAnsi="Arial"/>
          <w:sz w:val="17"/>
          <w:szCs w:val="17"/>
          <w:color w:val="auto"/>
        </w:rPr>
        <w:t>. The Committee may, in its sole discretion, amend, suspend or terminate the Plan at any time and for any reason. If the Plan is terminated, the Committee may elect to terminate all outstanding Offering Periods either immediately or once shares of Common Stock have been purchased on the next Purchase Date (which may, in the discretion of the Committee, be accelerated) or permit Offering Periods to expire in accordance with their terms (and subject to any adjustment in accordance with Section 18). If any Offering Period is terminated before its scheduled expiration, all amounts that have not been used to purchase shares of Common Stock will be returned to Participants (without interest, except as otherwise required by law) as soon as administratively practicable.</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19.10 </w:t>
      </w:r>
      <w:r>
        <w:rPr>
          <w:rFonts w:ascii="Arial" w:cs="Arial" w:eastAsia="Arial" w:hAnsi="Arial"/>
          <w:sz w:val="18"/>
          <w:szCs w:val="18"/>
          <w:u w:val="single" w:color="auto"/>
          <w:color w:val="auto"/>
        </w:rPr>
        <w:t>Applicable Law</w:t>
      </w:r>
      <w:r>
        <w:rPr>
          <w:rFonts w:ascii="Arial" w:cs="Arial" w:eastAsia="Arial" w:hAnsi="Arial"/>
          <w:sz w:val="18"/>
          <w:szCs w:val="18"/>
          <w:color w:val="auto"/>
        </w:rPr>
        <w:t>. The laws of the State of Nevada shall govern all questions concerning the construction, validity and interpretation of the Plan, without regard to such state’s conflict of law rules.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19.11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Plan shall be subject to approval by the shareholders of the Company within twelve (12) months before or after the date the Plan is adopted by the Board.</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19.12 </w:t>
      </w:r>
      <w:r>
        <w:rPr>
          <w:rFonts w:ascii="Arial" w:cs="Arial" w:eastAsia="Arial" w:hAnsi="Arial"/>
          <w:sz w:val="18"/>
          <w:szCs w:val="18"/>
          <w:u w:val="single" w:color="auto"/>
          <w:color w:val="auto"/>
        </w:rPr>
        <w:t>Section 423</w:t>
      </w:r>
      <w:r>
        <w:rPr>
          <w:rFonts w:ascii="Arial" w:cs="Arial" w:eastAsia="Arial" w:hAnsi="Arial"/>
          <w:sz w:val="18"/>
          <w:szCs w:val="18"/>
          <w:color w:val="auto"/>
        </w:rPr>
        <w:t>. The Plan is intended to qualify as an “employee stock purchase plan” under Section 423 of the Code. Any provision of the Plan that is inconsistent with Section 423 of the Code shall be reformed to comply with Section 423 of the Code.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19.13 </w:t>
      </w:r>
      <w:r>
        <w:rPr>
          <w:rFonts w:ascii="Arial" w:cs="Arial" w:eastAsia="Arial" w:hAnsi="Arial"/>
          <w:sz w:val="18"/>
          <w:szCs w:val="18"/>
          <w:u w:val="single" w:color="auto"/>
          <w:color w:val="auto"/>
        </w:rPr>
        <w:t>Withholding</w:t>
      </w:r>
      <w:r>
        <w:rPr>
          <w:rFonts w:ascii="Arial" w:cs="Arial" w:eastAsia="Arial" w:hAnsi="Arial"/>
          <w:sz w:val="18"/>
          <w:szCs w:val="18"/>
          <w:color w:val="auto"/>
        </w:rPr>
        <w:t>. To the extent required by applicable Federal, state or local law, a Participant must make arrangements satisfactory to the Company for the payment of any withholding or similar tax obligations that arise in connection with the Plan.</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 xml:space="preserve">19.14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Plan shall for any reason be held to be invalid or unenforceable, such invalidity or unenforceability shall not affect any other provision hereof, and the Plan shall be construed as if such invalid or unenforceable provision were omitted.</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19.15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sections herein are included solely for convenience and shall not affect the meaning of any of the provisions of the Plan.</w:t>
      </w: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Stock Option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[________], 20[__] by and between Agrify Corporation, a Nevada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[__________________]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 Date: 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per Share: 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 Shares: 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Ten years after the Grant Date.</w:t>
      </w:r>
    </w:p>
    <w:p>
      <w:pPr>
        <w:spacing w:after="0" w:line="211" w:lineRule="exact"/>
        <w:rPr>
          <w:sz w:val="20"/>
          <w:szCs w:val="20"/>
          <w:color w:val="auto"/>
        </w:rPr>
      </w:pPr>
    </w:p>
    <w:p>
      <w:pPr>
        <w:ind w:left="580" w:hanging="184"/>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1" w:lineRule="exact"/>
        <w:rPr>
          <w:sz w:val="20"/>
          <w:szCs w:val="20"/>
          <w:color w:val="auto"/>
        </w:rPr>
      </w:pPr>
    </w:p>
    <w:p>
      <w:pPr>
        <w:jc w:val="both"/>
        <w:ind w:left="400" w:firstLine="518"/>
        <w:spacing w:after="0" w:line="27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Grant; Type of Option</w:t>
      </w:r>
      <w:r>
        <w:rPr>
          <w:rFonts w:ascii="Arial" w:cs="Arial" w:eastAsia="Arial" w:hAnsi="Arial"/>
          <w:sz w:val="17"/>
          <w:szCs w:val="17"/>
          <w:color w:val="auto"/>
        </w:rPr>
        <w:t>. The Company hereby grants to the Participant an option (the “</w:t>
      </w:r>
      <w:r>
        <w:rPr>
          <w:rFonts w:ascii="Arial" w:cs="Arial" w:eastAsia="Arial" w:hAnsi="Arial"/>
          <w:sz w:val="17"/>
          <w:szCs w:val="17"/>
          <w:b w:val="1"/>
          <w:bCs w:val="1"/>
          <w:color w:val="auto"/>
        </w:rPr>
        <w:t>Option</w:t>
      </w:r>
      <w:r>
        <w:rPr>
          <w:rFonts w:ascii="Arial" w:cs="Arial" w:eastAsia="Arial" w:hAnsi="Arial"/>
          <w:sz w:val="17"/>
          <w:szCs w:val="17"/>
          <w:color w:val="auto"/>
        </w:rPr>
        <w:t>”) to purchase the total number of shares of Common Stock of the Company equal to the number of Option Shares set forth above, at the Exercise Price set forth above. The Option is being granted pursuant to the terms of the Company’s 2022 Omnibus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The Option is intended to be an Incentive Stock Option within the meaning of Section 422 of the Code, although the Company makes no representation or guarantee that the Option will qualify as an Incentive Stock Option. To the extent that the aggregate Fair Market Value (determined on the Grant Date) of the shares of Common Stock with respect to which Incentive Stock Options are exercisable for the first time by the Participant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176" w:lineRule="exact"/>
        <w:rPr>
          <w:sz w:val="20"/>
          <w:szCs w:val="20"/>
          <w:color w:val="auto"/>
        </w:rPr>
      </w:pPr>
    </w:p>
    <w:p>
      <w:pPr>
        <w:jc w:val="both"/>
        <w:ind w:left="400" w:firstLine="518"/>
        <w:spacing w:after="0" w:line="26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Consideration; Subject to Plan</w:t>
      </w:r>
      <w:r>
        <w:rPr>
          <w:rFonts w:ascii="Arial" w:cs="Arial" w:eastAsia="Arial" w:hAnsi="Arial"/>
          <w:sz w:val="18"/>
          <w:szCs w:val="18"/>
          <w:color w:val="auto"/>
        </w:rPr>
        <w:t>. The grant of the Option is made in consideration of the services to be rendered by the Participant to the Company and is subject to the terms and conditions of the Plan. Capitalized terms used but not defined herein will have the meaning ascribed to them in the Plan.</w:t>
      </w:r>
    </w:p>
    <w:p>
      <w:pPr>
        <w:spacing w:after="0" w:line="184" w:lineRule="exact"/>
        <w:rPr>
          <w:sz w:val="20"/>
          <w:szCs w:val="20"/>
          <w:color w:val="auto"/>
        </w:rPr>
      </w:pPr>
    </w:p>
    <w:p>
      <w:pPr>
        <w:ind w:left="580" w:hanging="184"/>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Exercise Period; Vesting</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Vesting Schedule</w:t>
      </w:r>
      <w:r>
        <w:rPr>
          <w:rFonts w:ascii="Arial" w:cs="Arial" w:eastAsia="Arial" w:hAnsi="Arial"/>
          <w:sz w:val="16"/>
          <w:szCs w:val="16"/>
          <w:color w:val="auto"/>
        </w:rPr>
        <w:t>. The Option will become vested and exercisable: [_________________], until the Option is 100% vested. The unvested</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portion of the Option will not be exercisable on or after the Participant’s termination of Continuous Service.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Expiration</w:t>
      </w:r>
      <w:r>
        <w:rPr>
          <w:rFonts w:ascii="Arial" w:cs="Arial" w:eastAsia="Arial" w:hAnsi="Arial"/>
          <w:sz w:val="18"/>
          <w:szCs w:val="18"/>
          <w:color w:val="auto"/>
        </w:rPr>
        <w:t>. The Option will expire on the Expiration Date set forth above, or earlier as provided in this Agreement or the Plan.</w:t>
      </w:r>
    </w:p>
    <w:p>
      <w:pPr>
        <w:spacing w:after="0" w:line="225" w:lineRule="exact"/>
        <w:rPr>
          <w:sz w:val="20"/>
          <w:szCs w:val="20"/>
          <w:color w:val="auto"/>
        </w:rPr>
      </w:pPr>
    </w:p>
    <w:p>
      <w:pPr>
        <w:ind w:left="580" w:hanging="184"/>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of Continuous Service</w:t>
      </w:r>
      <w:r>
        <w:rPr>
          <w:rFonts w:ascii="Arial" w:cs="Arial" w:eastAsia="Arial" w:hAnsi="Arial"/>
          <w:sz w:val="18"/>
          <w:szCs w:val="18"/>
          <w:color w:val="auto"/>
        </w:rPr>
        <w:t>.</w:t>
      </w:r>
    </w:p>
    <w:p>
      <w:pPr>
        <w:spacing w:after="0" w:line="225" w:lineRule="exact"/>
        <w:rPr>
          <w:sz w:val="20"/>
          <w:szCs w:val="20"/>
          <w:color w:val="auto"/>
        </w:rPr>
      </w:pPr>
    </w:p>
    <w:p>
      <w:pPr>
        <w:jc w:val="both"/>
        <w:ind w:left="400" w:right="20" w:firstLine="518"/>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Termination for Reasons Other Than Cause, Death, Disability</w:t>
      </w:r>
      <w:r>
        <w:rPr>
          <w:rFonts w:ascii="Arial" w:cs="Arial" w:eastAsia="Arial" w:hAnsi="Arial"/>
          <w:sz w:val="17"/>
          <w:szCs w:val="17"/>
          <w:color w:val="auto"/>
        </w:rPr>
        <w:t>. If the Participant’s Continuous Service is terminated for any reason other than Cause, death or Disability, the Participant may exercise the vested portion of the Option, but only within such period of time ending on the earlier of (a) the date ninety (90) days) following the termination of the Participant’s Continuous Service or (b) the Expiration Date.</w:t>
      </w:r>
    </w:p>
    <w:p>
      <w:pPr>
        <w:spacing w:after="0" w:line="165" w:lineRule="exact"/>
        <w:rPr>
          <w:sz w:val="20"/>
          <w:szCs w:val="20"/>
          <w:color w:val="auto"/>
        </w:rPr>
      </w:pPr>
    </w:p>
    <w:p>
      <w:pPr>
        <w:jc w:val="both"/>
        <w:ind w:left="400" w:firstLine="51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the Participant’s Continuous Service is terminated for Cause, the Option (whether vested or unvested) shall immediately terminate and cease to be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both"/>
        <w:ind w:left="4" w:firstLine="518"/>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If the Participant’s Continuous Service terminates as a result of the Participant’s Disability, the Participant may exercise the vested portion of the Option, but only within such period of time ending on the earlier of (a) the date 12 months following the Participant’s termination of Continuous Service or (b) the Expiration Date.</w:t>
      </w:r>
    </w:p>
    <w:p>
      <w:pPr>
        <w:spacing w:after="0" w:line="184" w:lineRule="exact"/>
        <w:rPr>
          <w:sz w:val="20"/>
          <w:szCs w:val="20"/>
          <w:color w:val="auto"/>
        </w:rPr>
      </w:pPr>
    </w:p>
    <w:p>
      <w:pPr>
        <w:jc w:val="both"/>
        <w:ind w:left="4" w:firstLine="51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Participant’s Continuous Service terminates as a result of the Participant’s death, the vested portion of the Option may be exercised by the Participant’s estate, by a person who acquired the right to exercise the Option by bequest or inheritance or by the person designated to exercise the Option upon the Participant’s death, but only within the time period ending on the earlier of (a) the date 12 months following the Participant’s death or (b) the Expiration Date.</w:t>
      </w:r>
    </w:p>
    <w:p>
      <w:pPr>
        <w:spacing w:after="0" w:line="187" w:lineRule="exact"/>
        <w:rPr>
          <w:sz w:val="20"/>
          <w:szCs w:val="20"/>
          <w:color w:val="auto"/>
        </w:rPr>
      </w:pPr>
    </w:p>
    <w:p>
      <w:pPr>
        <w:ind w:left="184" w:hanging="184"/>
        <w:spacing w:after="0"/>
        <w:tabs>
          <w:tab w:leader="none" w:pos="18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225" w:lineRule="exact"/>
        <w:rPr>
          <w:sz w:val="20"/>
          <w:szCs w:val="20"/>
          <w:color w:val="auto"/>
        </w:rPr>
      </w:pPr>
    </w:p>
    <w:p>
      <w:pPr>
        <w:jc w:val="both"/>
        <w:ind w:left="4" w:firstLine="518"/>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Election to Exercise</w:t>
      </w:r>
      <w:r>
        <w:rPr>
          <w:rFonts w:ascii="Arial" w:cs="Arial" w:eastAsia="Arial" w:hAnsi="Arial"/>
          <w:sz w:val="18"/>
          <w:szCs w:val="18"/>
          <w:color w:val="auto"/>
        </w:rPr>
        <w:t xml:space="preserve">. To exercise the Option, the Participant (or in the case of exercise after the Participant’s death or incapacity, the Participant’s executor, administrator, heir or legatee, as the case may be) must deliver to the Company a notice of intent to exercise in the manner designated by the Committee, which shall set forth, </w:t>
      </w:r>
      <w:r>
        <w:rPr>
          <w:rFonts w:ascii="Arial" w:cs="Arial" w:eastAsia="Arial" w:hAnsi="Arial"/>
          <w:sz w:val="18"/>
          <w:szCs w:val="18"/>
          <w:i w:val="1"/>
          <w:iCs w:val="1"/>
          <w:color w:val="auto"/>
        </w:rPr>
        <w:t>inter alia</w:t>
      </w:r>
      <w:r>
        <w:rPr>
          <w:rFonts w:ascii="Arial" w:cs="Arial" w:eastAsia="Arial" w:hAnsi="Arial"/>
          <w:sz w:val="18"/>
          <w:szCs w:val="18"/>
          <w:color w:val="auto"/>
        </w:rPr>
        <w:t>:</w:t>
      </w:r>
    </w:p>
    <w:p>
      <w:pPr>
        <w:spacing w:after="0" w:line="184" w:lineRule="exact"/>
        <w:rPr>
          <w:sz w:val="20"/>
          <w:szCs w:val="20"/>
          <w:color w:val="auto"/>
        </w:rPr>
      </w:pPr>
    </w:p>
    <w:p>
      <w:pPr>
        <w:ind w:left="1404" w:hanging="237"/>
        <w:spacing w:after="0"/>
        <w:tabs>
          <w:tab w:leader="none" w:pos="14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Participant’s election to exercise the Option;</w:t>
      </w:r>
    </w:p>
    <w:p>
      <w:pPr>
        <w:spacing w:after="0" w:line="225" w:lineRule="exact"/>
        <w:rPr>
          <w:rFonts w:ascii="Arial" w:cs="Arial" w:eastAsia="Arial" w:hAnsi="Arial"/>
          <w:sz w:val="18"/>
          <w:szCs w:val="18"/>
          <w:color w:val="auto"/>
        </w:rPr>
      </w:pPr>
    </w:p>
    <w:p>
      <w:pPr>
        <w:ind w:left="1424" w:hanging="257"/>
        <w:spacing w:after="0"/>
        <w:tabs>
          <w:tab w:leader="none" w:pos="1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shares of Common Stock being purchased;</w:t>
      </w:r>
    </w:p>
    <w:p>
      <w:pPr>
        <w:spacing w:after="0" w:line="225" w:lineRule="exact"/>
        <w:rPr>
          <w:rFonts w:ascii="Arial" w:cs="Arial" w:eastAsia="Arial" w:hAnsi="Arial"/>
          <w:sz w:val="18"/>
          <w:szCs w:val="18"/>
          <w:color w:val="auto"/>
        </w:rPr>
      </w:pPr>
    </w:p>
    <w:p>
      <w:pPr>
        <w:ind w:left="1404" w:hanging="237"/>
        <w:spacing w:after="0"/>
        <w:tabs>
          <w:tab w:leader="none" w:pos="14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restrictions imposed on the shares; and</w:t>
      </w:r>
    </w:p>
    <w:p>
      <w:pPr>
        <w:spacing w:after="0" w:line="225" w:lineRule="exact"/>
        <w:rPr>
          <w:rFonts w:ascii="Arial" w:cs="Arial" w:eastAsia="Arial" w:hAnsi="Arial"/>
          <w:sz w:val="18"/>
          <w:szCs w:val="18"/>
          <w:color w:val="auto"/>
        </w:rPr>
      </w:pPr>
    </w:p>
    <w:p>
      <w:pPr>
        <w:ind w:left="524" w:right="20" w:firstLine="643"/>
        <w:spacing w:after="0" w:line="277" w:lineRule="auto"/>
        <w:tabs>
          <w:tab w:leader="none" w:pos="14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representations, warranties and agreements regarding the Participant’s investment intent and access to information as may be required by the Company to comply with applicable securities laws.</w:t>
      </w:r>
    </w:p>
    <w:p>
      <w:pPr>
        <w:spacing w:after="0" w:line="170" w:lineRule="exact"/>
        <w:rPr>
          <w:sz w:val="20"/>
          <w:szCs w:val="20"/>
          <w:color w:val="auto"/>
        </w:rPr>
      </w:pPr>
    </w:p>
    <w:p>
      <w:pPr>
        <w:ind w:left="4" w:right="20" w:firstLine="1166"/>
        <w:spacing w:after="0" w:line="277" w:lineRule="auto"/>
        <w:rPr>
          <w:sz w:val="20"/>
          <w:szCs w:val="20"/>
          <w:color w:val="auto"/>
        </w:rPr>
      </w:pPr>
      <w:r>
        <w:rPr>
          <w:rFonts w:ascii="Arial" w:cs="Arial" w:eastAsia="Arial" w:hAnsi="Arial"/>
          <w:sz w:val="18"/>
          <w:szCs w:val="18"/>
          <w:color w:val="auto"/>
        </w:rPr>
        <w:t>If someone other than the Participant exercises the Option, then such person must submit documentation reasonably acceptable to the Company verifying that such person has the legal right to exercise the Option.</w:t>
      </w:r>
    </w:p>
    <w:p>
      <w:pPr>
        <w:spacing w:after="0" w:line="170" w:lineRule="exact"/>
        <w:rPr>
          <w:sz w:val="20"/>
          <w:szCs w:val="20"/>
          <w:color w:val="auto"/>
        </w:rPr>
      </w:pPr>
    </w:p>
    <w:p>
      <w:pPr>
        <w:ind w:left="4" w:firstLine="51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entire Exercise Price of the Option shall be payable in full at the time of exercise to the extent permitted by applicable statutes and regulations, subject to the discretion of the Committee at the time of such exercise, either:</w:t>
      </w:r>
    </w:p>
    <w:p>
      <w:pPr>
        <w:spacing w:after="0" w:line="170" w:lineRule="exact"/>
        <w:rPr>
          <w:sz w:val="20"/>
          <w:szCs w:val="20"/>
          <w:color w:val="auto"/>
        </w:rPr>
      </w:pPr>
    </w:p>
    <w:p>
      <w:pPr>
        <w:ind w:left="1404" w:hanging="237"/>
        <w:spacing w:after="0"/>
        <w:tabs>
          <w:tab w:leader="none" w:pos="14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cash or by certified or bank check at the time the Option is exercised;</w:t>
      </w:r>
    </w:p>
    <w:p>
      <w:pPr>
        <w:spacing w:after="0" w:line="225" w:lineRule="exact"/>
        <w:rPr>
          <w:rFonts w:ascii="Arial" w:cs="Arial" w:eastAsia="Arial" w:hAnsi="Arial"/>
          <w:sz w:val="18"/>
          <w:szCs w:val="18"/>
          <w:color w:val="auto"/>
        </w:rPr>
      </w:pPr>
    </w:p>
    <w:p>
      <w:pPr>
        <w:jc w:val="both"/>
        <w:ind w:left="524" w:firstLine="643"/>
        <w:spacing w:after="0" w:line="257" w:lineRule="auto"/>
        <w:tabs>
          <w:tab w:leader="none" w:pos="1444"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delivery to the Company of other shares of Common Stock, duly endorsed for transfer to the Company, with a Fair Market Value on the date of delivery equal to the Exercise Price (or portion thereof) due for the number of shares being acquired, or by means of attestation whereby the Participant identifies for delivery specific shares that have a Fair Market Value on the date of attestation equal to the Exercise Price (or portion thereof) and receives a number of shares equal to the difference between the number of shares thereby purchased and the number of identified attestation shares (a “</w:t>
      </w:r>
      <w:r>
        <w:rPr>
          <w:rFonts w:ascii="Arial" w:cs="Arial" w:eastAsia="Arial" w:hAnsi="Arial"/>
          <w:sz w:val="18"/>
          <w:szCs w:val="18"/>
          <w:b w:val="1"/>
          <w:bCs w:val="1"/>
          <w:color w:val="auto"/>
        </w:rPr>
        <w:t>Stock for Stock Exchange</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404" w:hanging="237"/>
        <w:spacing w:after="0"/>
        <w:tabs>
          <w:tab w:leader="none" w:pos="14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 “cashless exercise program” established with a broker;</w:t>
      </w:r>
    </w:p>
    <w:p>
      <w:pPr>
        <w:spacing w:after="0" w:line="225" w:lineRule="exact"/>
        <w:rPr>
          <w:rFonts w:ascii="Arial" w:cs="Arial" w:eastAsia="Arial" w:hAnsi="Arial"/>
          <w:sz w:val="18"/>
          <w:szCs w:val="18"/>
          <w:color w:val="auto"/>
        </w:rPr>
      </w:pPr>
    </w:p>
    <w:p>
      <w:pPr>
        <w:ind w:left="524" w:firstLine="643"/>
        <w:spacing w:after="0" w:line="277" w:lineRule="auto"/>
        <w:tabs>
          <w:tab w:leader="none" w:pos="14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reduction in the number of shares otherwise deliverable upon exercise of such Option with a Fair Market Value equal to the aggregate Exercise Price at the time of exercise;</w:t>
      </w:r>
    </w:p>
    <w:p>
      <w:pPr>
        <w:spacing w:after="0" w:line="170" w:lineRule="exact"/>
        <w:rPr>
          <w:rFonts w:ascii="Arial" w:cs="Arial" w:eastAsia="Arial" w:hAnsi="Arial"/>
          <w:sz w:val="18"/>
          <w:szCs w:val="18"/>
          <w:color w:val="auto"/>
        </w:rPr>
      </w:pPr>
    </w:p>
    <w:p>
      <w:pPr>
        <w:ind w:left="1404" w:hanging="237"/>
        <w:spacing w:after="0"/>
        <w:tabs>
          <w:tab w:leader="none" w:pos="14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any combination of the foregoing methods; or</w:t>
      </w:r>
    </w:p>
    <w:p>
      <w:pPr>
        <w:spacing w:after="0" w:line="225" w:lineRule="exact"/>
        <w:rPr>
          <w:rFonts w:ascii="Arial" w:cs="Arial" w:eastAsia="Arial" w:hAnsi="Arial"/>
          <w:sz w:val="18"/>
          <w:szCs w:val="18"/>
          <w:color w:val="auto"/>
        </w:rPr>
      </w:pPr>
    </w:p>
    <w:p>
      <w:pPr>
        <w:ind w:left="1484" w:hanging="317"/>
        <w:spacing w:after="0"/>
        <w:tabs>
          <w:tab w:leader="none" w:pos="14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any other form of legal consideration that may be acceptable to the Committee.</w:t>
      </w:r>
    </w:p>
    <w:p>
      <w:pPr>
        <w:spacing w:after="0" w:line="200" w:lineRule="exact"/>
        <w:rPr>
          <w:sz w:val="20"/>
          <w:szCs w:val="20"/>
          <w:color w:val="auto"/>
        </w:rPr>
      </w:pPr>
    </w:p>
    <w:p>
      <w:pPr>
        <w:spacing w:after="0" w:line="241"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4"/>
          </w:cols>
          <w:pgMar w:left="716" w:top="908" w:right="339" w:bottom="1440" w:gutter="0" w:footer="0" w:header="0"/>
        </w:sectPr>
      </w:pPr>
    </w:p>
    <w:bookmarkStart w:id="34" w:name="page35"/>
    <w:bookmarkEnd w:id="34"/>
    <w:p>
      <w:pPr>
        <w:jc w:val="both"/>
        <w:ind w:left="400" w:firstLine="51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Withholding</w:t>
      </w:r>
      <w:r>
        <w:rPr>
          <w:rFonts w:ascii="Arial" w:cs="Arial" w:eastAsia="Arial" w:hAnsi="Arial"/>
          <w:sz w:val="18"/>
          <w:szCs w:val="18"/>
          <w:color w:val="auto"/>
        </w:rPr>
        <w:t>. If the Company, in its discretion, determines that it is obligated to withhold any tax in connection with the exercise of the Option, the Participant must make arrangements satisfactory to the Company to pay or provide for any applicable federal, state and local withholding obligations of the Company. The Participant may satisfy any federal, state or local tax withholding obligation relating to the exercise of the Option by any of the following means, subject to the discretion of the Committee:</w:t>
      </w:r>
    </w:p>
    <w:p>
      <w:pPr>
        <w:spacing w:after="0" w:line="187" w:lineRule="exact"/>
        <w:rPr>
          <w:sz w:val="20"/>
          <w:szCs w:val="20"/>
          <w:color w:val="auto"/>
        </w:rPr>
      </w:pPr>
    </w:p>
    <w:p>
      <w:pPr>
        <w:ind w:left="1800" w:hanging="237"/>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tendering a cash payment;</w:t>
      </w:r>
    </w:p>
    <w:p>
      <w:pPr>
        <w:spacing w:after="0" w:line="225" w:lineRule="exact"/>
        <w:rPr>
          <w:rFonts w:ascii="Arial" w:cs="Arial" w:eastAsia="Arial" w:hAnsi="Arial"/>
          <w:sz w:val="18"/>
          <w:szCs w:val="18"/>
          <w:color w:val="auto"/>
        </w:rPr>
      </w:pPr>
    </w:p>
    <w:p>
      <w:pPr>
        <w:jc w:val="both"/>
        <w:ind w:left="920" w:firstLine="643"/>
        <w:spacing w:after="0" w:line="263" w:lineRule="auto"/>
        <w:tabs>
          <w:tab w:leader="none" w:pos="1851"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authorizing the Company to withhold shares of Common Stock from the shares of Common Stock otherwise issuable to the Participant as a result of the exercise of the Option;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shares of Common Stock are withheld with a value exceeding the maximum amount of tax required to be withheld by law; or</w:t>
      </w:r>
    </w:p>
    <w:p>
      <w:pPr>
        <w:spacing w:after="0" w:line="183" w:lineRule="exact"/>
        <w:rPr>
          <w:rFonts w:ascii="Arial" w:cs="Arial" w:eastAsia="Arial" w:hAnsi="Arial"/>
          <w:sz w:val="18"/>
          <w:szCs w:val="18"/>
          <w:color w:val="auto"/>
        </w:rPr>
      </w:pPr>
    </w:p>
    <w:p>
      <w:pPr>
        <w:ind w:left="1800" w:hanging="237"/>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delivering to the Company previously owned and unencumbered shares of Common Stock.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the right to withhold from any compensation paid to a Participant.</w:t>
      </w:r>
    </w:p>
    <w:p>
      <w:pPr>
        <w:spacing w:after="0" w:line="225" w:lineRule="exact"/>
        <w:rPr>
          <w:sz w:val="20"/>
          <w:szCs w:val="20"/>
          <w:color w:val="auto"/>
        </w:rPr>
      </w:pPr>
    </w:p>
    <w:p>
      <w:pPr>
        <w:jc w:val="both"/>
        <w:ind w:left="400" w:firstLine="518"/>
        <w:spacing w:after="0" w:line="30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Issuance of Shares</w:t>
      </w:r>
      <w:r>
        <w:rPr>
          <w:rFonts w:ascii="Arial" w:cs="Arial" w:eastAsia="Arial" w:hAnsi="Arial"/>
          <w:sz w:val="16"/>
          <w:szCs w:val="16"/>
          <w:color w:val="auto"/>
        </w:rPr>
        <w:t>. Provided that the exercise notice and payment are in form and substance satisfactory to the Company, the Company shall issue the shares of Common Stock registered in the name of the Participant, the Participant’s authorized assignee, or the Participant’s legal representative, which shall be evidenced by stock certificates representing the shares with the appropriate legends affixed thereto, appropriate entry on the books of the Company or of a duly authorized transfer agent, or other appropriate means as determined by the Company.</w:t>
      </w:r>
    </w:p>
    <w:p>
      <w:pPr>
        <w:spacing w:after="0" w:line="157" w:lineRule="exact"/>
        <w:rPr>
          <w:sz w:val="20"/>
          <w:szCs w:val="20"/>
          <w:color w:val="auto"/>
        </w:rPr>
      </w:pPr>
    </w:p>
    <w:p>
      <w:pPr>
        <w:jc w:val="both"/>
        <w:ind w:firstLine="396"/>
        <w:spacing w:after="0" w:line="255" w:lineRule="auto"/>
        <w:tabs>
          <w:tab w:leader="none" w:pos="56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No Rights as Shareholder</w:t>
      </w:r>
      <w:r>
        <w:rPr>
          <w:rFonts w:ascii="Arial" w:cs="Arial" w:eastAsia="Arial" w:hAnsi="Arial"/>
          <w:sz w:val="18"/>
          <w:szCs w:val="18"/>
          <w:color w:val="auto"/>
        </w:rPr>
        <w:t>. Neither the Plan nor this Agreement shall confer upon the Participant any right to be retained in any position, as an Employee, Consultant or Director of the Company. Further, nothing in the Plan or this Agreement shall be construed to limit the discretion of the Company to terminate the Participant’s Continuous Service at any time, with or without Cause. The Participant shall not have any rights as a shareholder with respect to any shares of Common Stock subject to the Option unless and until certificates representing the shares have been issued by the Company to the holder of such shares, or the shares have otherwise been recorded on the books of the Company or of a duly authorized transfer agent as owned by such holder.</w:t>
      </w:r>
    </w:p>
    <w:p>
      <w:pPr>
        <w:spacing w:after="0" w:line="192" w:lineRule="exact"/>
        <w:rPr>
          <w:rFonts w:ascii="Arial" w:cs="Arial" w:eastAsia="Arial" w:hAnsi="Arial"/>
          <w:sz w:val="18"/>
          <w:szCs w:val="18"/>
          <w:color w:val="auto"/>
        </w:rPr>
      </w:pPr>
    </w:p>
    <w:p>
      <w:pPr>
        <w:jc w:val="both"/>
        <w:ind w:firstLine="396"/>
        <w:spacing w:after="0" w:line="257" w:lineRule="auto"/>
        <w:tabs>
          <w:tab w:leader="none" w:pos="56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Option is not transferable by the Participant other than to a designated beneficiary upon the Participant’s death or by will or the laws of descent and distribution, and is exercisable during the Participant’s lifetime only by the Participant. No assignment or transfer of the Option, or the rights represented thereby, whether voluntary or involuntary, by operation of law or otherwise (except to a designated beneficiary upon death by will or the laws of descent or distribution) will vest in the assignee or transferee any interest or right herein whatsoever, but immediately upon such assignment or transfer the Option will terminate and become of no further effect.</w:t>
      </w:r>
    </w:p>
    <w:p>
      <w:pPr>
        <w:spacing w:after="0" w:line="187" w:lineRule="exact"/>
        <w:rPr>
          <w:rFonts w:ascii="Arial" w:cs="Arial" w:eastAsia="Arial" w:hAnsi="Arial"/>
          <w:sz w:val="18"/>
          <w:szCs w:val="18"/>
          <w:color w:val="auto"/>
        </w:rPr>
      </w:pPr>
    </w:p>
    <w:p>
      <w:pPr>
        <w:ind w:left="580" w:hanging="184"/>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25" w:lineRule="exact"/>
        <w:rPr>
          <w:sz w:val="20"/>
          <w:szCs w:val="20"/>
          <w:color w:val="auto"/>
        </w:rPr>
      </w:pPr>
    </w:p>
    <w:p>
      <w:pPr>
        <w:jc w:val="both"/>
        <w:ind w:left="400" w:firstLine="518"/>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Acceleration of Vesting</w:t>
      </w:r>
      <w:r>
        <w:rPr>
          <w:rFonts w:ascii="Arial" w:cs="Arial" w:eastAsia="Arial" w:hAnsi="Arial"/>
          <w:sz w:val="18"/>
          <w:szCs w:val="18"/>
          <w:color w:val="auto"/>
        </w:rPr>
        <w:t xml:space="preserve">. If a Change in Control occurs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Participant’s Continuous Service is terminated by the Company without Cause (other than for death or Disability) or by the Participant for Good Reason, in either case, within 12 months following the Change in Control, 100% of the shares subject to the Option shall become immediately vested and exercisable.</w:t>
      </w:r>
    </w:p>
    <w:p>
      <w:pPr>
        <w:spacing w:after="0" w:line="184" w:lineRule="exact"/>
        <w:rPr>
          <w:sz w:val="20"/>
          <w:szCs w:val="20"/>
          <w:color w:val="auto"/>
        </w:rPr>
      </w:pPr>
    </w:p>
    <w:p>
      <w:pPr>
        <w:jc w:val="both"/>
        <w:ind w:left="400" w:firstLine="51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Cash-out</w:t>
      </w:r>
      <w:r>
        <w:rPr>
          <w:rFonts w:ascii="Arial" w:cs="Arial" w:eastAsia="Arial" w:hAnsi="Arial"/>
          <w:sz w:val="18"/>
          <w:szCs w:val="18"/>
          <w:color w:val="auto"/>
        </w:rPr>
        <w:t>. In the event of a Change in Control, the Committee may, in its discretion and upon at least ten (10) days’ advance notice to the Participant, cancel the Option and pay to the Participant the value of the Option based upon the price per share of Common Stock received or to be received by other shareholders of the Company in the event. Notwithstanding the foregoing, if at the time of a Change in Control the Exercise Price of the Option equals or exceeds the price paid for a share of Common Stock in connection with the Change in Control, the Committee may cancel the Option without the payment of consideration therefor.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firstLine="396"/>
        <w:spacing w:after="0" w:line="277" w:lineRule="auto"/>
        <w:tabs>
          <w:tab w:leader="none" w:pos="56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shares of Common Stock subject to the Option may be adjusted or terminated in any manner as contemplated by Section 14 of the Plan.</w:t>
      </w:r>
    </w:p>
    <w:p>
      <w:pPr>
        <w:spacing w:after="0" w:line="170" w:lineRule="exact"/>
        <w:rPr>
          <w:rFonts w:ascii="Arial" w:cs="Arial" w:eastAsia="Arial" w:hAnsi="Arial"/>
          <w:sz w:val="18"/>
          <w:szCs w:val="18"/>
          <w:color w:val="auto"/>
        </w:rPr>
      </w:pPr>
    </w:p>
    <w:p>
      <w:pPr>
        <w:jc w:val="both"/>
        <w:ind w:firstLine="396"/>
        <w:spacing w:after="0" w:line="257" w:lineRule="auto"/>
        <w:tabs>
          <w:tab w:leader="none" w:pos="56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Tax Liability and Withholding</w:t>
      </w:r>
      <w:r>
        <w:rPr>
          <w:rFonts w:ascii="Arial" w:cs="Arial" w:eastAsia="Arial" w:hAnsi="Arial"/>
          <w:sz w:val="18"/>
          <w:szCs w:val="18"/>
          <w:color w:val="auto"/>
        </w:rPr>
        <w:t>. Notwithstanding any action the Company takes with respect to any or all income tax, social insurance, payroll tax, or other tax-related withholding (“</w:t>
      </w:r>
      <w:r>
        <w:rPr>
          <w:rFonts w:ascii="Arial" w:cs="Arial" w:eastAsia="Arial" w:hAnsi="Arial"/>
          <w:sz w:val="18"/>
          <w:szCs w:val="18"/>
          <w:b w:val="1"/>
          <w:bCs w:val="1"/>
          <w:color w:val="auto"/>
        </w:rPr>
        <w:t>Tax-Related Items</w:t>
      </w:r>
      <w:r>
        <w:rPr>
          <w:rFonts w:ascii="Arial" w:cs="Arial" w:eastAsia="Arial" w:hAnsi="Arial"/>
          <w:sz w:val="18"/>
          <w:szCs w:val="18"/>
          <w:color w:val="auto"/>
        </w:rPr>
        <w:t>”), the ultimate liability for all Tax-Related Items is and remains the Participant’s responsibility and the Company (a) makes no representation or undertakings regarding the treatment of any Tax-Related Items in connection with the grant, vesting, or exercise of the Option or the subsequent sale of any shares acquired on exercise; and (b) does not commit to structure the Option to reduce or eliminate the Participant’s liability for Tax-Related Items.</w:t>
      </w:r>
    </w:p>
    <w:p>
      <w:pPr>
        <w:spacing w:after="0" w:line="187" w:lineRule="exact"/>
        <w:rPr>
          <w:rFonts w:ascii="Arial" w:cs="Arial" w:eastAsia="Arial" w:hAnsi="Arial"/>
          <w:sz w:val="18"/>
          <w:szCs w:val="18"/>
          <w:color w:val="auto"/>
        </w:rPr>
      </w:pPr>
    </w:p>
    <w:p>
      <w:pPr>
        <w:jc w:val="both"/>
        <w:ind w:firstLine="396"/>
        <w:spacing w:after="0" w:line="273" w:lineRule="auto"/>
        <w:tabs>
          <w:tab w:leader="none" w:pos="671"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Qualification as an Incentive Stock Option</w:t>
      </w:r>
      <w:r>
        <w:rPr>
          <w:rFonts w:ascii="Arial" w:cs="Arial" w:eastAsia="Arial" w:hAnsi="Arial"/>
          <w:sz w:val="17"/>
          <w:szCs w:val="17"/>
          <w:color w:val="auto"/>
        </w:rPr>
        <w:t>. It is understood that this Option is intended to qualify as an incentive stock option as defined in Section 422 of the Code to the extent permitted under Applicable Law. Accordingly, the Participant understands that in order to obtain the benefits of an incentive stock option, no sale or other disposition may be made of shares for which incentive stock option treatment is desired within one (1) year following the date of exercise of the Option or within two (2) years from the Grant Date. The Participant understands and agrees that the Company shall not be liable or responsible for any additional tax liability the Participant incurs in the event that the Internal Revenue Service for any reason determines that this Option does not qualify as an incentive stock option within the meaning of the Code.</w:t>
      </w:r>
    </w:p>
    <w:p>
      <w:pPr>
        <w:spacing w:after="0" w:line="177" w:lineRule="exact"/>
        <w:rPr>
          <w:rFonts w:ascii="Arial" w:cs="Arial" w:eastAsia="Arial" w:hAnsi="Arial"/>
          <w:sz w:val="17"/>
          <w:szCs w:val="17"/>
          <w:color w:val="auto"/>
        </w:rPr>
      </w:pPr>
    </w:p>
    <w:p>
      <w:pPr>
        <w:jc w:val="both"/>
        <w:ind w:firstLine="396"/>
        <w:spacing w:after="0" w:line="301" w:lineRule="auto"/>
        <w:tabs>
          <w:tab w:leader="none" w:pos="651"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Disqualifying Disposition</w:t>
      </w:r>
      <w:r>
        <w:rPr>
          <w:rFonts w:ascii="Arial" w:cs="Arial" w:eastAsia="Arial" w:hAnsi="Arial"/>
          <w:sz w:val="16"/>
          <w:szCs w:val="16"/>
          <w:color w:val="auto"/>
        </w:rPr>
        <w:t>. If the Participant disposes of the shares of Common Stock prior to the expiration of either two (2) years from the Grant Date or one (1) year from the date the shares are transferred to the Participant pursuant to the exercise of the Option (a “</w:t>
      </w:r>
      <w:r>
        <w:rPr>
          <w:rFonts w:ascii="Arial" w:cs="Arial" w:eastAsia="Arial" w:hAnsi="Arial"/>
          <w:sz w:val="16"/>
          <w:szCs w:val="16"/>
          <w:b w:val="1"/>
          <w:bCs w:val="1"/>
          <w:color w:val="auto"/>
        </w:rPr>
        <w:t>Disqualifying Disposition</w:t>
      </w:r>
      <w:r>
        <w:rPr>
          <w:rFonts w:ascii="Arial" w:cs="Arial" w:eastAsia="Arial" w:hAnsi="Arial"/>
          <w:sz w:val="16"/>
          <w:szCs w:val="16"/>
          <w:color w:val="auto"/>
        </w:rPr>
        <w:t>”), the Participant shall notify the Company in writing within thirty (30) days after such disposition of the date and terms of such disposition. The Participant also agrees to provide the Company with any information concerning any such dispositions as the Company requires for tax purposes.</w:t>
      </w:r>
    </w:p>
    <w:p>
      <w:pPr>
        <w:spacing w:after="0" w:line="157" w:lineRule="exact"/>
        <w:rPr>
          <w:rFonts w:ascii="Arial" w:cs="Arial" w:eastAsia="Arial" w:hAnsi="Arial"/>
          <w:sz w:val="16"/>
          <w:szCs w:val="16"/>
          <w:color w:val="auto"/>
        </w:rPr>
      </w:pPr>
    </w:p>
    <w:p>
      <w:pPr>
        <w:jc w:val="both"/>
        <w:ind w:firstLine="396"/>
        <w:spacing w:after="0" w:line="257" w:lineRule="auto"/>
        <w:tabs>
          <w:tab w:leader="none" w:pos="67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By signing this Agreement, Participant acknowledges and agrees that the Option Shares subject to this Option or any Award previously granted to Participant by the Company or any parent, subsidiary, or affiliate of the Company shall be subject to forfeiture as a result of the Participant’s violation of any agreement with the Company regarding non-competition, non- solicitation, confidentiality, inventions, and/or other restrictive covenants (the “</w:t>
      </w:r>
      <w:r>
        <w:rPr>
          <w:rFonts w:ascii="Arial" w:cs="Arial" w:eastAsia="Arial" w:hAnsi="Arial"/>
          <w:sz w:val="18"/>
          <w:szCs w:val="18"/>
          <w:b w:val="1"/>
          <w:bCs w:val="1"/>
          <w:color w:val="auto"/>
        </w:rPr>
        <w:t>Restricted Covenant Agreements</w:t>
      </w:r>
      <w:r>
        <w:rPr>
          <w:rFonts w:ascii="Arial" w:cs="Arial" w:eastAsia="Arial" w:hAnsi="Arial"/>
          <w:sz w:val="18"/>
          <w:szCs w:val="18"/>
          <w:color w:val="auto"/>
        </w:rPr>
        <w:t>”). The Participant’s prior execution of the Restricted Covenant Agreements was a material inducement for the Company’s grant of the Option under this Agreement</w:t>
      </w:r>
    </w:p>
    <w:p>
      <w:pPr>
        <w:spacing w:after="0" w:line="187" w:lineRule="exact"/>
        <w:rPr>
          <w:rFonts w:ascii="Arial" w:cs="Arial" w:eastAsia="Arial" w:hAnsi="Arial"/>
          <w:sz w:val="18"/>
          <w:szCs w:val="18"/>
          <w:color w:val="auto"/>
        </w:rPr>
      </w:pPr>
    </w:p>
    <w:p>
      <w:pPr>
        <w:jc w:val="both"/>
        <w:ind w:firstLine="396"/>
        <w:spacing w:after="0" w:line="273" w:lineRule="auto"/>
        <w:tabs>
          <w:tab w:leader="none" w:pos="657"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Compliance with Law</w:t>
      </w:r>
      <w:r>
        <w:rPr>
          <w:rFonts w:ascii="Arial" w:cs="Arial" w:eastAsia="Arial" w:hAnsi="Arial"/>
          <w:sz w:val="17"/>
          <w:szCs w:val="17"/>
          <w:color w:val="auto"/>
        </w:rPr>
        <w:t>. The exercise of the Option and the issuance and transfer of shares of Common Stock shall be subject to compliance by the Company and the Participant with all applicable requirements of federal and state securities laws and with all applicable requirements of any stock exchange on which the Company’s shares of Common Stock may be listed. No shares of Common Stock shall be issued pursuant to this Option unless and until any then applicable requirements of state or federal laws and regulatory agencies have been fully complied with to the satisfaction of the Company and its counsel. The Participant understands that the Company is under no obligation to register the shares of Common Stock with the Securities and Exchange Commission, any state securities commission or any stock exchange to effect such compliance.</w:t>
      </w:r>
    </w:p>
    <w:p>
      <w:pPr>
        <w:spacing w:after="0" w:line="177" w:lineRule="exact"/>
        <w:rPr>
          <w:rFonts w:ascii="Arial" w:cs="Arial" w:eastAsia="Arial" w:hAnsi="Arial"/>
          <w:sz w:val="17"/>
          <w:szCs w:val="17"/>
          <w:color w:val="auto"/>
        </w:rPr>
      </w:pPr>
    </w:p>
    <w:p>
      <w:pPr>
        <w:jc w:val="both"/>
        <w:ind w:firstLine="396"/>
        <w:spacing w:after="0" w:line="259" w:lineRule="auto"/>
        <w:tabs>
          <w:tab w:leader="none" w:pos="67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to be delivered to the Company under this Agreement shall be in writing and addressed to the Secretary of the Company at the Company’s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186" w:lineRule="exact"/>
        <w:rPr>
          <w:rFonts w:ascii="Arial" w:cs="Arial" w:eastAsia="Arial" w:hAnsi="Arial"/>
          <w:sz w:val="18"/>
          <w:szCs w:val="18"/>
          <w:color w:val="auto"/>
        </w:rPr>
      </w:pPr>
    </w:p>
    <w:p>
      <w:pPr>
        <w:ind w:firstLine="396"/>
        <w:spacing w:after="0" w:line="277" w:lineRule="auto"/>
        <w:tabs>
          <w:tab w:leader="none" w:pos="65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construed and interpreted in accordance with the laws of the State of Nevada without regard to conflict of law principles.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firstLine="396"/>
        <w:spacing w:after="0" w:line="277" w:lineRule="auto"/>
        <w:tabs>
          <w:tab w:leader="none" w:pos="65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170" w:lineRule="exact"/>
        <w:rPr>
          <w:rFonts w:ascii="Arial" w:cs="Arial" w:eastAsia="Arial" w:hAnsi="Arial"/>
          <w:sz w:val="18"/>
          <w:szCs w:val="18"/>
          <w:color w:val="auto"/>
        </w:rPr>
      </w:pPr>
    </w:p>
    <w:p>
      <w:pPr>
        <w:jc w:val="both"/>
        <w:ind w:firstLine="396"/>
        <w:spacing w:after="0" w:line="286" w:lineRule="auto"/>
        <w:tabs>
          <w:tab w:leader="none" w:pos="657"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Options Subject to Plan</w:t>
      </w:r>
      <w:r>
        <w:rPr>
          <w:rFonts w:ascii="Arial" w:cs="Arial" w:eastAsia="Arial" w:hAnsi="Arial"/>
          <w:sz w:val="17"/>
          <w:szCs w:val="17"/>
          <w:color w:val="auto"/>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65" w:lineRule="exact"/>
        <w:rPr>
          <w:rFonts w:ascii="Arial" w:cs="Arial" w:eastAsia="Arial" w:hAnsi="Arial"/>
          <w:sz w:val="17"/>
          <w:szCs w:val="17"/>
          <w:color w:val="auto"/>
        </w:rPr>
      </w:pPr>
    </w:p>
    <w:p>
      <w:pPr>
        <w:jc w:val="both"/>
        <w:ind w:firstLine="396"/>
        <w:spacing w:after="0" w:line="259" w:lineRule="auto"/>
        <w:tabs>
          <w:tab w:leader="none" w:pos="65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Option may be transferred by will or the laws of descent or distribution.</w:t>
      </w:r>
    </w:p>
    <w:p>
      <w:pPr>
        <w:spacing w:after="0" w:line="186" w:lineRule="exact"/>
        <w:rPr>
          <w:rFonts w:ascii="Arial" w:cs="Arial" w:eastAsia="Arial" w:hAnsi="Arial"/>
          <w:sz w:val="18"/>
          <w:szCs w:val="18"/>
          <w:color w:val="auto"/>
        </w:rPr>
      </w:pPr>
    </w:p>
    <w:p>
      <w:pPr>
        <w:jc w:val="both"/>
        <w:ind w:firstLine="396"/>
        <w:spacing w:after="0" w:line="263" w:lineRule="auto"/>
        <w:tabs>
          <w:tab w:leader="none" w:pos="65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83" w:lineRule="exact"/>
        <w:rPr>
          <w:rFonts w:ascii="Arial" w:cs="Arial" w:eastAsia="Arial" w:hAnsi="Arial"/>
          <w:sz w:val="18"/>
          <w:szCs w:val="18"/>
          <w:color w:val="auto"/>
        </w:rPr>
      </w:pPr>
    </w:p>
    <w:p>
      <w:pPr>
        <w:jc w:val="both"/>
        <w:ind w:firstLine="397"/>
        <w:spacing w:after="0" w:line="259" w:lineRule="auto"/>
        <w:tabs>
          <w:tab w:leader="none" w:pos="68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Discretionary Nature of Plan</w:t>
      </w:r>
      <w:r>
        <w:rPr>
          <w:rFonts w:ascii="Arial" w:cs="Arial" w:eastAsia="Arial" w:hAnsi="Arial"/>
          <w:sz w:val="18"/>
          <w:szCs w:val="18"/>
          <w:color w:val="auto"/>
        </w:rPr>
        <w:t>. The Plan is discretionary and may be amended, cancelled or terminated by the Company at any time, in its discretion. The grant of the Option in this Agreement does not create any contractual right or other right to receive any Options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86" w:lineRule="exact"/>
        <w:rPr>
          <w:rFonts w:ascii="Arial" w:cs="Arial" w:eastAsia="Arial" w:hAnsi="Arial"/>
          <w:sz w:val="18"/>
          <w:szCs w:val="18"/>
          <w:color w:val="auto"/>
        </w:rPr>
      </w:pPr>
    </w:p>
    <w:p>
      <w:pPr>
        <w:ind w:right="20" w:firstLine="396"/>
        <w:spacing w:after="0" w:line="308" w:lineRule="auto"/>
        <w:tabs>
          <w:tab w:leader="none" w:pos="671"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The Committee has the right to amend, alter, suspend, discontinue or cancel the Option, prospectively or retroactively;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no such amendment shall adversely affect the Participant’s material rights under this Agreement without the Participant’s consent.</w:t>
      </w:r>
    </w:p>
    <w:p>
      <w:pPr>
        <w:spacing w:after="0" w:line="146" w:lineRule="exact"/>
        <w:rPr>
          <w:rFonts w:ascii="Arial" w:cs="Arial" w:eastAsia="Arial" w:hAnsi="Arial"/>
          <w:sz w:val="17"/>
          <w:szCs w:val="17"/>
          <w:color w:val="auto"/>
        </w:rPr>
      </w:pPr>
    </w:p>
    <w:p>
      <w:pPr>
        <w:ind w:firstLine="396"/>
        <w:spacing w:after="0" w:line="277" w:lineRule="auto"/>
        <w:tabs>
          <w:tab w:leader="none" w:pos="65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 Impact on Other Benefits</w:t>
      </w:r>
      <w:r>
        <w:rPr>
          <w:rFonts w:ascii="Arial" w:cs="Arial" w:eastAsia="Arial" w:hAnsi="Arial"/>
          <w:sz w:val="18"/>
          <w:szCs w:val="18"/>
          <w:color w:val="auto"/>
        </w:rPr>
        <w:t>. The value of the Participant’s Option is not part of the Participant’s normal or expected compensation for purposes of calculating any severance, retirement, welfare, insurance or similar employee benefit.</w:t>
      </w:r>
    </w:p>
    <w:p>
      <w:pPr>
        <w:spacing w:after="0" w:line="170" w:lineRule="exact"/>
        <w:rPr>
          <w:rFonts w:ascii="Arial" w:cs="Arial" w:eastAsia="Arial" w:hAnsi="Arial"/>
          <w:sz w:val="18"/>
          <w:szCs w:val="18"/>
          <w:color w:val="auto"/>
        </w:rPr>
      </w:pPr>
    </w:p>
    <w:p>
      <w:pPr>
        <w:jc w:val="both"/>
        <w:ind w:firstLine="396"/>
        <w:spacing w:after="0" w:line="259" w:lineRule="auto"/>
        <w:tabs>
          <w:tab w:leader="none" w:pos="65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86" w:lineRule="exact"/>
        <w:rPr>
          <w:rFonts w:ascii="Arial" w:cs="Arial" w:eastAsia="Arial" w:hAnsi="Arial"/>
          <w:sz w:val="18"/>
          <w:szCs w:val="18"/>
          <w:color w:val="auto"/>
        </w:rPr>
      </w:pPr>
    </w:p>
    <w:p>
      <w:pPr>
        <w:jc w:val="both"/>
        <w:ind w:firstLine="396"/>
        <w:spacing w:after="0" w:line="259" w:lineRule="auto"/>
        <w:tabs>
          <w:tab w:leader="none" w:pos="65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The Participant hereby acknowledges receipt of a copy of the Plan and this Agreement. The Participant has read and understands the terms and provisions thereof, and accepts the Option subject to all of the terms and conditions of the Plan and this Agreement. The Participant acknowledges that there may be adverse tax consequences upon exercise of the Option or disposition of the underlying shares and that the Participant should consult a tax advisor prior to such exercise or disposition.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AGRIFY CORPORATION</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154305</wp:posOffset>
            </wp:positionV>
            <wp:extent cx="2846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Stock Option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[________], 20[__] by and between Agrify Corporation, a Nevada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[__________________] (the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 Date: 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per Share: 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 Shares: 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Ten years after the Grant Date.</w:t>
      </w:r>
    </w:p>
    <w:p>
      <w:pPr>
        <w:spacing w:after="0" w:line="211" w:lineRule="exact"/>
        <w:rPr>
          <w:sz w:val="20"/>
          <w:szCs w:val="20"/>
          <w:color w:val="auto"/>
        </w:rPr>
      </w:pPr>
    </w:p>
    <w:p>
      <w:pPr>
        <w:ind w:left="580" w:hanging="184"/>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1" w:lineRule="exact"/>
        <w:rPr>
          <w:sz w:val="20"/>
          <w:szCs w:val="20"/>
          <w:color w:val="auto"/>
        </w:rPr>
      </w:pPr>
    </w:p>
    <w:p>
      <w:pPr>
        <w:jc w:val="both"/>
        <w:ind w:left="400" w:firstLine="518"/>
        <w:spacing w:after="0" w:line="281"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Grant; Type of Option</w:t>
      </w:r>
      <w:r>
        <w:rPr>
          <w:rFonts w:ascii="Arial" w:cs="Arial" w:eastAsia="Arial" w:hAnsi="Arial"/>
          <w:sz w:val="17"/>
          <w:szCs w:val="17"/>
          <w:color w:val="auto"/>
        </w:rPr>
        <w:t>. The Company hereby grants to the Participant an option (the “</w:t>
      </w:r>
      <w:r>
        <w:rPr>
          <w:rFonts w:ascii="Arial" w:cs="Arial" w:eastAsia="Arial" w:hAnsi="Arial"/>
          <w:sz w:val="17"/>
          <w:szCs w:val="17"/>
          <w:b w:val="1"/>
          <w:bCs w:val="1"/>
          <w:color w:val="auto"/>
        </w:rPr>
        <w:t>Option</w:t>
      </w:r>
      <w:r>
        <w:rPr>
          <w:rFonts w:ascii="Arial" w:cs="Arial" w:eastAsia="Arial" w:hAnsi="Arial"/>
          <w:sz w:val="17"/>
          <w:szCs w:val="17"/>
          <w:color w:val="auto"/>
        </w:rPr>
        <w:t>”) to purchase the total number of shares of Common Stock of the Company equal to the number of Option Shares set forth above, at the Exercise Price set forth above. The Option is being granted pursuant to the terms of the Company’s 2022 Omnibus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xml:space="preserve">”). The Option is intended to be a Non-qualified Stock Option and </w:t>
      </w:r>
      <w:r>
        <w:rPr>
          <w:rFonts w:ascii="Arial" w:cs="Arial" w:eastAsia="Arial" w:hAnsi="Arial"/>
          <w:sz w:val="17"/>
          <w:szCs w:val="17"/>
          <w:i w:val="1"/>
          <w:iCs w:val="1"/>
          <w:color w:val="auto"/>
        </w:rPr>
        <w:t>not</w:t>
      </w:r>
      <w:r>
        <w:rPr>
          <w:rFonts w:ascii="Arial" w:cs="Arial" w:eastAsia="Arial" w:hAnsi="Arial"/>
          <w:sz w:val="17"/>
          <w:szCs w:val="17"/>
          <w:color w:val="auto"/>
        </w:rPr>
        <w:t xml:space="preserve"> an Incentive Stock Option within the meaning of Section 422 of the Internal Revenue Code.</w:t>
      </w:r>
    </w:p>
    <w:p>
      <w:pPr>
        <w:spacing w:after="0" w:line="169" w:lineRule="exact"/>
        <w:rPr>
          <w:sz w:val="20"/>
          <w:szCs w:val="20"/>
          <w:color w:val="auto"/>
        </w:rPr>
      </w:pPr>
    </w:p>
    <w:p>
      <w:pPr>
        <w:jc w:val="both"/>
        <w:ind w:left="400" w:firstLine="518"/>
        <w:spacing w:after="0" w:line="26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Consideration; Subject to Plan</w:t>
      </w:r>
      <w:r>
        <w:rPr>
          <w:rFonts w:ascii="Arial" w:cs="Arial" w:eastAsia="Arial" w:hAnsi="Arial"/>
          <w:sz w:val="18"/>
          <w:szCs w:val="18"/>
          <w:color w:val="auto"/>
        </w:rPr>
        <w:t>. The grant of the Option is made in consideration of the services to be rendered by the Participant to the Company and is subject to the terms and conditions of the Plan. Capitalized terms used but not defined herein will have the meaning ascribed to them in the Plan.</w:t>
      </w:r>
    </w:p>
    <w:p>
      <w:pPr>
        <w:spacing w:after="0" w:line="184" w:lineRule="exact"/>
        <w:rPr>
          <w:sz w:val="20"/>
          <w:szCs w:val="20"/>
          <w:color w:val="auto"/>
        </w:rPr>
      </w:pPr>
    </w:p>
    <w:p>
      <w:pPr>
        <w:ind w:left="580" w:hanging="184"/>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Exercise Period; Vesting</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Vesting Schedule</w:t>
      </w:r>
      <w:r>
        <w:rPr>
          <w:rFonts w:ascii="Arial" w:cs="Arial" w:eastAsia="Arial" w:hAnsi="Arial"/>
          <w:sz w:val="16"/>
          <w:szCs w:val="16"/>
          <w:color w:val="auto"/>
        </w:rPr>
        <w:t>. The Option will become vested and exercisable: [__________________], until the Option is 100% vested. The unvested</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portion of the Option will not be exercisable on or after the Participant’s termination of Continuous Service.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Expiration</w:t>
      </w:r>
      <w:r>
        <w:rPr>
          <w:rFonts w:ascii="Arial" w:cs="Arial" w:eastAsia="Arial" w:hAnsi="Arial"/>
          <w:sz w:val="18"/>
          <w:szCs w:val="18"/>
          <w:color w:val="auto"/>
        </w:rPr>
        <w:t>. The Option will expire on the Expiration Date set forth above, or earlier as provided in this Agreement or the Plan.</w:t>
      </w:r>
    </w:p>
    <w:p>
      <w:pPr>
        <w:spacing w:after="0" w:line="225" w:lineRule="exact"/>
        <w:rPr>
          <w:sz w:val="20"/>
          <w:szCs w:val="20"/>
          <w:color w:val="auto"/>
        </w:rPr>
      </w:pPr>
    </w:p>
    <w:p>
      <w:pPr>
        <w:ind w:left="580" w:hanging="184"/>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Termination of Continuous Service</w:t>
      </w:r>
      <w:r>
        <w:rPr>
          <w:rFonts w:ascii="Arial" w:cs="Arial" w:eastAsia="Arial" w:hAnsi="Arial"/>
          <w:sz w:val="18"/>
          <w:szCs w:val="18"/>
          <w:color w:val="auto"/>
        </w:rPr>
        <w:t>.</w:t>
      </w:r>
    </w:p>
    <w:p>
      <w:pPr>
        <w:spacing w:after="0" w:line="225" w:lineRule="exact"/>
        <w:rPr>
          <w:sz w:val="20"/>
          <w:szCs w:val="20"/>
          <w:color w:val="auto"/>
        </w:rPr>
      </w:pPr>
    </w:p>
    <w:p>
      <w:pPr>
        <w:jc w:val="both"/>
        <w:ind w:left="400" w:firstLine="518"/>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Termination for Reasons Other Than Cause, Death, Disability</w:t>
      </w:r>
      <w:r>
        <w:rPr>
          <w:rFonts w:ascii="Arial" w:cs="Arial" w:eastAsia="Arial" w:hAnsi="Arial"/>
          <w:sz w:val="17"/>
          <w:szCs w:val="17"/>
          <w:color w:val="auto"/>
        </w:rPr>
        <w:t>. If the Participant’s Continuous Service is terminated for any reason other than Cause, death or Disability, the Participant may exercise the vested portion of the Option, but only within such period of time ending on the earlier of (a) the date ninety (90) days) following the termination of the Participant’s Continuous Service or (b)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both"/>
        <w:ind w:left="4" w:firstLine="51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the Participant’s Continuous Service is terminated for Cause, the Option (whether vested or unvested) shall immediately terminate and cease to be exercisable.</w:t>
      </w:r>
    </w:p>
    <w:p>
      <w:pPr>
        <w:spacing w:after="0" w:line="170" w:lineRule="exact"/>
        <w:rPr>
          <w:sz w:val="20"/>
          <w:szCs w:val="20"/>
          <w:color w:val="auto"/>
        </w:rPr>
      </w:pPr>
    </w:p>
    <w:p>
      <w:pPr>
        <w:jc w:val="both"/>
        <w:ind w:left="4" w:firstLine="518"/>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If the Participant’s Continuous Service terminates as a result of the Participant’s Disability, the Participant may exercise the vested portion of the Option, but only within such period of time ending on the earlier of (a) the date 12 months following the Participant’s termination of Continuous Service or (b) the Expiration Date.</w:t>
      </w:r>
    </w:p>
    <w:p>
      <w:pPr>
        <w:spacing w:after="0" w:line="184" w:lineRule="exact"/>
        <w:rPr>
          <w:sz w:val="20"/>
          <w:szCs w:val="20"/>
          <w:color w:val="auto"/>
        </w:rPr>
      </w:pPr>
    </w:p>
    <w:p>
      <w:pPr>
        <w:jc w:val="both"/>
        <w:ind w:left="4" w:firstLine="51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Participant’s Continuous Service terminates as a result of the Participant’s death, the vested portion of the Option may be exercised by the Participant’s estate, by a person who acquired the right to exercise the Option by bequest or inheritance or by the person designated to exercise the Option upon the Participant’s death, but only within the time period ending on the earlier of (a) the date 12 months following the Participant’s death or (b) the Expiration Date.</w:t>
      </w:r>
    </w:p>
    <w:p>
      <w:pPr>
        <w:spacing w:after="0" w:line="187" w:lineRule="exact"/>
        <w:rPr>
          <w:sz w:val="20"/>
          <w:szCs w:val="20"/>
          <w:color w:val="auto"/>
        </w:rPr>
      </w:pPr>
    </w:p>
    <w:p>
      <w:pPr>
        <w:ind w:left="184" w:hanging="184"/>
        <w:spacing w:after="0"/>
        <w:tabs>
          <w:tab w:leader="none" w:pos="18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225" w:lineRule="exact"/>
        <w:rPr>
          <w:sz w:val="20"/>
          <w:szCs w:val="20"/>
          <w:color w:val="auto"/>
        </w:rPr>
      </w:pPr>
    </w:p>
    <w:p>
      <w:pPr>
        <w:jc w:val="both"/>
        <w:ind w:left="4" w:firstLine="518"/>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Election to Exercise</w:t>
      </w:r>
      <w:r>
        <w:rPr>
          <w:rFonts w:ascii="Arial" w:cs="Arial" w:eastAsia="Arial" w:hAnsi="Arial"/>
          <w:sz w:val="18"/>
          <w:szCs w:val="18"/>
          <w:color w:val="auto"/>
        </w:rPr>
        <w:t xml:space="preserve">. To exercise the Option, the Participant (or in the case of exercise after the Participant’s death or incapacity, the Participant’s executor, administrator, heir or legatee, as the case may be) must deliver to the Company a notice of intent to exercise in the manner designated by the Committee, which shall set forth, </w:t>
      </w:r>
      <w:r>
        <w:rPr>
          <w:rFonts w:ascii="Arial" w:cs="Arial" w:eastAsia="Arial" w:hAnsi="Arial"/>
          <w:sz w:val="18"/>
          <w:szCs w:val="18"/>
          <w:i w:val="1"/>
          <w:iCs w:val="1"/>
          <w:color w:val="auto"/>
        </w:rPr>
        <w:t>inter alia</w:t>
      </w:r>
      <w:r>
        <w:rPr>
          <w:rFonts w:ascii="Arial" w:cs="Arial" w:eastAsia="Arial" w:hAnsi="Arial"/>
          <w:sz w:val="18"/>
          <w:szCs w:val="18"/>
          <w:color w:val="auto"/>
        </w:rPr>
        <w:t>:</w:t>
      </w:r>
    </w:p>
    <w:p>
      <w:pPr>
        <w:spacing w:after="0" w:line="184" w:lineRule="exact"/>
        <w:rPr>
          <w:sz w:val="20"/>
          <w:szCs w:val="20"/>
          <w:color w:val="auto"/>
        </w:rPr>
      </w:pPr>
    </w:p>
    <w:p>
      <w:pPr>
        <w:ind w:left="1404" w:hanging="237"/>
        <w:spacing w:after="0"/>
        <w:tabs>
          <w:tab w:leader="none" w:pos="14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Participant’s election to exercise the Option;</w:t>
      </w:r>
    </w:p>
    <w:p>
      <w:pPr>
        <w:spacing w:after="0" w:line="225" w:lineRule="exact"/>
        <w:rPr>
          <w:rFonts w:ascii="Arial" w:cs="Arial" w:eastAsia="Arial" w:hAnsi="Arial"/>
          <w:sz w:val="18"/>
          <w:szCs w:val="18"/>
          <w:color w:val="auto"/>
        </w:rPr>
      </w:pPr>
    </w:p>
    <w:p>
      <w:pPr>
        <w:ind w:left="1424" w:hanging="257"/>
        <w:spacing w:after="0"/>
        <w:tabs>
          <w:tab w:leader="none" w:pos="1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shares of Common Stock being purchased;</w:t>
      </w:r>
    </w:p>
    <w:p>
      <w:pPr>
        <w:spacing w:after="0" w:line="225" w:lineRule="exact"/>
        <w:rPr>
          <w:rFonts w:ascii="Arial" w:cs="Arial" w:eastAsia="Arial" w:hAnsi="Arial"/>
          <w:sz w:val="18"/>
          <w:szCs w:val="18"/>
          <w:color w:val="auto"/>
        </w:rPr>
      </w:pPr>
    </w:p>
    <w:p>
      <w:pPr>
        <w:ind w:left="1404" w:hanging="237"/>
        <w:spacing w:after="0"/>
        <w:tabs>
          <w:tab w:leader="none" w:pos="14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restrictions imposed on the shares; and</w:t>
      </w:r>
    </w:p>
    <w:p>
      <w:pPr>
        <w:spacing w:after="0" w:line="225" w:lineRule="exact"/>
        <w:rPr>
          <w:rFonts w:ascii="Arial" w:cs="Arial" w:eastAsia="Arial" w:hAnsi="Arial"/>
          <w:sz w:val="18"/>
          <w:szCs w:val="18"/>
          <w:color w:val="auto"/>
        </w:rPr>
      </w:pPr>
    </w:p>
    <w:p>
      <w:pPr>
        <w:ind w:left="524" w:right="20" w:firstLine="643"/>
        <w:spacing w:after="0" w:line="277" w:lineRule="auto"/>
        <w:tabs>
          <w:tab w:leader="none" w:pos="14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representations, warranties and agreements regarding the Participant’s investment intent and access to information as may be required by the Company to comply with applicable securities laws.</w:t>
      </w:r>
    </w:p>
    <w:p>
      <w:pPr>
        <w:spacing w:after="0" w:line="170" w:lineRule="exact"/>
        <w:rPr>
          <w:sz w:val="20"/>
          <w:szCs w:val="20"/>
          <w:color w:val="auto"/>
        </w:rPr>
      </w:pPr>
    </w:p>
    <w:p>
      <w:pPr>
        <w:ind w:left="4" w:right="20" w:firstLine="1166"/>
        <w:spacing w:after="0" w:line="277" w:lineRule="auto"/>
        <w:rPr>
          <w:sz w:val="20"/>
          <w:szCs w:val="20"/>
          <w:color w:val="auto"/>
        </w:rPr>
      </w:pPr>
      <w:r>
        <w:rPr>
          <w:rFonts w:ascii="Arial" w:cs="Arial" w:eastAsia="Arial" w:hAnsi="Arial"/>
          <w:sz w:val="18"/>
          <w:szCs w:val="18"/>
          <w:color w:val="auto"/>
        </w:rPr>
        <w:t>If someone other than the Participant exercises the Option, then such person must submit documentation reasonably acceptable to the Company verifying that such person has the legal right to exercise the Option.</w:t>
      </w:r>
    </w:p>
    <w:p>
      <w:pPr>
        <w:spacing w:after="0" w:line="170" w:lineRule="exact"/>
        <w:rPr>
          <w:sz w:val="20"/>
          <w:szCs w:val="20"/>
          <w:color w:val="auto"/>
        </w:rPr>
      </w:pPr>
    </w:p>
    <w:p>
      <w:pPr>
        <w:ind w:left="4" w:firstLine="51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entire Exercise Price of the Option shall be payable in full at the time of exercise to the extent permitted by applicable statutes and regulations, subject to the discretion of the Committee at the time of such exercise, either:</w:t>
      </w:r>
    </w:p>
    <w:p>
      <w:pPr>
        <w:spacing w:after="0" w:line="170" w:lineRule="exact"/>
        <w:rPr>
          <w:sz w:val="20"/>
          <w:szCs w:val="20"/>
          <w:color w:val="auto"/>
        </w:rPr>
      </w:pPr>
    </w:p>
    <w:p>
      <w:pPr>
        <w:ind w:left="1404" w:hanging="237"/>
        <w:spacing w:after="0"/>
        <w:tabs>
          <w:tab w:leader="none" w:pos="14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cash or by certified or bank check at the time the Option is exercised;</w:t>
      </w:r>
    </w:p>
    <w:p>
      <w:pPr>
        <w:spacing w:after="0" w:line="225" w:lineRule="exact"/>
        <w:rPr>
          <w:rFonts w:ascii="Arial" w:cs="Arial" w:eastAsia="Arial" w:hAnsi="Arial"/>
          <w:sz w:val="18"/>
          <w:szCs w:val="18"/>
          <w:color w:val="auto"/>
        </w:rPr>
      </w:pPr>
    </w:p>
    <w:p>
      <w:pPr>
        <w:jc w:val="both"/>
        <w:ind w:left="524" w:firstLine="643"/>
        <w:spacing w:after="0" w:line="257" w:lineRule="auto"/>
        <w:tabs>
          <w:tab w:leader="none" w:pos="14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by delivery to the Company of other shares of Common Stock, duly endorsed for transfer to the Company, with a Fair Market Value on the date of delivery equal to the Exercise Price (or portion thereof) due for the number of shares being acquired, or by means of attestation whereby the Participant identifies for delivery specific shares that have a Fair Market Value on the date of attestation equal to the Exercise Price (or portion thereof) and receives a number of shares equal to the difference between the number of shares thereby purchased and the number of identified attestation shares (a “</w:t>
      </w:r>
      <w:r>
        <w:rPr>
          <w:rFonts w:ascii="Arial" w:cs="Arial" w:eastAsia="Arial" w:hAnsi="Arial"/>
          <w:sz w:val="18"/>
          <w:szCs w:val="18"/>
          <w:b w:val="1"/>
          <w:bCs w:val="1"/>
          <w:color w:val="auto"/>
        </w:rPr>
        <w:t>Stock for Stock Exchange</w:t>
      </w:r>
      <w:r>
        <w:rPr>
          <w:rFonts w:ascii="Arial" w:cs="Arial" w:eastAsia="Arial" w:hAnsi="Arial"/>
          <w:sz w:val="18"/>
          <w:szCs w:val="18"/>
          <w:color w:val="auto"/>
        </w:rPr>
        <w:t>”);</w:t>
      </w:r>
    </w:p>
    <w:p>
      <w:pPr>
        <w:spacing w:after="0" w:line="397" w:lineRule="exact"/>
        <w:rPr>
          <w:sz w:val="20"/>
          <w:szCs w:val="20"/>
          <w:color w:val="auto"/>
        </w:rPr>
      </w:pPr>
    </w:p>
    <w:p>
      <w:pPr>
        <w:jc w:val="center"/>
        <w:ind w:right="376"/>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4"/>
          </w:cols>
          <w:pgMar w:left="716" w:top="908" w:right="339" w:bottom="1440" w:gutter="0" w:footer="0" w:header="0"/>
        </w:sectPr>
      </w:pPr>
    </w:p>
    <w:bookmarkStart w:id="40" w:name="page41"/>
    <w:bookmarkEnd w:id="40"/>
    <w:p>
      <w:pPr>
        <w:ind w:left="1400" w:hanging="237"/>
        <w:spacing w:after="0"/>
        <w:tabs>
          <w:tab w:leader="none" w:pos="1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a “cashless exercise program” established with a broker;</w:t>
      </w:r>
    </w:p>
    <w:p>
      <w:pPr>
        <w:spacing w:after="0" w:line="225" w:lineRule="exact"/>
        <w:rPr>
          <w:rFonts w:ascii="Arial" w:cs="Arial" w:eastAsia="Arial" w:hAnsi="Arial"/>
          <w:sz w:val="18"/>
          <w:szCs w:val="18"/>
          <w:color w:val="auto"/>
        </w:rPr>
      </w:pPr>
    </w:p>
    <w:p>
      <w:pPr>
        <w:ind w:left="520" w:firstLine="643"/>
        <w:spacing w:after="0" w:line="277" w:lineRule="auto"/>
        <w:tabs>
          <w:tab w:leader="none" w:pos="14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reduction in the number of shares otherwise deliverable upon exercise of such Option with a Fair Market Value equal to the aggregate Exercise Price at the time of exercise;</w:t>
      </w:r>
    </w:p>
    <w:p>
      <w:pPr>
        <w:spacing w:after="0" w:line="170" w:lineRule="exact"/>
        <w:rPr>
          <w:rFonts w:ascii="Arial" w:cs="Arial" w:eastAsia="Arial" w:hAnsi="Arial"/>
          <w:sz w:val="18"/>
          <w:szCs w:val="18"/>
          <w:color w:val="auto"/>
        </w:rPr>
      </w:pPr>
    </w:p>
    <w:p>
      <w:pPr>
        <w:ind w:left="1400" w:hanging="237"/>
        <w:spacing w:after="0"/>
        <w:tabs>
          <w:tab w:leader="none" w:pos="1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any combination of the foregoing methods; or</w:t>
      </w:r>
    </w:p>
    <w:p>
      <w:pPr>
        <w:spacing w:after="0" w:line="225" w:lineRule="exact"/>
        <w:rPr>
          <w:rFonts w:ascii="Arial" w:cs="Arial" w:eastAsia="Arial" w:hAnsi="Arial"/>
          <w:sz w:val="18"/>
          <w:szCs w:val="18"/>
          <w:color w:val="auto"/>
        </w:rPr>
      </w:pPr>
    </w:p>
    <w:p>
      <w:pPr>
        <w:ind w:left="1380" w:hanging="217"/>
        <w:spacing w:after="0"/>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any other form of legal consideration that may be acceptable to the Committee.</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Withholding</w:t>
      </w:r>
      <w:r>
        <w:rPr>
          <w:rFonts w:ascii="Arial" w:cs="Arial" w:eastAsia="Arial" w:hAnsi="Arial"/>
          <w:sz w:val="18"/>
          <w:szCs w:val="18"/>
          <w:color w:val="auto"/>
        </w:rPr>
        <w:t>. Prior to the issuance of shares upon the exercise of the Option, the Participant must make arrangements satisfactory to the Company to pay or provide for any applicable federal, state and local withholding obligations of the Company. The Participant may satisfy any federal, state or local tax withholding obligation relating to the exercise of the Option by any of the following means, subject to the discretion of the Committee:</w:t>
      </w:r>
    </w:p>
    <w:p>
      <w:pPr>
        <w:spacing w:after="0" w:line="187" w:lineRule="exact"/>
        <w:rPr>
          <w:sz w:val="20"/>
          <w:szCs w:val="20"/>
          <w:color w:val="auto"/>
        </w:rPr>
      </w:pPr>
    </w:p>
    <w:p>
      <w:pPr>
        <w:ind w:left="1400" w:hanging="237"/>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tendering a cash payment;</w:t>
      </w:r>
    </w:p>
    <w:p>
      <w:pPr>
        <w:spacing w:after="0" w:line="225" w:lineRule="exact"/>
        <w:rPr>
          <w:rFonts w:ascii="Arial" w:cs="Arial" w:eastAsia="Arial" w:hAnsi="Arial"/>
          <w:sz w:val="18"/>
          <w:szCs w:val="18"/>
          <w:color w:val="auto"/>
        </w:rPr>
      </w:pPr>
    </w:p>
    <w:p>
      <w:pPr>
        <w:jc w:val="both"/>
        <w:ind w:left="520" w:firstLine="643"/>
        <w:spacing w:after="0" w:line="263" w:lineRule="auto"/>
        <w:tabs>
          <w:tab w:leader="none" w:pos="1451"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authorizing the Company to withhold shares of Common Stock from the shares of Common Stock otherwise issuable to the Participant as a result of the exercise of the Option;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shares of Common Stock are withheld with a value exceeding the maximum amount of tax required to be withheld by law; or</w:t>
      </w:r>
    </w:p>
    <w:p>
      <w:pPr>
        <w:spacing w:after="0" w:line="183" w:lineRule="exact"/>
        <w:rPr>
          <w:rFonts w:ascii="Arial" w:cs="Arial" w:eastAsia="Arial" w:hAnsi="Arial"/>
          <w:sz w:val="18"/>
          <w:szCs w:val="18"/>
          <w:color w:val="auto"/>
        </w:rPr>
      </w:pPr>
    </w:p>
    <w:p>
      <w:pPr>
        <w:ind w:left="1400" w:hanging="237"/>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delivering to the Company previously owned and unencumbered shares of Common Stock.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the right to withhold from any compensation paid to a Participant.</w:t>
      </w:r>
    </w:p>
    <w:p>
      <w:pPr>
        <w:spacing w:after="0" w:line="225" w:lineRule="exact"/>
        <w:rPr>
          <w:sz w:val="20"/>
          <w:szCs w:val="20"/>
          <w:color w:val="auto"/>
        </w:rPr>
      </w:pPr>
    </w:p>
    <w:p>
      <w:pPr>
        <w:jc w:val="both"/>
        <w:ind w:firstLine="518"/>
        <w:spacing w:after="0" w:line="30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Issuance of Shares</w:t>
      </w:r>
      <w:r>
        <w:rPr>
          <w:rFonts w:ascii="Arial" w:cs="Arial" w:eastAsia="Arial" w:hAnsi="Arial"/>
          <w:sz w:val="16"/>
          <w:szCs w:val="16"/>
          <w:color w:val="auto"/>
        </w:rPr>
        <w:t>. Provided that the exercise notice and payment are in form and substance satisfactory to the Company, the Company shall issue the shares of Common Stock registered in the name of the Participant, the Participant’s authorized assignee, or the Participant’s legal representative, which shall be evidenced by stock certificates representing the shares with the appropriate legends affixed thereto, appropriate entry on the books of the Company or of a duly authorized transfer agent, or other appropriate means as determined by the Company.</w:t>
      </w:r>
    </w:p>
    <w:p>
      <w:pPr>
        <w:spacing w:after="0" w:line="366"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908" w:right="339" w:bottom="1440" w:gutter="0" w:footer="0" w:header="0"/>
        </w:sectPr>
      </w:pPr>
    </w:p>
    <w:bookmarkStart w:id="41" w:name="page42"/>
    <w:bookmarkEnd w:id="41"/>
    <w:p>
      <w:pPr>
        <w:jc w:val="both"/>
        <w:ind w:firstLine="397"/>
        <w:spacing w:after="0" w:line="255" w:lineRule="auto"/>
        <w:tabs>
          <w:tab w:leader="none" w:pos="569"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No Rights as Shareholder</w:t>
      </w:r>
      <w:r>
        <w:rPr>
          <w:rFonts w:ascii="Arial" w:cs="Arial" w:eastAsia="Arial" w:hAnsi="Arial"/>
          <w:sz w:val="18"/>
          <w:szCs w:val="18"/>
          <w:color w:val="auto"/>
        </w:rPr>
        <w:t>. Neither the Plan nor this Agreement shall confer upon the Participant any right to be retained in any position, as an Employee, Consultant or Director of the Company. Further, nothing in the Plan or this Agreement shall be construed to limit the discretion of the Company to terminate the Participant’s Continuous Service at any time, with or without Cause. The Participant shall not have any rights as a shareholder with respect to any shares of Common Stock subject to the Option unless and until certificates representing the shares have been issued by the Company to the holder of such shares, or the shares have otherwise been recorded on the books of the Company or of a duly authorized transfer agent as owned by such holder.</w:t>
      </w:r>
    </w:p>
    <w:p>
      <w:pPr>
        <w:spacing w:after="0" w:line="192" w:lineRule="exact"/>
        <w:rPr>
          <w:rFonts w:ascii="Arial" w:cs="Arial" w:eastAsia="Arial" w:hAnsi="Arial"/>
          <w:sz w:val="18"/>
          <w:szCs w:val="18"/>
          <w:color w:val="auto"/>
        </w:rPr>
      </w:pPr>
    </w:p>
    <w:p>
      <w:pPr>
        <w:jc w:val="both"/>
        <w:ind w:firstLine="396"/>
        <w:spacing w:after="0" w:line="257" w:lineRule="auto"/>
        <w:tabs>
          <w:tab w:leader="none" w:pos="56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Option is not transferable by the Participant other than to a designated beneficiary upon the Participant’s death or by will or the laws of descent and distribution, and is exercisable during the Participant’s lifetime only by the Participant. No assignment or transfer of the Option, or the rights represented thereby, whether voluntary or involuntary, by operation of law or otherwise (except to a designated beneficiary upon death by will or the laws of descent or distribution) will vest in the assignee or transferee any interest or right herein whatsoever, but immediately upon such assignment or transfer the Option will terminate and become of no further effect.</w:t>
      </w:r>
    </w:p>
    <w:p>
      <w:pPr>
        <w:spacing w:after="0" w:line="187" w:lineRule="exact"/>
        <w:rPr>
          <w:rFonts w:ascii="Arial" w:cs="Arial" w:eastAsia="Arial" w:hAnsi="Arial"/>
          <w:sz w:val="18"/>
          <w:szCs w:val="18"/>
          <w:color w:val="auto"/>
        </w:rPr>
      </w:pPr>
    </w:p>
    <w:p>
      <w:pPr>
        <w:ind w:left="580" w:hanging="184"/>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25" w:lineRule="exact"/>
        <w:rPr>
          <w:sz w:val="20"/>
          <w:szCs w:val="20"/>
          <w:color w:val="auto"/>
        </w:rPr>
      </w:pPr>
    </w:p>
    <w:p>
      <w:pPr>
        <w:jc w:val="both"/>
        <w:ind w:left="400" w:firstLine="518"/>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Acceleration of Vesting</w:t>
      </w:r>
      <w:r>
        <w:rPr>
          <w:rFonts w:ascii="Arial" w:cs="Arial" w:eastAsia="Arial" w:hAnsi="Arial"/>
          <w:sz w:val="18"/>
          <w:szCs w:val="18"/>
          <w:color w:val="auto"/>
        </w:rPr>
        <w:t xml:space="preserve">. If a Change in Control occurs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Participant’s Continuous Service is terminated by the Company without Cause (other than for death or Disability) or by the Participant for Good Reason, in either case, within 12 months following the Change in Control, 100% of the shares subject to the Option shall become immediately vested and exercisable.</w:t>
      </w:r>
    </w:p>
    <w:p>
      <w:pPr>
        <w:spacing w:after="0" w:line="184" w:lineRule="exact"/>
        <w:rPr>
          <w:sz w:val="20"/>
          <w:szCs w:val="20"/>
          <w:color w:val="auto"/>
        </w:rPr>
      </w:pPr>
    </w:p>
    <w:p>
      <w:pPr>
        <w:jc w:val="both"/>
        <w:ind w:left="400" w:firstLine="51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Cash-out</w:t>
      </w:r>
      <w:r>
        <w:rPr>
          <w:rFonts w:ascii="Arial" w:cs="Arial" w:eastAsia="Arial" w:hAnsi="Arial"/>
          <w:sz w:val="18"/>
          <w:szCs w:val="18"/>
          <w:color w:val="auto"/>
        </w:rPr>
        <w:t>. In the event of a Change in Control, the Committee may, in its discretion and upon at least ten (10) days’ advance notice to the Participant, cancel the Option and pay to the Participant the value of the Option based upon the price per share of Common Stock received or to be received by other shareholders of the Company in the event. Notwithstanding the foregoing, if at the time of a Change in Control the Exercise Price of the Option equals or exceeds the price paid for a share of Common Stock in connection with the Change in Control, the Committee may cancel the Option without the payment of consideration therefor.</w:t>
      </w:r>
    </w:p>
    <w:p>
      <w:pPr>
        <w:spacing w:after="0" w:line="188" w:lineRule="exact"/>
        <w:rPr>
          <w:sz w:val="20"/>
          <w:szCs w:val="20"/>
          <w:color w:val="auto"/>
        </w:rPr>
      </w:pPr>
    </w:p>
    <w:p>
      <w:pPr>
        <w:ind w:firstLine="396"/>
        <w:spacing w:after="0" w:line="277" w:lineRule="auto"/>
        <w:tabs>
          <w:tab w:leader="none" w:pos="56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shares of Common Stock subject to the Option may be adjusted or terminated in any manner as contemplated by Section 14 of the Plan.</w:t>
      </w:r>
    </w:p>
    <w:p>
      <w:pPr>
        <w:spacing w:after="0" w:line="170" w:lineRule="exact"/>
        <w:rPr>
          <w:rFonts w:ascii="Arial" w:cs="Arial" w:eastAsia="Arial" w:hAnsi="Arial"/>
          <w:sz w:val="18"/>
          <w:szCs w:val="18"/>
          <w:color w:val="auto"/>
        </w:rPr>
      </w:pPr>
    </w:p>
    <w:p>
      <w:pPr>
        <w:jc w:val="both"/>
        <w:ind w:firstLine="396"/>
        <w:spacing w:after="0" w:line="257" w:lineRule="auto"/>
        <w:tabs>
          <w:tab w:leader="none" w:pos="56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Tax Liability and Withholding</w:t>
      </w:r>
      <w:r>
        <w:rPr>
          <w:rFonts w:ascii="Arial" w:cs="Arial" w:eastAsia="Arial" w:hAnsi="Arial"/>
          <w:sz w:val="18"/>
          <w:szCs w:val="18"/>
          <w:color w:val="auto"/>
        </w:rPr>
        <w:t>. Notwithstanding any action the Company takes with respect to any or all income tax, social insurance, payroll tax, or other tax-related withholding (“</w:t>
      </w:r>
      <w:r>
        <w:rPr>
          <w:rFonts w:ascii="Arial" w:cs="Arial" w:eastAsia="Arial" w:hAnsi="Arial"/>
          <w:sz w:val="18"/>
          <w:szCs w:val="18"/>
          <w:b w:val="1"/>
          <w:bCs w:val="1"/>
          <w:color w:val="auto"/>
        </w:rPr>
        <w:t>Tax-Related Items</w:t>
      </w:r>
      <w:r>
        <w:rPr>
          <w:rFonts w:ascii="Arial" w:cs="Arial" w:eastAsia="Arial" w:hAnsi="Arial"/>
          <w:sz w:val="18"/>
          <w:szCs w:val="18"/>
          <w:color w:val="auto"/>
        </w:rPr>
        <w:t>”), the ultimate liability for all Tax-Related Items is and remains the Participant’s responsibility and the Company (a) makes no representation or undertakings regarding the treatment of any Tax-Related Items in connection with the grant, vesting, or exercise of the Option or the subsequent sale of any shares acquired on exercise; and (b) does not commit to structure the Option to reduce or eliminate the Participant’s liability for Tax-Related Items.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396"/>
        <w:spacing w:after="0" w:line="257" w:lineRule="auto"/>
        <w:tabs>
          <w:tab w:leader="none" w:pos="67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By signing this Agreement, Participant acknowledges and agrees that the Option Shares subject to this Option or any Award previously granted to Participant by the Company or any parent, subsidiary, or affiliate of the Company shall be subject to forfeiture as a result of the Participant’s violation of any agreement with the Company regarding non-competition, non- solicitation, confidentiality, inventions, and/or other restrictive covenants (the “</w:t>
      </w:r>
      <w:r>
        <w:rPr>
          <w:rFonts w:ascii="Arial" w:cs="Arial" w:eastAsia="Arial" w:hAnsi="Arial"/>
          <w:sz w:val="18"/>
          <w:szCs w:val="18"/>
          <w:b w:val="1"/>
          <w:bCs w:val="1"/>
          <w:color w:val="auto"/>
        </w:rPr>
        <w:t>Restricted Covenant Agreements</w:t>
      </w:r>
      <w:r>
        <w:rPr>
          <w:rFonts w:ascii="Arial" w:cs="Arial" w:eastAsia="Arial" w:hAnsi="Arial"/>
          <w:sz w:val="18"/>
          <w:szCs w:val="18"/>
          <w:color w:val="auto"/>
        </w:rPr>
        <w:t>”). The Participant’s prior execution of the Restricted Covenant Agreements was a material inducement for the Company’s grant of the Option under this Agreement</w:t>
      </w:r>
    </w:p>
    <w:p>
      <w:pPr>
        <w:spacing w:after="0" w:line="187" w:lineRule="exact"/>
        <w:rPr>
          <w:rFonts w:ascii="Arial" w:cs="Arial" w:eastAsia="Arial" w:hAnsi="Arial"/>
          <w:sz w:val="18"/>
          <w:szCs w:val="18"/>
          <w:color w:val="auto"/>
        </w:rPr>
      </w:pPr>
    </w:p>
    <w:p>
      <w:pPr>
        <w:jc w:val="both"/>
        <w:ind w:firstLine="396"/>
        <w:spacing w:after="0" w:line="273" w:lineRule="auto"/>
        <w:tabs>
          <w:tab w:leader="none" w:pos="651"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Compliance with Law</w:t>
      </w:r>
      <w:r>
        <w:rPr>
          <w:rFonts w:ascii="Arial" w:cs="Arial" w:eastAsia="Arial" w:hAnsi="Arial"/>
          <w:sz w:val="17"/>
          <w:szCs w:val="17"/>
          <w:color w:val="auto"/>
        </w:rPr>
        <w:t>. The exercise of the Option and the issuance and transfer of shares of Common Stock shall be subject to compliance by the Company and the Participant with all applicable requirements of federal and state securities laws and with all applicable requirements of any stock exchange on which the Company’s shares of Common Stock may be listed. No shares of Common Stock shall be issued pursuant to this Option unless and until any then applicable requirements of state or federal laws and regulatory agencies have been fully complied with to the satisfaction of the Company and its counsel. The Participant understands that the Company is under no obligation to register the shares of Common Stock with the Securities and Exchange Commission, any state securities commission or any stock exchange to effect such compliance.</w:t>
      </w:r>
    </w:p>
    <w:p>
      <w:pPr>
        <w:spacing w:after="0" w:line="177" w:lineRule="exact"/>
        <w:rPr>
          <w:rFonts w:ascii="Arial" w:cs="Arial" w:eastAsia="Arial" w:hAnsi="Arial"/>
          <w:sz w:val="17"/>
          <w:szCs w:val="17"/>
          <w:color w:val="auto"/>
        </w:rPr>
      </w:pPr>
    </w:p>
    <w:p>
      <w:pPr>
        <w:jc w:val="both"/>
        <w:ind w:firstLine="396"/>
        <w:spacing w:after="0" w:line="259" w:lineRule="auto"/>
        <w:tabs>
          <w:tab w:leader="none" w:pos="67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to be delivered to the Company under this Agreement shall be in writing and addressed to the Secretary of the Company at the Company’s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186" w:lineRule="exact"/>
        <w:rPr>
          <w:rFonts w:ascii="Arial" w:cs="Arial" w:eastAsia="Arial" w:hAnsi="Arial"/>
          <w:sz w:val="18"/>
          <w:szCs w:val="18"/>
          <w:color w:val="auto"/>
        </w:rPr>
      </w:pPr>
    </w:p>
    <w:p>
      <w:pPr>
        <w:ind w:firstLine="396"/>
        <w:spacing w:after="0" w:line="277" w:lineRule="auto"/>
        <w:tabs>
          <w:tab w:leader="none" w:pos="65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construed and interpreted in accordance with the laws of the State of Nevada without regard to conflict of law principles.</w:t>
      </w:r>
    </w:p>
    <w:p>
      <w:pPr>
        <w:spacing w:after="0" w:line="170" w:lineRule="exact"/>
        <w:rPr>
          <w:rFonts w:ascii="Arial" w:cs="Arial" w:eastAsia="Arial" w:hAnsi="Arial"/>
          <w:sz w:val="18"/>
          <w:szCs w:val="18"/>
          <w:color w:val="auto"/>
        </w:rPr>
      </w:pPr>
    </w:p>
    <w:p>
      <w:pPr>
        <w:ind w:firstLine="396"/>
        <w:spacing w:after="0" w:line="277" w:lineRule="auto"/>
        <w:tabs>
          <w:tab w:leader="none" w:pos="65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170" w:lineRule="exact"/>
        <w:rPr>
          <w:rFonts w:ascii="Arial" w:cs="Arial" w:eastAsia="Arial" w:hAnsi="Arial"/>
          <w:sz w:val="18"/>
          <w:szCs w:val="18"/>
          <w:color w:val="auto"/>
        </w:rPr>
      </w:pPr>
    </w:p>
    <w:p>
      <w:pPr>
        <w:jc w:val="both"/>
        <w:ind w:firstLine="396"/>
        <w:spacing w:after="0" w:line="286" w:lineRule="auto"/>
        <w:tabs>
          <w:tab w:leader="none" w:pos="657"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Options Subject to Plan</w:t>
      </w:r>
      <w:r>
        <w:rPr>
          <w:rFonts w:ascii="Arial" w:cs="Arial" w:eastAsia="Arial" w:hAnsi="Arial"/>
          <w:sz w:val="17"/>
          <w:szCs w:val="17"/>
          <w:color w:val="auto"/>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65" w:lineRule="exact"/>
        <w:rPr>
          <w:rFonts w:ascii="Arial" w:cs="Arial" w:eastAsia="Arial" w:hAnsi="Arial"/>
          <w:sz w:val="17"/>
          <w:szCs w:val="17"/>
          <w:color w:val="auto"/>
        </w:rPr>
      </w:pPr>
    </w:p>
    <w:p>
      <w:pPr>
        <w:jc w:val="both"/>
        <w:ind w:firstLine="396"/>
        <w:spacing w:after="0" w:line="259" w:lineRule="auto"/>
        <w:tabs>
          <w:tab w:leader="none" w:pos="65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Option may be transferred by will or the laws of descent or distribution.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396"/>
        <w:spacing w:after="0" w:line="263" w:lineRule="auto"/>
        <w:tabs>
          <w:tab w:leader="none" w:pos="65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83" w:lineRule="exact"/>
        <w:rPr>
          <w:rFonts w:ascii="Arial" w:cs="Arial" w:eastAsia="Arial" w:hAnsi="Arial"/>
          <w:sz w:val="18"/>
          <w:szCs w:val="18"/>
          <w:color w:val="auto"/>
        </w:rPr>
      </w:pPr>
    </w:p>
    <w:p>
      <w:pPr>
        <w:jc w:val="both"/>
        <w:ind w:firstLine="397"/>
        <w:spacing w:after="0" w:line="259" w:lineRule="auto"/>
        <w:tabs>
          <w:tab w:leader="none" w:pos="68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Discretionary Nature of Plan</w:t>
      </w:r>
      <w:r>
        <w:rPr>
          <w:rFonts w:ascii="Arial" w:cs="Arial" w:eastAsia="Arial" w:hAnsi="Arial"/>
          <w:sz w:val="18"/>
          <w:szCs w:val="18"/>
          <w:color w:val="auto"/>
        </w:rPr>
        <w:t>. The Plan is discretionary and may be amended, cancelled or terminated by the Company at any time, in its discretion. The grant of the Option in this Agreement does not create any contractual right or other right to receive any Options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86" w:lineRule="exact"/>
        <w:rPr>
          <w:rFonts w:ascii="Arial" w:cs="Arial" w:eastAsia="Arial" w:hAnsi="Arial"/>
          <w:sz w:val="18"/>
          <w:szCs w:val="18"/>
          <w:color w:val="auto"/>
        </w:rPr>
      </w:pPr>
    </w:p>
    <w:p>
      <w:pPr>
        <w:ind w:right="20" w:firstLine="396"/>
        <w:spacing w:after="0" w:line="308" w:lineRule="auto"/>
        <w:tabs>
          <w:tab w:leader="none" w:pos="67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The Committee has the right to amend, alter, suspend, discontinue or cancel the Option, prospectively or retroactively;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no such amendment shall adversely affect the Participant’s material rights under this Agreement without the Participant’s consent.</w:t>
      </w:r>
    </w:p>
    <w:p>
      <w:pPr>
        <w:spacing w:after="0" w:line="146" w:lineRule="exact"/>
        <w:rPr>
          <w:rFonts w:ascii="Arial" w:cs="Arial" w:eastAsia="Arial" w:hAnsi="Arial"/>
          <w:sz w:val="17"/>
          <w:szCs w:val="17"/>
          <w:color w:val="auto"/>
        </w:rPr>
      </w:pPr>
    </w:p>
    <w:p>
      <w:pPr>
        <w:ind w:firstLine="396"/>
        <w:spacing w:after="0" w:line="277" w:lineRule="auto"/>
        <w:tabs>
          <w:tab w:leader="none" w:pos="65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 Impact on Other Benefits</w:t>
      </w:r>
      <w:r>
        <w:rPr>
          <w:rFonts w:ascii="Arial" w:cs="Arial" w:eastAsia="Arial" w:hAnsi="Arial"/>
          <w:sz w:val="18"/>
          <w:szCs w:val="18"/>
          <w:color w:val="auto"/>
        </w:rPr>
        <w:t>. The value of the Participant’s Option is not part of the Participant’s normal or expected compensation for purposes of calculating any severance, retirement, welfare, insurance or similar employee benefit.</w:t>
      </w:r>
    </w:p>
    <w:p>
      <w:pPr>
        <w:spacing w:after="0" w:line="170" w:lineRule="exact"/>
        <w:rPr>
          <w:rFonts w:ascii="Arial" w:cs="Arial" w:eastAsia="Arial" w:hAnsi="Arial"/>
          <w:sz w:val="18"/>
          <w:szCs w:val="18"/>
          <w:color w:val="auto"/>
        </w:rPr>
      </w:pPr>
    </w:p>
    <w:p>
      <w:pPr>
        <w:jc w:val="both"/>
        <w:ind w:firstLine="396"/>
        <w:spacing w:after="0" w:line="259" w:lineRule="auto"/>
        <w:tabs>
          <w:tab w:leader="none" w:pos="65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86" w:lineRule="exact"/>
        <w:rPr>
          <w:rFonts w:ascii="Arial" w:cs="Arial" w:eastAsia="Arial" w:hAnsi="Arial"/>
          <w:sz w:val="18"/>
          <w:szCs w:val="18"/>
          <w:color w:val="auto"/>
        </w:rPr>
      </w:pPr>
    </w:p>
    <w:p>
      <w:pPr>
        <w:jc w:val="both"/>
        <w:ind w:firstLine="396"/>
        <w:spacing w:after="0" w:line="259" w:lineRule="auto"/>
        <w:tabs>
          <w:tab w:leader="none" w:pos="65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The Participant hereby acknowledges receipt of a copy of the Plan and this Agreement. The Participant has read and understands the terms and provisions thereof, and accepts the Option subject to all of the terms and conditions of the Plan and this Agreement. The Participant acknowledges that there may be adverse tax consequences upon exercise of the Option or disposition of the underlying shares and that the Participant should consult a tax advisor prior to such exercise or disposition.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AGRIFY CORPORATION</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154305</wp:posOffset>
            </wp:positionV>
            <wp:extent cx="28460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4.8</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Restricted Stock Unit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[_________], 20[__] (the "</w:t>
      </w:r>
      <w:r>
        <w:rPr>
          <w:rFonts w:ascii="Arial" w:cs="Arial" w:eastAsia="Arial" w:hAnsi="Arial"/>
          <w:sz w:val="16"/>
          <w:szCs w:val="16"/>
          <w:b w:val="1"/>
          <w:bCs w:val="1"/>
          <w:color w:val="auto"/>
        </w:rPr>
        <w:t>Grant Date</w:t>
      </w:r>
      <w:r>
        <w:rPr>
          <w:rFonts w:ascii="Arial" w:cs="Arial" w:eastAsia="Arial" w:hAnsi="Arial"/>
          <w:sz w:val="16"/>
          <w:szCs w:val="16"/>
          <w:color w:val="auto"/>
        </w:rPr>
        <w:t>") by and between Agrify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Corporation,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[________________] (the "</w:t>
      </w:r>
      <w:r>
        <w:rPr>
          <w:rFonts w:ascii="Arial" w:cs="Arial" w:eastAsia="Arial" w:hAnsi="Arial"/>
          <w:sz w:val="18"/>
          <w:szCs w:val="18"/>
          <w:b w:val="1"/>
          <w:bCs w:val="1"/>
          <w:color w:val="auto"/>
        </w:rPr>
        <w:t>Grantee</w:t>
      </w:r>
      <w:r>
        <w:rPr>
          <w:rFonts w:ascii="Arial" w:cs="Arial" w:eastAsia="Arial" w:hAnsi="Arial"/>
          <w:sz w:val="18"/>
          <w:szCs w:val="18"/>
          <w:color w:val="auto"/>
        </w:rPr>
        <w:t>").</w:t>
      </w:r>
    </w:p>
    <w:p>
      <w:pPr>
        <w:spacing w:after="0" w:line="20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adopted the Agrify Corporation 2022 Omnibus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pursuant to which awards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may be granted; and</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determined that it is in the best interests of the Company and its shareholders to grant the award of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intending to be legally bound, agree as follows:</w:t>
      </w:r>
    </w:p>
    <w:p>
      <w:pPr>
        <w:spacing w:after="0" w:line="225" w:lineRule="exact"/>
        <w:rPr>
          <w:sz w:val="20"/>
          <w:szCs w:val="20"/>
          <w:color w:val="auto"/>
        </w:rPr>
      </w:pPr>
    </w:p>
    <w:p>
      <w:pPr>
        <w:ind w:left="580" w:hanging="184"/>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w:t>
      </w:r>
    </w:p>
    <w:p>
      <w:pPr>
        <w:spacing w:after="0" w:line="225" w:lineRule="exact"/>
        <w:rPr>
          <w:sz w:val="20"/>
          <w:szCs w:val="20"/>
          <w:color w:val="auto"/>
        </w:rPr>
      </w:pPr>
    </w:p>
    <w:p>
      <w:pPr>
        <w:ind w:left="400" w:firstLine="518"/>
        <w:spacing w:after="0" w:line="291" w:lineRule="auto"/>
        <w:rPr>
          <w:sz w:val="20"/>
          <w:szCs w:val="20"/>
          <w:color w:val="auto"/>
        </w:rPr>
      </w:pPr>
      <w:r>
        <w:rPr>
          <w:rFonts w:ascii="Arial" w:cs="Arial" w:eastAsia="Arial" w:hAnsi="Arial"/>
          <w:sz w:val="16"/>
          <w:szCs w:val="16"/>
          <w:color w:val="auto"/>
        </w:rPr>
        <w:t>1.1 Pursuant to Section 8 of the Plan, the Company hereby issues to the Grantee on the Grant Date an Award consisting of, in the aggregate, [________] Restricted Stock Units (the “</w:t>
      </w:r>
      <w:r>
        <w:rPr>
          <w:rFonts w:ascii="Arial" w:cs="Arial" w:eastAsia="Arial" w:hAnsi="Arial"/>
          <w:sz w:val="16"/>
          <w:szCs w:val="16"/>
          <w:b w:val="1"/>
          <w:bCs w:val="1"/>
          <w:color w:val="auto"/>
        </w:rPr>
        <w:t>Restricted Stock Units</w:t>
      </w:r>
      <w:r>
        <w:rPr>
          <w:rFonts w:ascii="Arial" w:cs="Arial" w:eastAsia="Arial" w:hAnsi="Arial"/>
          <w:sz w:val="16"/>
          <w:szCs w:val="16"/>
          <w:color w:val="auto"/>
        </w:rPr>
        <w:t>”). Each Restricted Stock Unit represents the right to receive one share of Common</w:t>
      </w:r>
    </w:p>
    <w:p>
      <w:pPr>
        <w:ind w:left="400"/>
        <w:spacing w:after="0" w:line="260" w:lineRule="auto"/>
        <w:rPr>
          <w:sz w:val="20"/>
          <w:szCs w:val="20"/>
          <w:color w:val="auto"/>
        </w:rPr>
      </w:pPr>
      <w:r>
        <w:rPr>
          <w:rFonts w:ascii="Arial" w:cs="Arial" w:eastAsia="Arial" w:hAnsi="Arial"/>
          <w:sz w:val="18"/>
          <w:szCs w:val="18"/>
          <w:color w:val="auto"/>
        </w:rPr>
        <w:t>Stock, subject to the terms and conditions set forth in this Agreement and the Plan. Capitalized terms that are used but not defined herein have the meaning ascribed to them in the Plan.</w:t>
      </w:r>
    </w:p>
    <w:p>
      <w:pPr>
        <w:spacing w:after="0" w:line="185" w:lineRule="exact"/>
        <w:rPr>
          <w:sz w:val="20"/>
          <w:szCs w:val="20"/>
          <w:color w:val="auto"/>
        </w:rPr>
      </w:pPr>
    </w:p>
    <w:p>
      <w:pPr>
        <w:ind w:left="400" w:firstLine="518"/>
        <w:spacing w:after="0" w:line="308" w:lineRule="auto"/>
        <w:rPr>
          <w:sz w:val="20"/>
          <w:szCs w:val="20"/>
          <w:color w:val="auto"/>
        </w:rPr>
      </w:pPr>
      <w:r>
        <w:rPr>
          <w:rFonts w:ascii="Arial" w:cs="Arial" w:eastAsia="Arial" w:hAnsi="Arial"/>
          <w:sz w:val="17"/>
          <w:szCs w:val="17"/>
          <w:color w:val="auto"/>
        </w:rPr>
        <w:t>1.2 The Restricted Stock Units shall be credited to a separate account maintained for the Grantee on the books and records of the Company (the “</w:t>
      </w:r>
      <w:r>
        <w:rPr>
          <w:rFonts w:ascii="Arial" w:cs="Arial" w:eastAsia="Arial" w:hAnsi="Arial"/>
          <w:sz w:val="17"/>
          <w:szCs w:val="17"/>
          <w:b w:val="1"/>
          <w:bCs w:val="1"/>
          <w:color w:val="auto"/>
        </w:rPr>
        <w:t>Account</w:t>
      </w:r>
      <w:r>
        <w:rPr>
          <w:rFonts w:ascii="Arial" w:cs="Arial" w:eastAsia="Arial" w:hAnsi="Arial"/>
          <w:sz w:val="17"/>
          <w:szCs w:val="17"/>
          <w:color w:val="auto"/>
        </w:rPr>
        <w:t>”). All amounts credited to the Account shall continue for all purposes to be part of the general assets of the Company.</w:t>
      </w:r>
    </w:p>
    <w:p>
      <w:pPr>
        <w:spacing w:after="0" w:line="146" w:lineRule="exact"/>
        <w:rPr>
          <w:sz w:val="20"/>
          <w:szCs w:val="20"/>
          <w:color w:val="auto"/>
        </w:rPr>
      </w:pPr>
    </w:p>
    <w:p>
      <w:pPr>
        <w:ind w:left="580" w:hanging="184"/>
        <w:spacing w:after="0"/>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The grant of the Restricted Stock Units is made in consideration of the services to be rendered by the Grantee to the Company.</w:t>
      </w:r>
    </w:p>
    <w:p>
      <w:pPr>
        <w:spacing w:after="0" w:line="248" w:lineRule="exact"/>
        <w:rPr>
          <w:rFonts w:ascii="Arial" w:cs="Arial" w:eastAsia="Arial" w:hAnsi="Arial"/>
          <w:sz w:val="16"/>
          <w:szCs w:val="16"/>
          <w:color w:val="auto"/>
        </w:rPr>
      </w:pPr>
    </w:p>
    <w:p>
      <w:pPr>
        <w:ind w:left="580" w:hanging="184"/>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3.1 Except as otherwise provided herein, provided that the Grantee remains in Continuous Service through the applicable vesting date, the</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Restricted Stock Units will vest in accordance with the following schedule (the period during which restrictions apply, the “</w:t>
      </w:r>
      <w:r>
        <w:rPr>
          <w:rFonts w:ascii="Arial" w:cs="Arial" w:eastAsia="Arial" w:hAnsi="Arial"/>
          <w:sz w:val="17"/>
          <w:szCs w:val="17"/>
          <w:b w:val="1"/>
          <w:bCs w:val="1"/>
          <w:color w:val="auto"/>
        </w:rPr>
        <w:t>Restricted Period</w:t>
      </w:r>
      <w:r>
        <w:rPr>
          <w:rFonts w:ascii="Arial" w:cs="Arial" w:eastAsia="Arial" w:hAnsi="Arial"/>
          <w:sz w:val="17"/>
          <w:szCs w:val="17"/>
          <w:color w:val="auto"/>
        </w:rPr>
        <w:t>”):</w:t>
      </w:r>
    </w:p>
    <w:p>
      <w:pPr>
        <w:sectPr>
          <w:pgSz w:w="11900" w:h="16838" w:orient="portrait"/>
          <w:cols w:equalWidth="0" w:num="1">
            <w:col w:w="11240"/>
          </w:cols>
          <w:pgMar w:left="320" w:top="112" w:right="3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Date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Restricted Stock Units That Vest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0" w:lineRule="exact"/>
        <w:rPr>
          <w:sz w:val="20"/>
          <w:szCs w:val="20"/>
          <w:color w:val="auto"/>
        </w:rPr>
      </w:pPr>
    </w:p>
    <w:p>
      <w:pPr>
        <w:sectPr>
          <w:pgSz w:w="11900" w:h="16838" w:orient="portrait"/>
          <w:cols w:equalWidth="0" w:num="2">
            <w:col w:w="6040" w:space="720"/>
            <w:col w:w="4480"/>
          </w:cols>
          <w:pgMar w:left="320" w:top="112" w:right="339" w:bottom="1440" w:gutter="0" w:footer="0" w:header="0"/>
          <w:type w:val="continuous"/>
        </w:sectPr>
      </w:pPr>
    </w:p>
    <w:p>
      <w:pPr>
        <w:spacing w:after="0" w:line="7"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Once vested, the Restricted Stock Units become “</w:t>
      </w:r>
      <w:r>
        <w:rPr>
          <w:rFonts w:ascii="Arial" w:cs="Arial" w:eastAsia="Arial" w:hAnsi="Arial"/>
          <w:sz w:val="16"/>
          <w:szCs w:val="16"/>
          <w:b w:val="1"/>
          <w:bCs w:val="1"/>
          <w:color w:val="auto"/>
        </w:rPr>
        <w:t>Vested Units.</w:t>
      </w:r>
      <w:r>
        <w:rPr>
          <w:rFonts w:ascii="Arial" w:cs="Arial" w:eastAsia="Arial" w:hAnsi="Arial"/>
          <w:sz w:val="16"/>
          <w:szCs w:val="16"/>
          <w:color w:val="auto"/>
        </w:rPr>
        <w:t>”</w:t>
      </w:r>
    </w:p>
    <w:p>
      <w:pPr>
        <w:sectPr>
          <w:pgSz w:w="11900" w:h="16838" w:orient="portrait"/>
          <w:cols w:equalWidth="0" w:num="1">
            <w:col w:w="11240"/>
          </w:cols>
          <w:pgMar w:left="320" w:top="112" w:right="339" w:bottom="1440" w:gutter="0" w:footer="0" w:header="0"/>
          <w:type w:val="continuous"/>
        </w:sectPr>
      </w:pPr>
    </w:p>
    <w:p>
      <w:pPr>
        <w:spacing w:after="0" w:line="252" w:lineRule="exact"/>
        <w:rPr>
          <w:sz w:val="20"/>
          <w:szCs w:val="20"/>
          <w:color w:val="auto"/>
        </w:rPr>
      </w:pPr>
    </w:p>
    <w:p>
      <w:pPr>
        <w:jc w:val="both"/>
        <w:ind w:left="400" w:firstLine="518"/>
        <w:spacing w:after="0" w:line="311" w:lineRule="auto"/>
        <w:rPr>
          <w:sz w:val="20"/>
          <w:szCs w:val="20"/>
          <w:color w:val="auto"/>
        </w:rPr>
      </w:pPr>
      <w:r>
        <w:rPr>
          <w:rFonts w:ascii="Arial" w:cs="Arial" w:eastAsia="Arial" w:hAnsi="Arial"/>
          <w:sz w:val="16"/>
          <w:szCs w:val="16"/>
          <w:color w:val="auto"/>
        </w:rPr>
        <w:t>3.2 The foregoing vesting schedule notwithstanding, if the Grantee’s Continuous Service terminates for any reason at any time before all of his or her Restricted Stock Units have vested, the Grantee’s unvested Restricted Stock Units shall be automatically forfeited upon such termination of Continuous Service and neither the Company nor any Affiliate shall have any further obligations to the Grantee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6" w:name="page47"/>
    <w:bookmarkEnd w:id="46"/>
    <w:p>
      <w:pPr>
        <w:jc w:val="both"/>
        <w:ind w:left="-20" w:firstLine="397"/>
        <w:spacing w:after="0" w:line="296" w:lineRule="auto"/>
        <w:tabs>
          <w:tab w:leader="none" w:pos="549"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any exceptions set forth in this Agreement or the Plan, during the Restricted Period and until such time as the Restricted Stock Units are settled in accordance with Section 6, the Restricted Stock Units or the rights relating thereto may not be assigned, alienated, pledged, attached, sold or otherwise transferred or encumbered by the Grantee. Any attempt to assign, alienate, pledge, attach, sell or otherwise transfer or encumber the Restricted Stock Units or the rights relating thereto shall be wholly ineffective and, if any such attempt is made, the Restricted Stock Units will be forfeited by the Grantee and all of the Grantee’s rights to such units shall immediately terminate without any payment or consideration by the Company.</w:t>
      </w:r>
    </w:p>
    <w:p>
      <w:pPr>
        <w:spacing w:after="0" w:line="161" w:lineRule="exact"/>
        <w:rPr>
          <w:rFonts w:ascii="Arial" w:cs="Arial" w:eastAsia="Arial" w:hAnsi="Arial"/>
          <w:sz w:val="16"/>
          <w:szCs w:val="16"/>
          <w:color w:val="auto"/>
        </w:rPr>
      </w:pPr>
    </w:p>
    <w:p>
      <w:pPr>
        <w:ind w:left="560" w:hanging="184"/>
        <w:spacing w:after="0"/>
        <w:tabs>
          <w:tab w:leader="none" w:pos="5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Rights as Shareholder</w:t>
      </w:r>
      <w:r>
        <w:rPr>
          <w:rFonts w:ascii="Arial" w:cs="Arial" w:eastAsia="Arial" w:hAnsi="Arial"/>
          <w:sz w:val="18"/>
          <w:szCs w:val="18"/>
          <w:color w:val="auto"/>
        </w:rPr>
        <w:t>.</w:t>
      </w:r>
    </w:p>
    <w:p>
      <w:pPr>
        <w:spacing w:after="0" w:line="225" w:lineRule="exact"/>
        <w:rPr>
          <w:sz w:val="20"/>
          <w:szCs w:val="20"/>
          <w:color w:val="auto"/>
        </w:rPr>
      </w:pPr>
    </w:p>
    <w:p>
      <w:pPr>
        <w:jc w:val="both"/>
        <w:ind w:left="380" w:firstLine="518"/>
        <w:spacing w:after="0" w:line="277" w:lineRule="auto"/>
        <w:rPr>
          <w:sz w:val="20"/>
          <w:szCs w:val="20"/>
          <w:color w:val="auto"/>
        </w:rPr>
      </w:pPr>
      <w:r>
        <w:rPr>
          <w:rFonts w:ascii="Arial" w:cs="Arial" w:eastAsia="Arial" w:hAnsi="Arial"/>
          <w:sz w:val="18"/>
          <w:szCs w:val="18"/>
          <w:color w:val="auto"/>
        </w:rPr>
        <w:t>5.1 The Grantee shall not have any rights of a shareholder with respect to the shares of Common Stock underlying the Restricted Stock Units unless and until the Restricted Stock Units vest and are settled by the issuance of such shares of Common Stock.</w:t>
      </w:r>
    </w:p>
    <w:p>
      <w:pPr>
        <w:spacing w:after="0" w:line="170" w:lineRule="exact"/>
        <w:rPr>
          <w:sz w:val="20"/>
          <w:szCs w:val="20"/>
          <w:color w:val="auto"/>
        </w:rPr>
      </w:pPr>
    </w:p>
    <w:p>
      <w:pPr>
        <w:jc w:val="both"/>
        <w:ind w:left="380" w:firstLine="518"/>
        <w:spacing w:after="0" w:line="263" w:lineRule="auto"/>
        <w:rPr>
          <w:sz w:val="20"/>
          <w:szCs w:val="20"/>
          <w:color w:val="auto"/>
        </w:rPr>
      </w:pPr>
      <w:r>
        <w:rPr>
          <w:rFonts w:ascii="Arial" w:cs="Arial" w:eastAsia="Arial" w:hAnsi="Arial"/>
          <w:sz w:val="18"/>
          <w:szCs w:val="18"/>
          <w:color w:val="auto"/>
        </w:rPr>
        <w:t>5.2 Upon and following the settlement of the Restricted Stock Units, the Grantee shall be the record owner of the shares of Common Stock underlying the Restricted Stock Units unless and until such shares are sold or otherwise disposed of, and as record owner shall be entitled to all rights of a shareholder of the Company (including voting rights).</w:t>
      </w:r>
    </w:p>
    <w:p>
      <w:pPr>
        <w:spacing w:after="0" w:line="184" w:lineRule="exact"/>
        <w:rPr>
          <w:sz w:val="20"/>
          <w:szCs w:val="20"/>
          <w:color w:val="auto"/>
        </w:rPr>
      </w:pPr>
    </w:p>
    <w:p>
      <w:pPr>
        <w:jc w:val="both"/>
        <w:ind w:left="380" w:right="20" w:firstLine="518"/>
        <w:spacing w:after="0" w:line="277" w:lineRule="auto"/>
        <w:rPr>
          <w:sz w:val="20"/>
          <w:szCs w:val="20"/>
          <w:color w:val="auto"/>
        </w:rPr>
      </w:pPr>
      <w:r>
        <w:rPr>
          <w:rFonts w:ascii="Arial" w:cs="Arial" w:eastAsia="Arial" w:hAnsi="Arial"/>
          <w:sz w:val="18"/>
          <w:szCs w:val="18"/>
          <w:color w:val="auto"/>
        </w:rPr>
        <w:t>5.3 The Grantee shall not be entitled to any payments with respect to the Restricted Stock Units to reflect any dividends payable on shares of Common Stock.</w:t>
      </w:r>
    </w:p>
    <w:p>
      <w:pPr>
        <w:spacing w:after="0" w:line="170" w:lineRule="exact"/>
        <w:rPr>
          <w:sz w:val="20"/>
          <w:szCs w:val="20"/>
          <w:color w:val="auto"/>
        </w:rPr>
      </w:pPr>
    </w:p>
    <w:p>
      <w:pPr>
        <w:ind w:left="560" w:hanging="184"/>
        <w:spacing w:after="0"/>
        <w:tabs>
          <w:tab w:leader="none" w:pos="5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Settlement of Restricted Stock Units</w:t>
      </w:r>
      <w:r>
        <w:rPr>
          <w:rFonts w:ascii="Arial" w:cs="Arial" w:eastAsia="Arial" w:hAnsi="Arial"/>
          <w:sz w:val="18"/>
          <w:szCs w:val="18"/>
          <w:color w:val="auto"/>
        </w:rPr>
        <w:t>.</w:t>
      </w:r>
    </w:p>
    <w:p>
      <w:pPr>
        <w:spacing w:after="0" w:line="225" w:lineRule="exact"/>
        <w:rPr>
          <w:sz w:val="20"/>
          <w:szCs w:val="20"/>
          <w:color w:val="auto"/>
        </w:rPr>
      </w:pPr>
    </w:p>
    <w:p>
      <w:pPr>
        <w:jc w:val="both"/>
        <w:ind w:left="380" w:firstLine="518"/>
        <w:spacing w:after="0" w:line="259" w:lineRule="auto"/>
        <w:rPr>
          <w:sz w:val="20"/>
          <w:szCs w:val="20"/>
          <w:color w:val="auto"/>
        </w:rPr>
      </w:pPr>
      <w:r>
        <w:rPr>
          <w:rFonts w:ascii="Arial" w:cs="Arial" w:eastAsia="Arial" w:hAnsi="Arial"/>
          <w:sz w:val="18"/>
          <w:szCs w:val="18"/>
          <w:color w:val="auto"/>
        </w:rPr>
        <w:t>6.1 Subject to Section 9 hereof, promptly following the vesting date, and in any event no later than March 15 of the calendar year following the calendar year in which such vesting occurs, the Company shall (a) issue and deliver to the Grantee the number of shares of Common Stock equal to the number of Vested Units; and (b) enter the Grantee’s name on the books of the Company as the shareholder of record with respect to the shares of Common Stock delivered to the Grantee.</w:t>
      </w:r>
    </w:p>
    <w:p>
      <w:pPr>
        <w:spacing w:after="0" w:line="187" w:lineRule="exact"/>
        <w:rPr>
          <w:sz w:val="20"/>
          <w:szCs w:val="20"/>
          <w:color w:val="auto"/>
        </w:rPr>
      </w:pPr>
    </w:p>
    <w:p>
      <w:pPr>
        <w:jc w:val="both"/>
        <w:ind w:left="380" w:firstLine="518"/>
        <w:spacing w:after="0" w:line="263" w:lineRule="auto"/>
        <w:rPr>
          <w:sz w:val="20"/>
          <w:szCs w:val="20"/>
          <w:color w:val="auto"/>
        </w:rPr>
      </w:pPr>
      <w:r>
        <w:rPr>
          <w:rFonts w:ascii="Arial" w:cs="Arial" w:eastAsia="Arial" w:hAnsi="Arial"/>
          <w:sz w:val="18"/>
          <w:szCs w:val="18"/>
          <w:color w:val="auto"/>
        </w:rPr>
        <w:t>6.2 Notwithstanding Section 6.1, in accordance with Section 17.5 of the Plan, the Committee may, but is not required to, prescribe rules pursuant to which the Grantee may elect to defer settlement of the Restricted Stock Units. Any deferral election must be made in compliance with such rules and procedures as the Committee deems advisable.</w:t>
      </w:r>
    </w:p>
    <w:p>
      <w:pPr>
        <w:spacing w:after="0" w:line="184" w:lineRule="exact"/>
        <w:rPr>
          <w:sz w:val="20"/>
          <w:szCs w:val="20"/>
          <w:color w:val="auto"/>
        </w:rPr>
      </w:pPr>
    </w:p>
    <w:p>
      <w:pPr>
        <w:jc w:val="both"/>
        <w:ind w:left="380" w:firstLine="518"/>
        <w:spacing w:after="0" w:line="277" w:lineRule="auto"/>
        <w:rPr>
          <w:sz w:val="20"/>
          <w:szCs w:val="20"/>
          <w:color w:val="auto"/>
        </w:rPr>
      </w:pPr>
      <w:r>
        <w:rPr>
          <w:rFonts w:ascii="Arial" w:cs="Arial" w:eastAsia="Arial" w:hAnsi="Arial"/>
          <w:sz w:val="18"/>
          <w:szCs w:val="18"/>
          <w:color w:val="auto"/>
        </w:rPr>
        <w:t>6.3 To the extent that the Grantee does not vest in any Restricted Stock Units, all interest in such Restricted Stock Units shall be forfeited. The Grantee has no right or interest in any Restricted Stock Units that are forfeited.</w:t>
      </w:r>
    </w:p>
    <w:p>
      <w:pPr>
        <w:spacing w:after="0" w:line="170" w:lineRule="exact"/>
        <w:rPr>
          <w:sz w:val="20"/>
          <w:szCs w:val="20"/>
          <w:color w:val="auto"/>
        </w:rPr>
      </w:pPr>
    </w:p>
    <w:p>
      <w:pPr>
        <w:jc w:val="both"/>
        <w:ind w:left="-20" w:firstLine="396"/>
        <w:spacing w:after="0" w:line="263" w:lineRule="auto"/>
        <w:tabs>
          <w:tab w:leader="none" w:pos="54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Neither the Plan nor this Agreement shall confer upon the Grantee any right to be retained in any position, as an Employee, Consultant or Director of the Company. Further, nothing in the Plan or this Agreement shall be construed to limit the discretion of the Company to terminate the Grantee’s Continuous Service at any time, with or without Cause.</w:t>
      </w:r>
    </w:p>
    <w:p>
      <w:pPr>
        <w:spacing w:after="0" w:line="183" w:lineRule="exact"/>
        <w:rPr>
          <w:rFonts w:ascii="Arial" w:cs="Arial" w:eastAsia="Arial" w:hAnsi="Arial"/>
          <w:sz w:val="18"/>
          <w:szCs w:val="18"/>
          <w:color w:val="auto"/>
        </w:rPr>
      </w:pPr>
    </w:p>
    <w:p>
      <w:pPr>
        <w:ind w:left="-20" w:firstLine="396"/>
        <w:spacing w:after="0" w:line="277" w:lineRule="auto"/>
        <w:tabs>
          <w:tab w:leader="none" w:pos="56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If any change is made to the outstanding Common Stock or the capital structure of the Company, if required, the Restricted Stock Units shall be adjusted or terminated in any manner as contemplated by Section 14 of the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47" w:name="page48"/>
    <w:bookmarkEnd w:id="47"/>
    <w:p>
      <w:pPr>
        <w:ind w:left="580" w:hanging="184"/>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Tax Liability and Withholding</w:t>
      </w:r>
      <w:r>
        <w:rPr>
          <w:rFonts w:ascii="Arial" w:cs="Arial" w:eastAsia="Arial" w:hAnsi="Arial"/>
          <w:sz w:val="18"/>
          <w:szCs w:val="18"/>
          <w:color w:val="auto"/>
        </w:rPr>
        <w:t>.</w:t>
      </w:r>
    </w:p>
    <w:p>
      <w:pPr>
        <w:spacing w:after="0" w:line="225" w:lineRule="exact"/>
        <w:rPr>
          <w:sz w:val="20"/>
          <w:szCs w:val="20"/>
          <w:color w:val="auto"/>
        </w:rPr>
      </w:pPr>
    </w:p>
    <w:p>
      <w:pPr>
        <w:jc w:val="both"/>
        <w:ind w:left="400" w:firstLine="518"/>
        <w:spacing w:after="0" w:line="279" w:lineRule="auto"/>
        <w:rPr>
          <w:sz w:val="20"/>
          <w:szCs w:val="20"/>
          <w:color w:val="auto"/>
        </w:rPr>
      </w:pPr>
      <w:r>
        <w:rPr>
          <w:rFonts w:ascii="Arial" w:cs="Arial" w:eastAsia="Arial" w:hAnsi="Arial"/>
          <w:sz w:val="17"/>
          <w:szCs w:val="17"/>
          <w:color w:val="auto"/>
        </w:rPr>
        <w:t>9.1 The Grantee shall be required to pay to the Company, and the Company shall have the right to deduct from any compensation paid to the Grantee pursuant to the Plan, the amount of any required withholding taxes in respect of the Restricted Stock Units and to take all such other action as the Committee deems necessary to satisfy all obligations for the payment of such withholding taxes. The Committee may permit the Grantee to satisfy any federal, state or local tax withholding obligation by any of the following means, or by a combination of such means:</w:t>
      </w:r>
    </w:p>
    <w:p>
      <w:pPr>
        <w:spacing w:after="0" w:line="171" w:lineRule="exact"/>
        <w:rPr>
          <w:sz w:val="20"/>
          <w:szCs w:val="20"/>
          <w:color w:val="auto"/>
        </w:rPr>
      </w:pPr>
    </w:p>
    <w:p>
      <w:pPr>
        <w:ind w:left="1800" w:hanging="237"/>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tendering a cash payment.</w:t>
      </w:r>
    </w:p>
    <w:p>
      <w:pPr>
        <w:spacing w:after="0" w:line="225" w:lineRule="exact"/>
        <w:rPr>
          <w:rFonts w:ascii="Arial" w:cs="Arial" w:eastAsia="Arial" w:hAnsi="Arial"/>
          <w:sz w:val="18"/>
          <w:szCs w:val="18"/>
          <w:color w:val="auto"/>
        </w:rPr>
      </w:pPr>
    </w:p>
    <w:p>
      <w:pPr>
        <w:jc w:val="both"/>
        <w:ind w:left="920" w:firstLine="643"/>
        <w:spacing w:after="0" w:line="263" w:lineRule="auto"/>
        <w:tabs>
          <w:tab w:leader="none" w:pos="186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authorizing the Company to withhold shares of Common Stock from the shares of Common Stock otherwise issuable or deliverable to the Grantee as a result of the vesting of the Restricted Stock Units; provided, however, that no shares of Common Stock shall be withheld with a value exceeding the maximum amount of tax required to be withheld by law.</w:t>
      </w:r>
    </w:p>
    <w:p>
      <w:pPr>
        <w:spacing w:after="0" w:line="183" w:lineRule="exact"/>
        <w:rPr>
          <w:rFonts w:ascii="Arial" w:cs="Arial" w:eastAsia="Arial" w:hAnsi="Arial"/>
          <w:sz w:val="18"/>
          <w:szCs w:val="18"/>
          <w:color w:val="auto"/>
        </w:rPr>
      </w:pPr>
    </w:p>
    <w:p>
      <w:pPr>
        <w:ind w:left="1800" w:hanging="237"/>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delivering to the Company previously owned and unencumbered shares of Common Stock.</w:t>
      </w:r>
    </w:p>
    <w:p>
      <w:pPr>
        <w:spacing w:after="0" w:line="225" w:lineRule="exact"/>
        <w:rPr>
          <w:sz w:val="20"/>
          <w:szCs w:val="20"/>
          <w:color w:val="auto"/>
        </w:rPr>
      </w:pPr>
    </w:p>
    <w:p>
      <w:pPr>
        <w:jc w:val="both"/>
        <w:ind w:left="400" w:firstLine="518"/>
        <w:spacing w:after="0" w:line="257" w:lineRule="auto"/>
        <w:rPr>
          <w:sz w:val="20"/>
          <w:szCs w:val="20"/>
          <w:color w:val="auto"/>
        </w:rPr>
      </w:pPr>
      <w:r>
        <w:rPr>
          <w:rFonts w:ascii="Arial" w:cs="Arial" w:eastAsia="Arial" w:hAnsi="Arial"/>
          <w:sz w:val="18"/>
          <w:szCs w:val="18"/>
          <w:color w:val="auto"/>
        </w:rPr>
        <w:t>9.2 Notwithstanding any action the Company takes with respect to any or all income tax, social insurance, payroll tax, or other tax-related withholding (“</w:t>
      </w:r>
      <w:r>
        <w:rPr>
          <w:rFonts w:ascii="Arial" w:cs="Arial" w:eastAsia="Arial" w:hAnsi="Arial"/>
          <w:sz w:val="18"/>
          <w:szCs w:val="18"/>
          <w:b w:val="1"/>
          <w:bCs w:val="1"/>
          <w:color w:val="auto"/>
        </w:rPr>
        <w:t>Tax-Related Items</w:t>
      </w:r>
      <w:r>
        <w:rPr>
          <w:rFonts w:ascii="Arial" w:cs="Arial" w:eastAsia="Arial" w:hAnsi="Arial"/>
          <w:sz w:val="18"/>
          <w:szCs w:val="18"/>
          <w:color w:val="auto"/>
        </w:rPr>
        <w:t>”), the ultimate liability for all Tax-Related Items is and remains the Grantee's responsibility and the Company (a) makes no representation or undertakings regarding the treatment of any Tax-Related Items in connection with the grant, vesting or settlement of the Restricted Stock Units or the subsequent sale of any shares; and (b) does not commit to structure the Restricted Stock Units to reduce or eliminate the Grantee's liability for Tax-Related Items.</w:t>
      </w:r>
    </w:p>
    <w:p>
      <w:pPr>
        <w:spacing w:after="0" w:line="188" w:lineRule="exact"/>
        <w:rPr>
          <w:sz w:val="20"/>
          <w:szCs w:val="20"/>
          <w:color w:val="auto"/>
        </w:rPr>
      </w:pPr>
    </w:p>
    <w:p>
      <w:pPr>
        <w:jc w:val="both"/>
        <w:ind w:firstLine="396"/>
        <w:spacing w:after="0" w:line="279" w:lineRule="auto"/>
        <w:tabs>
          <w:tab w:leader="none" w:pos="657"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Compliance with Law</w:t>
      </w:r>
      <w:r>
        <w:rPr>
          <w:rFonts w:ascii="Arial" w:cs="Arial" w:eastAsia="Arial" w:hAnsi="Arial"/>
          <w:sz w:val="17"/>
          <w:szCs w:val="17"/>
          <w:color w:val="auto"/>
        </w:rPr>
        <w:t>. The issuance and transfer of shares of Common Stock shall be subject to compliance by the Company and the Grantee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w:t>
      </w:r>
    </w:p>
    <w:p>
      <w:pPr>
        <w:spacing w:after="0" w:line="171" w:lineRule="exact"/>
        <w:rPr>
          <w:rFonts w:ascii="Arial" w:cs="Arial" w:eastAsia="Arial" w:hAnsi="Arial"/>
          <w:sz w:val="17"/>
          <w:szCs w:val="17"/>
          <w:color w:val="auto"/>
        </w:rPr>
      </w:pPr>
    </w:p>
    <w:p>
      <w:pPr>
        <w:jc w:val="both"/>
        <w:ind w:firstLine="396"/>
        <w:spacing w:after="0" w:line="259" w:lineRule="auto"/>
        <w:tabs>
          <w:tab w:leader="none" w:pos="66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to be delivered to the Company under this Agreement shall be in writing and addressed to the Secretary of the Company at the Company’s principal corporate offices. Any notice required to be delivered to the Grantee under this Agreement shall be in writing and addressed to the Grantee at the Grantee’s address as shown in the records of the Company. Either party may designate another address in writing (or by such other method approved by the Company) from time to time.</w:t>
      </w:r>
    </w:p>
    <w:p>
      <w:pPr>
        <w:spacing w:after="0" w:line="186" w:lineRule="exact"/>
        <w:rPr>
          <w:rFonts w:ascii="Arial" w:cs="Arial" w:eastAsia="Arial" w:hAnsi="Arial"/>
          <w:sz w:val="18"/>
          <w:szCs w:val="18"/>
          <w:color w:val="auto"/>
        </w:rPr>
      </w:pPr>
    </w:p>
    <w:p>
      <w:pPr>
        <w:ind w:firstLine="396"/>
        <w:spacing w:after="0" w:line="277" w:lineRule="auto"/>
        <w:tabs>
          <w:tab w:leader="none" w:pos="65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construed and interpreted in accordance with the laws of the State of Nevada, without regard to conflict of law principles.</w:t>
      </w:r>
    </w:p>
    <w:p>
      <w:pPr>
        <w:spacing w:after="0" w:line="170" w:lineRule="exact"/>
        <w:rPr>
          <w:rFonts w:ascii="Arial" w:cs="Arial" w:eastAsia="Arial" w:hAnsi="Arial"/>
          <w:sz w:val="18"/>
          <w:szCs w:val="18"/>
          <w:color w:val="auto"/>
        </w:rPr>
      </w:pPr>
    </w:p>
    <w:p>
      <w:pPr>
        <w:ind w:firstLine="396"/>
        <w:spacing w:after="0" w:line="277" w:lineRule="auto"/>
        <w:tabs>
          <w:tab w:leader="none" w:pos="65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Agreement shall be submitted by the Grantee or the Company to the Committee for review. The resolution of such dispute by the Committee shall be final and binding on the Grantee and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397"/>
        <w:spacing w:after="0" w:line="286" w:lineRule="auto"/>
        <w:tabs>
          <w:tab w:leader="none" w:pos="686"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Restricted Stock Units Subject to Plan</w:t>
      </w:r>
      <w:r>
        <w:rPr>
          <w:rFonts w:ascii="Arial" w:cs="Arial" w:eastAsia="Arial" w:hAnsi="Arial"/>
          <w:sz w:val="17"/>
          <w:szCs w:val="17"/>
          <w:color w:val="auto"/>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65" w:lineRule="exact"/>
        <w:rPr>
          <w:rFonts w:ascii="Arial" w:cs="Arial" w:eastAsia="Arial" w:hAnsi="Arial"/>
          <w:sz w:val="17"/>
          <w:szCs w:val="17"/>
          <w:color w:val="auto"/>
        </w:rPr>
      </w:pPr>
    </w:p>
    <w:p>
      <w:pPr>
        <w:jc w:val="both"/>
        <w:ind w:firstLine="396"/>
        <w:spacing w:after="0" w:line="259" w:lineRule="auto"/>
        <w:tabs>
          <w:tab w:leader="none" w:pos="657"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Grantee and the Grantee’s beneficiaries, executors, administrators and the person(s) to whom the Restricted Stock Units may be transferred by will or the laws of descent or distribution.</w:t>
      </w:r>
    </w:p>
    <w:p>
      <w:pPr>
        <w:spacing w:after="0" w:line="186" w:lineRule="exact"/>
        <w:rPr>
          <w:rFonts w:ascii="Arial" w:cs="Arial" w:eastAsia="Arial" w:hAnsi="Arial"/>
          <w:sz w:val="18"/>
          <w:szCs w:val="18"/>
          <w:color w:val="auto"/>
        </w:rPr>
      </w:pPr>
    </w:p>
    <w:p>
      <w:pPr>
        <w:jc w:val="both"/>
        <w:ind w:firstLine="396"/>
        <w:spacing w:after="0" w:line="263" w:lineRule="auto"/>
        <w:tabs>
          <w:tab w:leader="none" w:pos="657"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83" w:lineRule="exact"/>
        <w:rPr>
          <w:rFonts w:ascii="Arial" w:cs="Arial" w:eastAsia="Arial" w:hAnsi="Arial"/>
          <w:sz w:val="18"/>
          <w:szCs w:val="18"/>
          <w:color w:val="auto"/>
        </w:rPr>
      </w:pPr>
    </w:p>
    <w:p>
      <w:pPr>
        <w:jc w:val="both"/>
        <w:ind w:firstLine="396"/>
        <w:spacing w:after="0" w:line="279" w:lineRule="auto"/>
        <w:tabs>
          <w:tab w:leader="none" w:pos="684"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Discretionary Nature of Plan</w:t>
      </w:r>
      <w:r>
        <w:rPr>
          <w:rFonts w:ascii="Arial" w:cs="Arial" w:eastAsia="Arial" w:hAnsi="Arial"/>
          <w:sz w:val="17"/>
          <w:szCs w:val="17"/>
          <w:color w:val="auto"/>
        </w:rPr>
        <w:t>. The Plan is discretionary and may be amended, cancelled or terminated by the Company at any time, in its discretion. The grant of the Restricted Stock Units in this Agreement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the Grantee's employment with the Company.</w:t>
      </w:r>
    </w:p>
    <w:p>
      <w:pPr>
        <w:spacing w:after="0" w:line="171" w:lineRule="exact"/>
        <w:rPr>
          <w:rFonts w:ascii="Arial" w:cs="Arial" w:eastAsia="Arial" w:hAnsi="Arial"/>
          <w:sz w:val="17"/>
          <w:szCs w:val="17"/>
          <w:color w:val="auto"/>
        </w:rPr>
      </w:pPr>
    </w:p>
    <w:p>
      <w:pPr>
        <w:ind w:firstLine="396"/>
        <w:spacing w:after="0" w:line="342" w:lineRule="auto"/>
        <w:tabs>
          <w:tab w:leader="none" w:pos="698"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Committee has the right to amend, alter, suspend, discontinue or cancel the Restricted Stock Units, prospectively or retroactively; provided, that, no such amendment shall adversely affect the Grantee’s material rights under this Agreement without the Grantee's consent.</w:t>
      </w:r>
    </w:p>
    <w:p>
      <w:pPr>
        <w:spacing w:after="0" w:line="123" w:lineRule="exact"/>
        <w:rPr>
          <w:rFonts w:ascii="Arial" w:cs="Arial" w:eastAsia="Arial" w:hAnsi="Arial"/>
          <w:sz w:val="16"/>
          <w:szCs w:val="16"/>
          <w:color w:val="auto"/>
        </w:rPr>
      </w:pPr>
    </w:p>
    <w:p>
      <w:pPr>
        <w:jc w:val="both"/>
        <w:ind w:firstLine="396"/>
        <w:spacing w:after="0" w:line="257" w:lineRule="auto"/>
        <w:tabs>
          <w:tab w:leader="none" w:pos="67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Grantee on account of non-compliance with Section 409A of the Code.</w:t>
      </w:r>
    </w:p>
    <w:p>
      <w:pPr>
        <w:spacing w:after="0" w:line="187" w:lineRule="exact"/>
        <w:rPr>
          <w:rFonts w:ascii="Arial" w:cs="Arial" w:eastAsia="Arial" w:hAnsi="Arial"/>
          <w:sz w:val="18"/>
          <w:szCs w:val="18"/>
          <w:color w:val="auto"/>
        </w:rPr>
      </w:pPr>
    </w:p>
    <w:p>
      <w:pPr>
        <w:ind w:firstLine="396"/>
        <w:spacing w:after="0" w:line="277" w:lineRule="auto"/>
        <w:tabs>
          <w:tab w:leader="none" w:pos="67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Impact on Other Benefits</w:t>
      </w:r>
      <w:r>
        <w:rPr>
          <w:rFonts w:ascii="Arial" w:cs="Arial" w:eastAsia="Arial" w:hAnsi="Arial"/>
          <w:sz w:val="18"/>
          <w:szCs w:val="18"/>
          <w:color w:val="auto"/>
        </w:rPr>
        <w:t>. The value of the Grantee’s Restricted Stock Units is not part of his or her normal or expected compensation for purposes of calculating any severance, retirement, welfare, insurance or similar employee benefit.</w:t>
      </w:r>
    </w:p>
    <w:p>
      <w:pPr>
        <w:spacing w:after="0" w:line="170" w:lineRule="exact"/>
        <w:rPr>
          <w:rFonts w:ascii="Arial" w:cs="Arial" w:eastAsia="Arial" w:hAnsi="Arial"/>
          <w:sz w:val="18"/>
          <w:szCs w:val="18"/>
          <w:color w:val="auto"/>
        </w:rPr>
      </w:pPr>
    </w:p>
    <w:p>
      <w:pPr>
        <w:jc w:val="both"/>
        <w:ind w:firstLine="396"/>
        <w:spacing w:after="0" w:line="259" w:lineRule="auto"/>
        <w:tabs>
          <w:tab w:leader="none" w:pos="657"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86" w:lineRule="exact"/>
        <w:rPr>
          <w:rFonts w:ascii="Arial" w:cs="Arial" w:eastAsia="Arial" w:hAnsi="Arial"/>
          <w:sz w:val="18"/>
          <w:szCs w:val="18"/>
          <w:color w:val="auto"/>
        </w:rPr>
      </w:pPr>
    </w:p>
    <w:p>
      <w:pPr>
        <w:jc w:val="both"/>
        <w:ind w:firstLine="397"/>
        <w:spacing w:after="0" w:line="279" w:lineRule="auto"/>
        <w:tabs>
          <w:tab w:leader="none" w:pos="659"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Acceptance</w:t>
      </w:r>
      <w:r>
        <w:rPr>
          <w:rFonts w:ascii="Arial" w:cs="Arial" w:eastAsia="Arial" w:hAnsi="Arial"/>
          <w:sz w:val="17"/>
          <w:szCs w:val="17"/>
          <w:color w:val="auto"/>
        </w:rPr>
        <w:t>. The Grantee hereby acknowledges receipt of a copy of the Plan and this Agreement. The Grantee has read and understands the terms and provisions thereof, and accepts the Restricted Stock Units subject to all of the terms and conditions of the Plan and this Agreement. The Grantee acknowledges that there may be adverse tax consequences upon the vesting or settlement of the Restricted Stock Units or disposition of the underlying shares and that the Grantee has been advised to consult a tax advisor prior to such vesting, settlement or disposition.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AGRIFY CORPORATION</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154305</wp:posOffset>
            </wp:positionV>
            <wp:extent cx="28460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4.9</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Restricted Stock Unit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[_________], 20[__] (the "</w:t>
      </w:r>
      <w:r>
        <w:rPr>
          <w:rFonts w:ascii="Arial" w:cs="Arial" w:eastAsia="Arial" w:hAnsi="Arial"/>
          <w:sz w:val="16"/>
          <w:szCs w:val="16"/>
          <w:b w:val="1"/>
          <w:bCs w:val="1"/>
          <w:color w:val="auto"/>
        </w:rPr>
        <w:t>Grant Date</w:t>
      </w:r>
      <w:r>
        <w:rPr>
          <w:rFonts w:ascii="Arial" w:cs="Arial" w:eastAsia="Arial" w:hAnsi="Arial"/>
          <w:sz w:val="16"/>
          <w:szCs w:val="16"/>
          <w:color w:val="auto"/>
        </w:rPr>
        <w:t>") by and between Agrify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Corporation,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[________________] (the "</w:t>
      </w:r>
      <w:r>
        <w:rPr>
          <w:rFonts w:ascii="Arial" w:cs="Arial" w:eastAsia="Arial" w:hAnsi="Arial"/>
          <w:sz w:val="18"/>
          <w:szCs w:val="18"/>
          <w:b w:val="1"/>
          <w:bCs w:val="1"/>
          <w:color w:val="auto"/>
        </w:rPr>
        <w:t>Grantee</w:t>
      </w:r>
      <w:r>
        <w:rPr>
          <w:rFonts w:ascii="Arial" w:cs="Arial" w:eastAsia="Arial" w:hAnsi="Arial"/>
          <w:sz w:val="18"/>
          <w:szCs w:val="18"/>
          <w:color w:val="auto"/>
        </w:rPr>
        <w:t>").</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adopted the Agrify Corporation 2022 Omnibus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pursuant to which awards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may be granted; and</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determined that it is in the best interests of the Company and its shareholders to grant the award of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intending to be legally bound, agree as follows:</w:t>
      </w:r>
    </w:p>
    <w:p>
      <w:pPr>
        <w:spacing w:after="0" w:line="225" w:lineRule="exact"/>
        <w:rPr>
          <w:sz w:val="20"/>
          <w:szCs w:val="20"/>
          <w:color w:val="auto"/>
        </w:rPr>
      </w:pPr>
    </w:p>
    <w:p>
      <w:pPr>
        <w:ind w:left="580" w:hanging="184"/>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w:t>
      </w:r>
    </w:p>
    <w:p>
      <w:pPr>
        <w:spacing w:after="0" w:line="225" w:lineRule="exact"/>
        <w:rPr>
          <w:sz w:val="20"/>
          <w:szCs w:val="20"/>
          <w:color w:val="auto"/>
        </w:rPr>
      </w:pPr>
    </w:p>
    <w:p>
      <w:pPr>
        <w:ind w:left="400" w:firstLine="518"/>
        <w:spacing w:after="0" w:line="291" w:lineRule="auto"/>
        <w:rPr>
          <w:sz w:val="20"/>
          <w:szCs w:val="20"/>
          <w:color w:val="auto"/>
        </w:rPr>
      </w:pPr>
      <w:r>
        <w:rPr>
          <w:rFonts w:ascii="Arial" w:cs="Arial" w:eastAsia="Arial" w:hAnsi="Arial"/>
          <w:sz w:val="16"/>
          <w:szCs w:val="16"/>
          <w:color w:val="auto"/>
        </w:rPr>
        <w:t>1.1 Pursuant to Section 8 of the Plan, the Company hereby issues to the Grantee on the Grant Date an Award consisting of, in the aggregate, [________] Restricted Stock Units (the “</w:t>
      </w:r>
      <w:r>
        <w:rPr>
          <w:rFonts w:ascii="Arial" w:cs="Arial" w:eastAsia="Arial" w:hAnsi="Arial"/>
          <w:sz w:val="16"/>
          <w:szCs w:val="16"/>
          <w:b w:val="1"/>
          <w:bCs w:val="1"/>
          <w:color w:val="auto"/>
        </w:rPr>
        <w:t>Restricted Stock Units</w:t>
      </w:r>
      <w:r>
        <w:rPr>
          <w:rFonts w:ascii="Arial" w:cs="Arial" w:eastAsia="Arial" w:hAnsi="Arial"/>
          <w:sz w:val="16"/>
          <w:szCs w:val="16"/>
          <w:color w:val="auto"/>
        </w:rPr>
        <w:t>”). Each Restricted Stock Unit represents the right to receive one share of Common</w:t>
      </w:r>
    </w:p>
    <w:p>
      <w:pPr>
        <w:ind w:left="400"/>
        <w:spacing w:after="0" w:line="260" w:lineRule="auto"/>
        <w:rPr>
          <w:sz w:val="20"/>
          <w:szCs w:val="20"/>
          <w:color w:val="auto"/>
        </w:rPr>
      </w:pPr>
      <w:r>
        <w:rPr>
          <w:rFonts w:ascii="Arial" w:cs="Arial" w:eastAsia="Arial" w:hAnsi="Arial"/>
          <w:sz w:val="18"/>
          <w:szCs w:val="18"/>
          <w:color w:val="auto"/>
        </w:rPr>
        <w:t>Stock, subject to the terms and conditions set forth in this Agreement and the Plan. Capitalized terms that are used but not defined herein have the meaning ascribed to them in the Plan.</w:t>
      </w:r>
    </w:p>
    <w:p>
      <w:pPr>
        <w:spacing w:after="0" w:line="185" w:lineRule="exact"/>
        <w:rPr>
          <w:sz w:val="20"/>
          <w:szCs w:val="20"/>
          <w:color w:val="auto"/>
        </w:rPr>
      </w:pPr>
    </w:p>
    <w:p>
      <w:pPr>
        <w:ind w:left="400" w:firstLine="518"/>
        <w:spacing w:after="0" w:line="308" w:lineRule="auto"/>
        <w:rPr>
          <w:sz w:val="20"/>
          <w:szCs w:val="20"/>
          <w:color w:val="auto"/>
        </w:rPr>
      </w:pPr>
      <w:r>
        <w:rPr>
          <w:rFonts w:ascii="Arial" w:cs="Arial" w:eastAsia="Arial" w:hAnsi="Arial"/>
          <w:sz w:val="17"/>
          <w:szCs w:val="17"/>
          <w:color w:val="auto"/>
        </w:rPr>
        <w:t>1.2 The Restricted Stock Units shall be credited to a separate account maintained for the Grantee on the books and records of the Company (the “</w:t>
      </w:r>
      <w:r>
        <w:rPr>
          <w:rFonts w:ascii="Arial" w:cs="Arial" w:eastAsia="Arial" w:hAnsi="Arial"/>
          <w:sz w:val="17"/>
          <w:szCs w:val="17"/>
          <w:b w:val="1"/>
          <w:bCs w:val="1"/>
          <w:color w:val="auto"/>
        </w:rPr>
        <w:t>Account</w:t>
      </w:r>
      <w:r>
        <w:rPr>
          <w:rFonts w:ascii="Arial" w:cs="Arial" w:eastAsia="Arial" w:hAnsi="Arial"/>
          <w:sz w:val="17"/>
          <w:szCs w:val="17"/>
          <w:color w:val="auto"/>
        </w:rPr>
        <w:t>”). All amounts credited to the Account shall continue for all purposes to be part of the general assets of the Company.</w:t>
      </w:r>
    </w:p>
    <w:p>
      <w:pPr>
        <w:spacing w:after="0" w:line="146" w:lineRule="exact"/>
        <w:rPr>
          <w:sz w:val="20"/>
          <w:szCs w:val="20"/>
          <w:color w:val="auto"/>
        </w:rPr>
      </w:pPr>
    </w:p>
    <w:p>
      <w:pPr>
        <w:ind w:left="580" w:hanging="184"/>
        <w:spacing w:after="0"/>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The grant of the Restricted Stock Units is made in consideration of the services to be rendered by the Grantee to the Company.</w:t>
      </w:r>
    </w:p>
    <w:p>
      <w:pPr>
        <w:spacing w:after="0" w:line="248" w:lineRule="exact"/>
        <w:rPr>
          <w:rFonts w:ascii="Arial" w:cs="Arial" w:eastAsia="Arial" w:hAnsi="Arial"/>
          <w:sz w:val="16"/>
          <w:szCs w:val="16"/>
          <w:color w:val="auto"/>
        </w:rPr>
      </w:pPr>
    </w:p>
    <w:p>
      <w:pPr>
        <w:ind w:left="580" w:hanging="184"/>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3.1 Except as otherwise provided herein, provided that to the Grantee remains in Continuous Service through the applicable vesting date, the</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Restricted Stock Units will vest in accordance with the following schedule (the period during which restrictions apply, the “</w:t>
      </w:r>
      <w:r>
        <w:rPr>
          <w:rFonts w:ascii="Arial" w:cs="Arial" w:eastAsia="Arial" w:hAnsi="Arial"/>
          <w:sz w:val="17"/>
          <w:szCs w:val="17"/>
          <w:b w:val="1"/>
          <w:bCs w:val="1"/>
          <w:color w:val="auto"/>
        </w:rPr>
        <w:t>Restricted Period</w:t>
      </w:r>
      <w:r>
        <w:rPr>
          <w:rFonts w:ascii="Arial" w:cs="Arial" w:eastAsia="Arial" w:hAnsi="Arial"/>
          <w:sz w:val="17"/>
          <w:szCs w:val="17"/>
          <w:color w:val="auto"/>
        </w:rPr>
        <w:t>”):</w:t>
      </w:r>
    </w:p>
    <w:p>
      <w:pPr>
        <w:sectPr>
          <w:pgSz w:w="11900" w:h="16838" w:orient="portrait"/>
          <w:cols w:equalWidth="0" w:num="1">
            <w:col w:w="11240"/>
          </w:cols>
          <w:pgMar w:left="320" w:top="112" w:right="3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Date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Restricted Stock Units That Vest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0" w:lineRule="exact"/>
        <w:rPr>
          <w:sz w:val="20"/>
          <w:szCs w:val="20"/>
          <w:color w:val="auto"/>
        </w:rPr>
      </w:pPr>
    </w:p>
    <w:p>
      <w:pPr>
        <w:sectPr>
          <w:pgSz w:w="11900" w:h="16838" w:orient="portrait"/>
          <w:cols w:equalWidth="0" w:num="2">
            <w:col w:w="4900" w:space="720"/>
            <w:col w:w="5620"/>
          </w:cols>
          <w:pgMar w:left="320" w:top="112" w:right="339" w:bottom="1440" w:gutter="0" w:footer="0" w:header="0"/>
          <w:type w:val="continuous"/>
        </w:sectPr>
      </w:pPr>
    </w:p>
    <w:p>
      <w:pPr>
        <w:spacing w:after="0" w:line="7"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Once vested, the Restricted Stock Units become "</w:t>
      </w:r>
      <w:r>
        <w:rPr>
          <w:rFonts w:ascii="Arial" w:cs="Arial" w:eastAsia="Arial" w:hAnsi="Arial"/>
          <w:sz w:val="16"/>
          <w:szCs w:val="16"/>
          <w:b w:val="1"/>
          <w:bCs w:val="1"/>
          <w:color w:val="auto"/>
        </w:rPr>
        <w:t>Vested Units.</w:t>
      </w:r>
      <w:r>
        <w:rPr>
          <w:rFonts w:ascii="Arial" w:cs="Arial" w:eastAsia="Arial" w:hAnsi="Arial"/>
          <w:sz w:val="16"/>
          <w:szCs w:val="16"/>
          <w:color w:val="auto"/>
        </w:rPr>
        <w:t>"</w:t>
      </w:r>
    </w:p>
    <w:p>
      <w:pPr>
        <w:sectPr>
          <w:pgSz w:w="11900" w:h="16838" w:orient="portrait"/>
          <w:cols w:equalWidth="0" w:num="1">
            <w:col w:w="11240"/>
          </w:cols>
          <w:pgMar w:left="320" w:top="112" w:right="339" w:bottom="1440" w:gutter="0" w:footer="0" w:header="0"/>
          <w:type w:val="continuous"/>
        </w:sectPr>
      </w:pPr>
    </w:p>
    <w:p>
      <w:pPr>
        <w:spacing w:after="0" w:line="252" w:lineRule="exact"/>
        <w:rPr>
          <w:sz w:val="20"/>
          <w:szCs w:val="20"/>
          <w:color w:val="auto"/>
        </w:rPr>
      </w:pPr>
    </w:p>
    <w:p>
      <w:pPr>
        <w:jc w:val="both"/>
        <w:ind w:left="400" w:firstLine="518"/>
        <w:spacing w:after="0" w:line="311" w:lineRule="auto"/>
        <w:rPr>
          <w:sz w:val="20"/>
          <w:szCs w:val="20"/>
          <w:color w:val="auto"/>
        </w:rPr>
      </w:pPr>
      <w:r>
        <w:rPr>
          <w:rFonts w:ascii="Arial" w:cs="Arial" w:eastAsia="Arial" w:hAnsi="Arial"/>
          <w:sz w:val="16"/>
          <w:szCs w:val="16"/>
          <w:color w:val="auto"/>
        </w:rPr>
        <w:t>3.2 The foregoing vesting schedule notwithstanding, if the Grantee’s Continuous Service terminates for any reason at any time before all of his or her Restricted Stock Units have vested, the Grantee’s unvested Restricted Stock Units shall be automatically forfeited upon such termination of Continuous Service and neither the Company nor any Affiliate shall have any further obligations to the Grantee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1" w:name="page52"/>
    <w:bookmarkEnd w:id="51"/>
    <w:p>
      <w:pPr>
        <w:jc w:val="both"/>
        <w:ind w:left="-20" w:firstLine="397"/>
        <w:spacing w:after="0" w:line="296" w:lineRule="auto"/>
        <w:tabs>
          <w:tab w:leader="none" w:pos="549"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any exceptions set forth in this Agreement or the Plan, during the Restricted Period and until such time as the Restricted Stock Units are settled in accordance with Section 6, the Restricted Stock Units or the rights relating thereto may not be assigned, alienated, pledged, attached, sold or otherwise transferred or encumbered by the Grantee. Any attempt to assign, alienate, pledge, attach, sell or otherwise transfer or encumber the Restricted Stock Units or the rights relating thereto shall be wholly ineffective and, if any such attempt is made, the Restricted Stock Units will be forfeited by the Grantee and all of the Grantee’s rights to such units shall immediately terminate without any payment or consideration by the Company.</w:t>
      </w:r>
    </w:p>
    <w:p>
      <w:pPr>
        <w:spacing w:after="0" w:line="161" w:lineRule="exact"/>
        <w:rPr>
          <w:rFonts w:ascii="Arial" w:cs="Arial" w:eastAsia="Arial" w:hAnsi="Arial"/>
          <w:sz w:val="16"/>
          <w:szCs w:val="16"/>
          <w:color w:val="auto"/>
        </w:rPr>
      </w:pPr>
    </w:p>
    <w:p>
      <w:pPr>
        <w:ind w:left="560" w:hanging="184"/>
        <w:spacing w:after="0"/>
        <w:tabs>
          <w:tab w:leader="none" w:pos="5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Rights as Shareholder</w:t>
      </w:r>
      <w:r>
        <w:rPr>
          <w:rFonts w:ascii="Arial" w:cs="Arial" w:eastAsia="Arial" w:hAnsi="Arial"/>
          <w:sz w:val="18"/>
          <w:szCs w:val="18"/>
          <w:color w:val="auto"/>
        </w:rPr>
        <w:t>.</w:t>
      </w:r>
    </w:p>
    <w:p>
      <w:pPr>
        <w:spacing w:after="0" w:line="225" w:lineRule="exact"/>
        <w:rPr>
          <w:sz w:val="20"/>
          <w:szCs w:val="20"/>
          <w:color w:val="auto"/>
        </w:rPr>
      </w:pPr>
    </w:p>
    <w:p>
      <w:pPr>
        <w:jc w:val="both"/>
        <w:ind w:left="380" w:firstLine="518"/>
        <w:spacing w:after="0" w:line="277" w:lineRule="auto"/>
        <w:rPr>
          <w:sz w:val="20"/>
          <w:szCs w:val="20"/>
          <w:color w:val="auto"/>
        </w:rPr>
      </w:pPr>
      <w:r>
        <w:rPr>
          <w:rFonts w:ascii="Arial" w:cs="Arial" w:eastAsia="Arial" w:hAnsi="Arial"/>
          <w:sz w:val="18"/>
          <w:szCs w:val="18"/>
          <w:color w:val="auto"/>
        </w:rPr>
        <w:t>5.1 The Grantee shall not have any rights of a shareholder with respect to the shares of Common Stock underlying the Restricted Stock Units unless and until the Restricted Stock Units vest and are settled by the issuance of such shares of Common Stock.</w:t>
      </w:r>
    </w:p>
    <w:p>
      <w:pPr>
        <w:spacing w:after="0" w:line="170" w:lineRule="exact"/>
        <w:rPr>
          <w:sz w:val="20"/>
          <w:szCs w:val="20"/>
          <w:color w:val="auto"/>
        </w:rPr>
      </w:pPr>
    </w:p>
    <w:p>
      <w:pPr>
        <w:jc w:val="both"/>
        <w:ind w:left="380" w:firstLine="518"/>
        <w:spacing w:after="0" w:line="263" w:lineRule="auto"/>
        <w:rPr>
          <w:sz w:val="20"/>
          <w:szCs w:val="20"/>
          <w:color w:val="auto"/>
        </w:rPr>
      </w:pPr>
      <w:r>
        <w:rPr>
          <w:rFonts w:ascii="Arial" w:cs="Arial" w:eastAsia="Arial" w:hAnsi="Arial"/>
          <w:sz w:val="18"/>
          <w:szCs w:val="18"/>
          <w:color w:val="auto"/>
        </w:rPr>
        <w:t>5.2 Upon and following the settlement of the Restricted Stock Units, the Grantee shall be the record owner of the shares of Common Stock underlying the Restricted Stock Units unless and until such shares are sold or otherwise disposed of, and as record owner shall be entitled to all rights of a shareholder of the Company (including voting rights).</w:t>
      </w:r>
    </w:p>
    <w:p>
      <w:pPr>
        <w:spacing w:after="0" w:line="184" w:lineRule="exact"/>
        <w:rPr>
          <w:sz w:val="20"/>
          <w:szCs w:val="20"/>
          <w:color w:val="auto"/>
        </w:rPr>
      </w:pPr>
    </w:p>
    <w:p>
      <w:pPr>
        <w:jc w:val="both"/>
        <w:ind w:left="380" w:right="20" w:firstLine="518"/>
        <w:spacing w:after="0" w:line="277" w:lineRule="auto"/>
        <w:rPr>
          <w:sz w:val="20"/>
          <w:szCs w:val="20"/>
          <w:color w:val="auto"/>
        </w:rPr>
      </w:pPr>
      <w:r>
        <w:rPr>
          <w:rFonts w:ascii="Arial" w:cs="Arial" w:eastAsia="Arial" w:hAnsi="Arial"/>
          <w:sz w:val="18"/>
          <w:szCs w:val="18"/>
          <w:color w:val="auto"/>
        </w:rPr>
        <w:t>5.3 The Grantee shall not be entitled to any payments with respect to the Restricted Stock Units to reflect any dividends payable on shares of Common Stock.</w:t>
      </w:r>
    </w:p>
    <w:p>
      <w:pPr>
        <w:spacing w:after="0" w:line="170" w:lineRule="exact"/>
        <w:rPr>
          <w:sz w:val="20"/>
          <w:szCs w:val="20"/>
          <w:color w:val="auto"/>
        </w:rPr>
      </w:pPr>
    </w:p>
    <w:p>
      <w:pPr>
        <w:ind w:left="560" w:hanging="184"/>
        <w:spacing w:after="0"/>
        <w:tabs>
          <w:tab w:leader="none" w:pos="5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Settlement of Restricted Stock Units</w:t>
      </w:r>
      <w:r>
        <w:rPr>
          <w:rFonts w:ascii="Arial" w:cs="Arial" w:eastAsia="Arial" w:hAnsi="Arial"/>
          <w:sz w:val="18"/>
          <w:szCs w:val="18"/>
          <w:color w:val="auto"/>
        </w:rPr>
        <w:t>.</w:t>
      </w:r>
    </w:p>
    <w:p>
      <w:pPr>
        <w:spacing w:after="0" w:line="225" w:lineRule="exact"/>
        <w:rPr>
          <w:sz w:val="20"/>
          <w:szCs w:val="20"/>
          <w:color w:val="auto"/>
        </w:rPr>
      </w:pPr>
    </w:p>
    <w:p>
      <w:pPr>
        <w:jc w:val="both"/>
        <w:ind w:left="380" w:firstLine="518"/>
        <w:spacing w:after="0" w:line="259" w:lineRule="auto"/>
        <w:rPr>
          <w:sz w:val="20"/>
          <w:szCs w:val="20"/>
          <w:color w:val="auto"/>
        </w:rPr>
      </w:pPr>
      <w:r>
        <w:rPr>
          <w:rFonts w:ascii="Arial" w:cs="Arial" w:eastAsia="Arial" w:hAnsi="Arial"/>
          <w:sz w:val="18"/>
          <w:szCs w:val="18"/>
          <w:color w:val="auto"/>
        </w:rPr>
        <w:t>6.1 Subject to Section 9 hereof, promptly following the vesting date, and in any event no later than March 15 of the calendar year following the calendar year in which such vesting occurs, the Company shall (a) issue and deliver to the Grantee the number of shares of Common Stock equal to the number of Vested Units; and (b) enter the Grantee’s name on the books of the Company as the shareholder of record with respect to the shares of Common Stock delivered to the Grantee.</w:t>
      </w:r>
    </w:p>
    <w:p>
      <w:pPr>
        <w:spacing w:after="0" w:line="187" w:lineRule="exact"/>
        <w:rPr>
          <w:sz w:val="20"/>
          <w:szCs w:val="20"/>
          <w:color w:val="auto"/>
        </w:rPr>
      </w:pPr>
    </w:p>
    <w:p>
      <w:pPr>
        <w:jc w:val="both"/>
        <w:ind w:left="380" w:firstLine="518"/>
        <w:spacing w:after="0" w:line="263" w:lineRule="auto"/>
        <w:rPr>
          <w:sz w:val="20"/>
          <w:szCs w:val="20"/>
          <w:color w:val="auto"/>
        </w:rPr>
      </w:pPr>
      <w:r>
        <w:rPr>
          <w:rFonts w:ascii="Arial" w:cs="Arial" w:eastAsia="Arial" w:hAnsi="Arial"/>
          <w:sz w:val="18"/>
          <w:szCs w:val="18"/>
          <w:color w:val="auto"/>
        </w:rPr>
        <w:t>6.2 Notwithstanding Section 6.1, in accordance with Section 17.5 of the Plan, the Committee may, but is not required to, prescribe rules pursuant to which the Grantee may elect to defer settlement of the Restricted Stock Units. Any deferral election must be made in compliance with such rules and procedures as the Committee deems advisable.</w:t>
      </w:r>
    </w:p>
    <w:p>
      <w:pPr>
        <w:spacing w:after="0" w:line="184" w:lineRule="exact"/>
        <w:rPr>
          <w:sz w:val="20"/>
          <w:szCs w:val="20"/>
          <w:color w:val="auto"/>
        </w:rPr>
      </w:pPr>
    </w:p>
    <w:p>
      <w:pPr>
        <w:jc w:val="both"/>
        <w:ind w:left="380" w:firstLine="518"/>
        <w:spacing w:after="0" w:line="277" w:lineRule="auto"/>
        <w:rPr>
          <w:sz w:val="20"/>
          <w:szCs w:val="20"/>
          <w:color w:val="auto"/>
        </w:rPr>
      </w:pPr>
      <w:r>
        <w:rPr>
          <w:rFonts w:ascii="Arial" w:cs="Arial" w:eastAsia="Arial" w:hAnsi="Arial"/>
          <w:sz w:val="18"/>
          <w:szCs w:val="18"/>
          <w:color w:val="auto"/>
        </w:rPr>
        <w:t>6.3 To the extent that the Grantee does not vest in any Restricted Stock Units, all interest in such Restricted Stock Units shall be forfeited. The Grantee has no right or interest in any Restricted Stock Units that are forfeited.</w:t>
      </w:r>
    </w:p>
    <w:p>
      <w:pPr>
        <w:spacing w:after="0" w:line="170" w:lineRule="exact"/>
        <w:rPr>
          <w:sz w:val="20"/>
          <w:szCs w:val="20"/>
          <w:color w:val="auto"/>
        </w:rPr>
      </w:pPr>
    </w:p>
    <w:p>
      <w:pPr>
        <w:ind w:left="-20" w:firstLine="396"/>
        <w:spacing w:after="0" w:line="277" w:lineRule="auto"/>
        <w:tabs>
          <w:tab w:leader="none" w:pos="56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 on the Board</w:t>
      </w:r>
      <w:r>
        <w:rPr>
          <w:rFonts w:ascii="Arial" w:cs="Arial" w:eastAsia="Arial" w:hAnsi="Arial"/>
          <w:sz w:val="18"/>
          <w:szCs w:val="18"/>
          <w:color w:val="auto"/>
        </w:rPr>
        <w:t>. Neither the Plan nor this Agreement shall confer upon the Grantee any right to be retained in any position, as an Employee, Consultant or Director of the Company.</w:t>
      </w:r>
    </w:p>
    <w:p>
      <w:pPr>
        <w:spacing w:after="0" w:line="170" w:lineRule="exact"/>
        <w:rPr>
          <w:rFonts w:ascii="Arial" w:cs="Arial" w:eastAsia="Arial" w:hAnsi="Arial"/>
          <w:sz w:val="18"/>
          <w:szCs w:val="18"/>
          <w:color w:val="auto"/>
        </w:rPr>
      </w:pPr>
    </w:p>
    <w:p>
      <w:pPr>
        <w:ind w:left="-20" w:firstLine="396"/>
        <w:spacing w:after="0" w:line="277" w:lineRule="auto"/>
        <w:tabs>
          <w:tab w:leader="none" w:pos="56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If any change is made to the outstanding Common Stock or the capital structure of the Company, if required, the Restricted Stock Units shall be adjusted or terminated in any manner as contemplated by Section 14 of the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2" w:name="page53"/>
    <w:bookmarkEnd w:id="52"/>
    <w:p>
      <w:pPr>
        <w:ind w:left="580" w:hanging="184"/>
        <w:spacing w:after="0"/>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Tax Liability and Withholding</w:t>
      </w:r>
      <w:r>
        <w:rPr>
          <w:rFonts w:ascii="Arial" w:cs="Arial" w:eastAsia="Arial" w:hAnsi="Arial"/>
          <w:sz w:val="18"/>
          <w:szCs w:val="18"/>
          <w:color w:val="auto"/>
        </w:rPr>
        <w:t>.</w:t>
      </w:r>
    </w:p>
    <w:p>
      <w:pPr>
        <w:spacing w:after="0" w:line="225" w:lineRule="exact"/>
        <w:rPr>
          <w:sz w:val="20"/>
          <w:szCs w:val="20"/>
          <w:color w:val="auto"/>
        </w:rPr>
      </w:pPr>
    </w:p>
    <w:p>
      <w:pPr>
        <w:jc w:val="both"/>
        <w:ind w:left="400" w:firstLine="518"/>
        <w:spacing w:after="0" w:line="279" w:lineRule="auto"/>
        <w:rPr>
          <w:sz w:val="20"/>
          <w:szCs w:val="20"/>
          <w:color w:val="auto"/>
        </w:rPr>
      </w:pPr>
      <w:r>
        <w:rPr>
          <w:rFonts w:ascii="Arial" w:cs="Arial" w:eastAsia="Arial" w:hAnsi="Arial"/>
          <w:sz w:val="17"/>
          <w:szCs w:val="17"/>
          <w:color w:val="auto"/>
        </w:rPr>
        <w:t>9.1 The Grantee shall be required to pay to the Company, and the Company shall have the right to deduct from any compensation paid to the Grantee pursuant to the Plan, the amount of any required withholding taxes in respect of the Restricted Stock Units and to take all such other action as the Committee deems necessary to satisfy all obligations for the payment of such withholding taxes. The Committee may permit the Grantee to satisfy any federal, state or local tax withholding obligation by any of the following means, or by a combination of such means:</w:t>
      </w:r>
    </w:p>
    <w:p>
      <w:pPr>
        <w:spacing w:after="0" w:line="171" w:lineRule="exact"/>
        <w:rPr>
          <w:sz w:val="20"/>
          <w:szCs w:val="20"/>
          <w:color w:val="auto"/>
        </w:rPr>
      </w:pPr>
    </w:p>
    <w:p>
      <w:pPr>
        <w:ind w:left="1800" w:hanging="237"/>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tendering a cash payment.</w:t>
      </w:r>
    </w:p>
    <w:p>
      <w:pPr>
        <w:spacing w:after="0" w:line="225" w:lineRule="exact"/>
        <w:rPr>
          <w:rFonts w:ascii="Arial" w:cs="Arial" w:eastAsia="Arial" w:hAnsi="Arial"/>
          <w:sz w:val="18"/>
          <w:szCs w:val="18"/>
          <w:color w:val="auto"/>
        </w:rPr>
      </w:pPr>
    </w:p>
    <w:p>
      <w:pPr>
        <w:jc w:val="both"/>
        <w:ind w:left="920" w:firstLine="643"/>
        <w:spacing w:after="0" w:line="263" w:lineRule="auto"/>
        <w:tabs>
          <w:tab w:leader="none" w:pos="186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authorizing the Company to withhold shares of Common Stock from the shares of Common Stock otherwise issuable or deliverable to the Grantee as a result of the vesting of the Restricted Stock Units; provided, however, that no shares of Common Stock shall be withheld with a value exceeding the maximum amount of tax required to be withheld by law.</w:t>
      </w:r>
    </w:p>
    <w:p>
      <w:pPr>
        <w:spacing w:after="0" w:line="183" w:lineRule="exact"/>
        <w:rPr>
          <w:rFonts w:ascii="Arial" w:cs="Arial" w:eastAsia="Arial" w:hAnsi="Arial"/>
          <w:sz w:val="18"/>
          <w:szCs w:val="18"/>
          <w:color w:val="auto"/>
        </w:rPr>
      </w:pPr>
    </w:p>
    <w:p>
      <w:pPr>
        <w:ind w:left="1800" w:hanging="237"/>
        <w:spacing w:after="0"/>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delivering to the Company previously owned and unencumbered shares of Common Stock.</w:t>
      </w:r>
    </w:p>
    <w:p>
      <w:pPr>
        <w:spacing w:after="0" w:line="225" w:lineRule="exact"/>
        <w:rPr>
          <w:sz w:val="20"/>
          <w:szCs w:val="20"/>
          <w:color w:val="auto"/>
        </w:rPr>
      </w:pPr>
    </w:p>
    <w:p>
      <w:pPr>
        <w:jc w:val="both"/>
        <w:ind w:left="400" w:firstLine="518"/>
        <w:spacing w:after="0" w:line="257" w:lineRule="auto"/>
        <w:rPr>
          <w:sz w:val="20"/>
          <w:szCs w:val="20"/>
          <w:color w:val="auto"/>
        </w:rPr>
      </w:pPr>
      <w:r>
        <w:rPr>
          <w:rFonts w:ascii="Arial" w:cs="Arial" w:eastAsia="Arial" w:hAnsi="Arial"/>
          <w:sz w:val="18"/>
          <w:szCs w:val="18"/>
          <w:color w:val="auto"/>
        </w:rPr>
        <w:t>9.2 Notwithstanding any action the Company takes with respect to any or all income tax, social insurance, payroll tax, or other tax-related withholding (“</w:t>
      </w:r>
      <w:r>
        <w:rPr>
          <w:rFonts w:ascii="Arial" w:cs="Arial" w:eastAsia="Arial" w:hAnsi="Arial"/>
          <w:sz w:val="18"/>
          <w:szCs w:val="18"/>
          <w:b w:val="1"/>
          <w:bCs w:val="1"/>
          <w:color w:val="auto"/>
        </w:rPr>
        <w:t>Tax-Related Items</w:t>
      </w:r>
      <w:r>
        <w:rPr>
          <w:rFonts w:ascii="Arial" w:cs="Arial" w:eastAsia="Arial" w:hAnsi="Arial"/>
          <w:sz w:val="18"/>
          <w:szCs w:val="18"/>
          <w:color w:val="auto"/>
        </w:rPr>
        <w:t>”), the ultimate liability for all Tax-Related Items is and remains the Grantee's responsibility and the Company (a) makes no representation or undertakings regarding the treatment of any Tax-Related Items in connection with the grant, vesting or settlement of the Restricted Stock Units or the subsequent sale of any shares; and (b) does not commit to structure the Restricted Stock Units to reduce or eliminate the Grantee's liability for Tax-Related Items.</w:t>
      </w:r>
    </w:p>
    <w:p>
      <w:pPr>
        <w:spacing w:after="0" w:line="188" w:lineRule="exact"/>
        <w:rPr>
          <w:sz w:val="20"/>
          <w:szCs w:val="20"/>
          <w:color w:val="auto"/>
        </w:rPr>
      </w:pPr>
    </w:p>
    <w:p>
      <w:pPr>
        <w:jc w:val="both"/>
        <w:ind w:firstLine="396"/>
        <w:spacing w:after="0" w:line="279" w:lineRule="auto"/>
        <w:tabs>
          <w:tab w:leader="none" w:pos="657"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Compliance with Law</w:t>
      </w:r>
      <w:r>
        <w:rPr>
          <w:rFonts w:ascii="Arial" w:cs="Arial" w:eastAsia="Arial" w:hAnsi="Arial"/>
          <w:sz w:val="17"/>
          <w:szCs w:val="17"/>
          <w:color w:val="auto"/>
        </w:rPr>
        <w:t>. The issuance and transfer of shares of Common Stock shall be subject to compliance by the Company and the Grantee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w:t>
      </w:r>
    </w:p>
    <w:p>
      <w:pPr>
        <w:spacing w:after="0" w:line="171" w:lineRule="exact"/>
        <w:rPr>
          <w:rFonts w:ascii="Arial" w:cs="Arial" w:eastAsia="Arial" w:hAnsi="Arial"/>
          <w:sz w:val="17"/>
          <w:szCs w:val="17"/>
          <w:color w:val="auto"/>
        </w:rPr>
      </w:pPr>
    </w:p>
    <w:p>
      <w:pPr>
        <w:jc w:val="both"/>
        <w:ind w:firstLine="396"/>
        <w:spacing w:after="0" w:line="259" w:lineRule="auto"/>
        <w:tabs>
          <w:tab w:leader="none" w:pos="66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to be delivered to the Company under this Agreement shall be in writing and addressed to the Secretary of the Company at the Company’s principal corporate offices. Any notice required to be delivered to the Grantee under this Agreement shall be in writing and addressed to the Grantee at the Grantee’s address as shown in the records of the Company. Either party may designate another address in writing (or by such other method approved by the Company) from time to time.</w:t>
      </w:r>
    </w:p>
    <w:p>
      <w:pPr>
        <w:spacing w:after="0" w:line="186" w:lineRule="exact"/>
        <w:rPr>
          <w:rFonts w:ascii="Arial" w:cs="Arial" w:eastAsia="Arial" w:hAnsi="Arial"/>
          <w:sz w:val="18"/>
          <w:szCs w:val="18"/>
          <w:color w:val="auto"/>
        </w:rPr>
      </w:pPr>
    </w:p>
    <w:p>
      <w:pPr>
        <w:ind w:firstLine="396"/>
        <w:spacing w:after="0" w:line="277" w:lineRule="auto"/>
        <w:tabs>
          <w:tab w:leader="none" w:pos="65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construed and interpreted in accordance with the laws of the State of Nevada, without regard to conflict of law principles.</w:t>
      </w:r>
    </w:p>
    <w:p>
      <w:pPr>
        <w:spacing w:after="0" w:line="170" w:lineRule="exact"/>
        <w:rPr>
          <w:rFonts w:ascii="Arial" w:cs="Arial" w:eastAsia="Arial" w:hAnsi="Arial"/>
          <w:sz w:val="18"/>
          <w:szCs w:val="18"/>
          <w:color w:val="auto"/>
        </w:rPr>
      </w:pPr>
    </w:p>
    <w:p>
      <w:pPr>
        <w:jc w:val="both"/>
        <w:ind w:firstLine="396"/>
        <w:spacing w:after="0" w:line="263" w:lineRule="auto"/>
        <w:tabs>
          <w:tab w:leader="none" w:pos="67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Agreement shall be submitted by the Grantee or the Company to the Committee (excluding the Grantee if the Grantee serves on the Committee) for review. The resolution of such dispute by the Committee shall be final and binding on the Grantee and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397"/>
        <w:spacing w:after="0" w:line="286" w:lineRule="auto"/>
        <w:tabs>
          <w:tab w:leader="none" w:pos="686"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Restricted Stock Units Subject to Plan</w:t>
      </w:r>
      <w:r>
        <w:rPr>
          <w:rFonts w:ascii="Arial" w:cs="Arial" w:eastAsia="Arial" w:hAnsi="Arial"/>
          <w:sz w:val="17"/>
          <w:szCs w:val="17"/>
          <w:color w:val="auto"/>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65" w:lineRule="exact"/>
        <w:rPr>
          <w:rFonts w:ascii="Arial" w:cs="Arial" w:eastAsia="Arial" w:hAnsi="Arial"/>
          <w:sz w:val="17"/>
          <w:szCs w:val="17"/>
          <w:color w:val="auto"/>
        </w:rPr>
      </w:pPr>
    </w:p>
    <w:p>
      <w:pPr>
        <w:jc w:val="both"/>
        <w:ind w:firstLine="396"/>
        <w:spacing w:after="0" w:line="259" w:lineRule="auto"/>
        <w:tabs>
          <w:tab w:leader="none" w:pos="65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Grantee and the Grantee’s beneficiaries, executors, administrators and the person(s) to whom the Restricted Stock Units may be transferred by will or the laws of descent or distribution.</w:t>
      </w:r>
    </w:p>
    <w:p>
      <w:pPr>
        <w:spacing w:after="0" w:line="186" w:lineRule="exact"/>
        <w:rPr>
          <w:rFonts w:ascii="Arial" w:cs="Arial" w:eastAsia="Arial" w:hAnsi="Arial"/>
          <w:sz w:val="18"/>
          <w:szCs w:val="18"/>
          <w:color w:val="auto"/>
        </w:rPr>
      </w:pPr>
    </w:p>
    <w:p>
      <w:pPr>
        <w:jc w:val="both"/>
        <w:ind w:firstLine="396"/>
        <w:spacing w:after="0" w:line="263" w:lineRule="auto"/>
        <w:tabs>
          <w:tab w:leader="none" w:pos="65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83" w:lineRule="exact"/>
        <w:rPr>
          <w:rFonts w:ascii="Arial" w:cs="Arial" w:eastAsia="Arial" w:hAnsi="Arial"/>
          <w:sz w:val="18"/>
          <w:szCs w:val="18"/>
          <w:color w:val="auto"/>
        </w:rPr>
      </w:pPr>
    </w:p>
    <w:p>
      <w:pPr>
        <w:jc w:val="both"/>
        <w:ind w:firstLine="396"/>
        <w:spacing w:after="0" w:line="279" w:lineRule="auto"/>
        <w:tabs>
          <w:tab w:leader="none" w:pos="684"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Discretionary Nature of Plan</w:t>
      </w:r>
      <w:r>
        <w:rPr>
          <w:rFonts w:ascii="Arial" w:cs="Arial" w:eastAsia="Arial" w:hAnsi="Arial"/>
          <w:sz w:val="17"/>
          <w:szCs w:val="17"/>
          <w:color w:val="auto"/>
        </w:rPr>
        <w:t>. The Plan is discretionary and may be amended, cancelled or terminated by the Company at any time, in its discretion. The grant of the Restricted Stock Units in this Agreement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the Grantee's membership on the Board.</w:t>
      </w:r>
    </w:p>
    <w:p>
      <w:pPr>
        <w:spacing w:after="0" w:line="171" w:lineRule="exact"/>
        <w:rPr>
          <w:rFonts w:ascii="Arial" w:cs="Arial" w:eastAsia="Arial" w:hAnsi="Arial"/>
          <w:sz w:val="17"/>
          <w:szCs w:val="17"/>
          <w:color w:val="auto"/>
        </w:rPr>
      </w:pPr>
    </w:p>
    <w:p>
      <w:pPr>
        <w:ind w:firstLine="396"/>
        <w:spacing w:after="0" w:line="342" w:lineRule="auto"/>
        <w:tabs>
          <w:tab w:leader="none" w:pos="69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Committee has the right to amend, alter, suspend, discontinue or cancel the Restricted Stock Units, prospectively or retroactively; provided, that, no such amendment shall adversely affect the Grantee’s material rights under this Agreement without the Grantee's consent.</w:t>
      </w:r>
    </w:p>
    <w:p>
      <w:pPr>
        <w:spacing w:after="0" w:line="123" w:lineRule="exact"/>
        <w:rPr>
          <w:rFonts w:ascii="Arial" w:cs="Arial" w:eastAsia="Arial" w:hAnsi="Arial"/>
          <w:sz w:val="16"/>
          <w:szCs w:val="16"/>
          <w:color w:val="auto"/>
        </w:rPr>
      </w:pPr>
    </w:p>
    <w:p>
      <w:pPr>
        <w:jc w:val="both"/>
        <w:ind w:firstLine="396"/>
        <w:spacing w:after="0" w:line="257" w:lineRule="auto"/>
        <w:tabs>
          <w:tab w:leader="none" w:pos="671"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Grantee on account of non-compliance with Section 409A of the Code.</w:t>
      </w:r>
    </w:p>
    <w:p>
      <w:pPr>
        <w:spacing w:after="0" w:line="187" w:lineRule="exact"/>
        <w:rPr>
          <w:rFonts w:ascii="Arial" w:cs="Arial" w:eastAsia="Arial" w:hAnsi="Arial"/>
          <w:sz w:val="18"/>
          <w:szCs w:val="18"/>
          <w:color w:val="auto"/>
        </w:rPr>
      </w:pPr>
    </w:p>
    <w:p>
      <w:pPr>
        <w:jc w:val="both"/>
        <w:ind w:firstLine="396"/>
        <w:spacing w:after="0" w:line="259" w:lineRule="auto"/>
        <w:tabs>
          <w:tab w:leader="none" w:pos="65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86" w:lineRule="exact"/>
        <w:rPr>
          <w:rFonts w:ascii="Arial" w:cs="Arial" w:eastAsia="Arial" w:hAnsi="Arial"/>
          <w:sz w:val="18"/>
          <w:szCs w:val="18"/>
          <w:color w:val="auto"/>
        </w:rPr>
      </w:pPr>
    </w:p>
    <w:p>
      <w:pPr>
        <w:jc w:val="both"/>
        <w:ind w:firstLine="397"/>
        <w:spacing w:after="0" w:line="279" w:lineRule="auto"/>
        <w:tabs>
          <w:tab w:leader="none" w:pos="659"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Acceptance</w:t>
      </w:r>
      <w:r>
        <w:rPr>
          <w:rFonts w:ascii="Arial" w:cs="Arial" w:eastAsia="Arial" w:hAnsi="Arial"/>
          <w:sz w:val="17"/>
          <w:szCs w:val="17"/>
          <w:color w:val="auto"/>
        </w:rPr>
        <w:t>. The Grantee hereby acknowledges receipt of a copy of the Plan and this Agreement. The Grantee has read and understands the terms and provisions thereof, and accepts the Restricted Stock Units subject to all of the terms and conditions of the Plan and this Agreement. The Grantee acknowledges that there may be adverse tax consequences upon the vesting or settlement of the Restricted Stock Units or disposition of the underlying shares and that the Grantee has been advised to consult a tax advisor prior to such vesting, settlement or disposition.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AGRIFY CORPORATION</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283210</wp:posOffset>
            </wp:positionV>
            <wp:extent cx="28460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187960</wp:posOffset>
            </wp:positionV>
            <wp:extent cx="3137535" cy="351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3137535" cy="3511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300"/>
        <w:spacing w:after="0" w:line="282" w:lineRule="auto"/>
        <w:rPr>
          <w:sz w:val="20"/>
          <w:szCs w:val="20"/>
          <w:color w:val="auto"/>
        </w:rPr>
      </w:pPr>
      <w:r>
        <w:rPr>
          <w:rFonts w:ascii="Arial" w:cs="Arial" w:eastAsia="Arial" w:hAnsi="Arial"/>
          <w:sz w:val="18"/>
          <w:szCs w:val="18"/>
          <w:b w:val="1"/>
          <w:bCs w:val="1"/>
          <w:color w:val="7BA4DB"/>
        </w:rPr>
        <w:t>50 West Liberty Street, Suite 1000, Reno, Nevada 89501-1950 Telephone: 775.323.1980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60"/>
        <w:spacing w:after="0" w:line="282" w:lineRule="auto"/>
        <w:rPr>
          <w:sz w:val="20"/>
          <w:szCs w:val="20"/>
          <w:color w:val="auto"/>
        </w:rPr>
      </w:pPr>
      <w:r>
        <w:rPr>
          <w:rFonts w:ascii="Arial" w:cs="Arial" w:eastAsia="Arial" w:hAnsi="Arial"/>
          <w:sz w:val="18"/>
          <w:szCs w:val="18"/>
          <w:b w:val="1"/>
          <w:bCs w:val="1"/>
          <w:color w:val="7BA4DB"/>
        </w:rPr>
        <w:t>3960 Howard Hughes Parkway, Suite 500, Las Vegas, Nevada 89169 Telephone: 702.387.6073</w:t>
      </w:r>
    </w:p>
    <w:p>
      <w:pPr>
        <w:spacing w:after="0" w:line="166" w:lineRule="exact"/>
        <w:rPr>
          <w:sz w:val="20"/>
          <w:szCs w:val="20"/>
          <w:color w:val="auto"/>
        </w:rPr>
      </w:pPr>
    </w:p>
    <w:p>
      <w:pPr>
        <w:sectPr>
          <w:pgSz w:w="11900" w:h="16838" w:orient="portrait"/>
          <w:cols w:equalWidth="0" w:num="2">
            <w:col w:w="5000" w:space="660"/>
            <w:col w:w="5580"/>
          </w:cols>
          <w:pgMar w:left="320" w:top="112" w:right="3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June 30, 2021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Agrify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 Tremble Cove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Billerica, Massachusetts 01862</w:t>
      </w:r>
    </w:p>
    <w:p>
      <w:pPr>
        <w:sectPr>
          <w:pgSz w:w="11900" w:h="16838" w:orient="portrait"/>
          <w:cols w:equalWidth="0" w:num="1">
            <w:col w:w="11240"/>
          </w:cols>
          <w:pgMar w:left="320" w:top="112" w:right="3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i w:val="1"/>
          <w:iCs w:val="1"/>
          <w:color w:val="auto"/>
        </w:rPr>
        <w:t>Re:</w:t>
      </w:r>
      <w:r>
        <w:rPr>
          <w:sz w:val="20"/>
          <w:szCs w:val="20"/>
          <w:color w:val="auto"/>
        </w:rPr>
        <w:tab/>
      </w:r>
      <w:r>
        <w:rPr>
          <w:rFonts w:ascii="Arial" w:cs="Arial" w:eastAsia="Arial" w:hAnsi="Arial"/>
          <w:sz w:val="18"/>
          <w:szCs w:val="18"/>
          <w:b w:val="1"/>
          <w:bCs w:val="1"/>
          <w:i w:val="1"/>
          <w:iCs w:val="1"/>
          <w:color w:val="auto"/>
        </w:rPr>
        <w:t>Agrify Corporation/Registration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acted as special Nevada counsel to Agrify Corporation, a Nevada corporation (the “Company”), in connection with the registration by the Company of 5,796,647 shares (the “Shares”) of its common stock, $0.001 par value (the “Common Stock”) on Form S-8 (the “Registration Statement”) under the Securities Act of 1933, as amended (“Securities Act”), as filed with the Securities and Exchange Commission (“Commission”). Of the 5,796,647 Shares to be registered, 5,296,647 Shares are reserved and may be issued under the Company’s 2022 Omnibus Equity Inventive Plan (the “ Equity Incentive Plan”) and 500,000 Shares are reserved and may be issued under the Company’s 2022 Employee Stock Purchase Plan (the “Stock Purchase Plan”).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these opinions, we have examined originals or copies, certified or otherwise identified to our satisfaction, of:</w:t>
      </w:r>
    </w:p>
    <w:p>
      <w:pPr>
        <w:spacing w:after="0" w:line="225" w:lineRule="exact"/>
        <w:rPr>
          <w:sz w:val="20"/>
          <w:szCs w:val="20"/>
          <w:color w:val="auto"/>
        </w:rPr>
      </w:pPr>
    </w:p>
    <w:p>
      <w:pPr>
        <w:ind w:left="900" w:hanging="244"/>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2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Articles of Incorporation of the Company filed with the Nevada Secretary of State on June 6, 2016, as amended by the Certificate of Change filed with the Nevada Secretary of State on May 24, 2019, the Certificate of Amendment filed with the Nevada Secretary of State on September 16, 2019, the Certificate of Amendment filed with the Nevada Secretary of State on January 7, 2020, and the Certificate of Amendment filed with the Nevada Secretary of State on January 12, 2021 (collectively, the “Articles of Incorporation”);</w:t>
      </w:r>
    </w:p>
    <w:p>
      <w:pPr>
        <w:spacing w:after="0" w:line="186" w:lineRule="exact"/>
        <w:rPr>
          <w:rFonts w:ascii="Arial" w:cs="Arial" w:eastAsia="Arial" w:hAnsi="Arial"/>
          <w:sz w:val="18"/>
          <w:szCs w:val="18"/>
          <w:color w:val="auto"/>
        </w:rPr>
      </w:pPr>
    </w:p>
    <w:p>
      <w:pPr>
        <w:ind w:left="900" w:hanging="244"/>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Amended and Restated Bylaws of the Company, adopted on December 18, 2020;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Equity Incentive Plan;</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Stock Purchase Plan;</w:t>
      </w:r>
    </w:p>
    <w:p>
      <w:pPr>
        <w:spacing w:after="0" w:line="225" w:lineRule="exact"/>
        <w:rPr>
          <w:sz w:val="20"/>
          <w:szCs w:val="20"/>
          <w:color w:val="auto"/>
        </w:rPr>
      </w:pPr>
    </w:p>
    <w:p>
      <w:pPr>
        <w:ind w:left="900" w:hanging="244"/>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forms of agreements the grant of awards under the Equity Incentive Plan; and</w:t>
      </w:r>
    </w:p>
    <w:p>
      <w:pPr>
        <w:spacing w:after="0" w:line="225" w:lineRule="exact"/>
        <w:rPr>
          <w:rFonts w:ascii="Arial" w:cs="Arial" w:eastAsia="Arial" w:hAnsi="Arial"/>
          <w:sz w:val="18"/>
          <w:szCs w:val="18"/>
          <w:color w:val="auto"/>
        </w:rPr>
      </w:pPr>
    </w:p>
    <w:p>
      <w:pPr>
        <w:ind w:firstLine="656"/>
        <w:spacing w:after="0" w:line="308" w:lineRule="auto"/>
        <w:tabs>
          <w:tab w:leader="none" w:pos="889" w:val="left"/>
        </w:tabs>
        <w:numPr>
          <w:ilvl w:val="0"/>
          <w:numId w:val="80"/>
        </w:numPr>
        <w:rPr>
          <w:rFonts w:ascii="Arial" w:cs="Arial" w:eastAsia="Arial" w:hAnsi="Arial"/>
          <w:sz w:val="17"/>
          <w:szCs w:val="17"/>
          <w:color w:val="auto"/>
        </w:rPr>
      </w:pPr>
      <w:r>
        <w:rPr>
          <w:rFonts w:ascii="Arial" w:cs="Arial" w:eastAsia="Arial" w:hAnsi="Arial"/>
          <w:sz w:val="17"/>
          <w:szCs w:val="17"/>
          <w:color w:val="auto"/>
        </w:rPr>
        <w:t>certain resolutions of the Board of Directors and stockholders of the Company relating to the adoption of the Equity Incentive Plan and the Stock Purchase Plan, the issuance of the Shares, the registration of the Shares under the Securities Act, and such other matters as relevant.</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also have examined originals or copies, certified or otherwise identified to our satisfaction, of such records of the Company and other documents, certificates, and records as we have deemed necessary or appropriate as a basis for the opinions set forth herein.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and the conformity to original documents of all documents submitted to us as facsimile, electronic, certified, or photostatic copies. We have relied upon the accuracy and completeness of the information, factual matters, representations, and warranties contained in such documents. In our examination of documents, we have assumed that the parties thereto, other than the Company, had the power, corporate or other, to enter into and perform all obligations thereunder and, other than with respect to the Company, the due authorization by all requisite action, corporate or other, the execution and delivery by all parties of the documents, and the validity and binding effect thereof on such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6" w:name="page57"/>
    <w:bookmarkEnd w:id="56"/>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517525</wp:posOffset>
            </wp:positionV>
            <wp:extent cx="779780" cy="3854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79780" cy="3854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30,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rendering the opinions set forth below, we have also assumed that:</w:t>
      </w:r>
    </w:p>
    <w:p>
      <w:pPr>
        <w:spacing w:after="0" w:line="225" w:lineRule="exact"/>
        <w:rPr>
          <w:sz w:val="20"/>
          <w:szCs w:val="20"/>
          <w:color w:val="auto"/>
        </w:rPr>
      </w:pPr>
    </w:p>
    <w:p>
      <w:pPr>
        <w:ind w:left="900" w:hanging="244"/>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or prior to the time of issuance and delivery, the Shares will be registered by the transfer agent and registrar of such Shares;</w:t>
      </w:r>
    </w:p>
    <w:p>
      <w:pPr>
        <w:spacing w:after="0" w:line="225" w:lineRule="exact"/>
        <w:rPr>
          <w:rFonts w:ascii="Arial" w:cs="Arial" w:eastAsia="Arial" w:hAnsi="Arial"/>
          <w:sz w:val="18"/>
          <w:szCs w:val="18"/>
          <w:color w:val="auto"/>
        </w:rPr>
      </w:pPr>
    </w:p>
    <w:p>
      <w:pPr>
        <w:ind w:firstLine="656"/>
        <w:spacing w:after="0" w:line="277" w:lineRule="auto"/>
        <w:tabs>
          <w:tab w:leader="none" w:pos="90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will keep reserved a sufficient number of shares of its Common Stock to satisfy its obligations for issuances of Shares under the Equity Incentive Plan and the Stock Purchase Plan;</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9"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issuance of any of the Shares under either the Equity Incentive Plan or the Stock Purchase Plan, the total number of shares of the Company’s Common Stock issued and outstanding will not exceed the total number of shares of Common Stock that the Company is then authorized to issue under its Articles of Incorporation;</w:t>
      </w:r>
    </w:p>
    <w:p>
      <w:pPr>
        <w:spacing w:after="0" w:line="183" w:lineRule="exact"/>
        <w:rPr>
          <w:rFonts w:ascii="Arial" w:cs="Arial" w:eastAsia="Arial" w:hAnsi="Arial"/>
          <w:sz w:val="18"/>
          <w:szCs w:val="18"/>
          <w:color w:val="auto"/>
        </w:rPr>
      </w:pPr>
    </w:p>
    <w:p>
      <w:pPr>
        <w:ind w:firstLine="656"/>
        <w:spacing w:after="0" w:line="277" w:lineRule="auto"/>
        <w:tabs>
          <w:tab w:leader="none" w:pos="90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Equity Incentive Plan and the Stock Purchase Plan and the stock grant, stock option, or other security exercisable or exchanged for a Share under the Equity Incentive Plan or the Stock Purchase Plan, as applicable, are enforceable; and</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23"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stock grant, stock option, or other security exercisable or exchangeable for a Share under the Equity Incentive Plan and the Stock Purchase Plan, as applicable, has been, or will be, duly authorized, validly granted, and duly exercised or exchanged in accordance with the terms of the Equity Incentive Plan and the Stock Purchase Plan, as applicable, at the time of any grant of a Share or exercise of such stock option or other security under the Equity Incentive Plan or the Stock Purchase Plan, as appliable.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such examination, we are of the opinion that:</w:t>
      </w:r>
    </w:p>
    <w:p>
      <w:pPr>
        <w:spacing w:after="0" w:line="225" w:lineRule="exact"/>
        <w:rPr>
          <w:sz w:val="20"/>
          <w:szCs w:val="20"/>
          <w:color w:val="auto"/>
        </w:rPr>
      </w:pPr>
    </w:p>
    <w:p>
      <w:pPr>
        <w:ind w:right="20" w:firstLine="656"/>
        <w:spacing w:after="0" w:line="277" w:lineRule="auto"/>
        <w:tabs>
          <w:tab w:leader="none" w:pos="9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Shares that have been or may be issued under the Equity Incentive Plan and the Stock Purchase Plan are duly authorized shares of the Company’s Common Stock; and</w:t>
      </w:r>
    </w:p>
    <w:p>
      <w:pPr>
        <w:spacing w:after="0" w:line="170" w:lineRule="exact"/>
        <w:rPr>
          <w:rFonts w:ascii="Arial" w:cs="Arial" w:eastAsia="Arial" w:hAnsi="Arial"/>
          <w:sz w:val="18"/>
          <w:szCs w:val="18"/>
          <w:color w:val="auto"/>
        </w:rPr>
      </w:pPr>
    </w:p>
    <w:p>
      <w:pPr>
        <w:ind w:firstLine="656"/>
        <w:spacing w:after="0" w:line="342" w:lineRule="auto"/>
        <w:tabs>
          <w:tab w:leader="none" w:pos="906"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as, and when issued against receipt of the consideration therefor in accordance with the provisions of the Equity Incentive Plan or the Stock Purchase Plan, as applicable, and in accordance with the Registration Statement, the Shares will be validly issued, fully paid, and nonassessable.</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opinions expressed herein are limited to the matters specifically set forth herein and no other opinion shall be inferred beyond the matters expressly stated. We disclaim any undertaking to advise you of any subsequent changes in the facts stated or assumed herein or any changes in applicable law that may come to our attention subsequent to the date the Registration Statement is declared effective.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While certain members of this firm are admitted to practice in certain jurisdictions other than Nevada, in rendering the foregoing opinions we have not examined the laws of any jurisdiction other than Nevada. Accordingly, the opinions we express herein are limited to matters involving the laws of the State of Nevada, excluding securities laws of the State of Nevada (to which we express no opinion). We express no opinion regarding the effect of the laws of any other jurisdiction or state, including any securities laws related to the issuance and sale of the Shares.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hereby consent to the filing of this opinion as an exhibit to the Registration Statement and we consent to the reference of our name under the caption “Legal Matters” in the Prospectus forming a part of the Registration Statement. In giving the foregoing consent, we do not hereby admit that we are in the category of persons whose consent is required under Section 7 of the Securities Act or the rules and regulations of the Commission thereunder.</w:t>
      </w:r>
    </w:p>
    <w:p>
      <w:pPr>
        <w:spacing w:after="0" w:line="14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Sherman &amp; Howard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SHERMAN &amp; HOWARD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this Registration Statement of Agrify Corporation on Form S-8 of our report dated March 31, 2022, with respect to our audits of the consolidated financial statements of Agrify Corporation as of December 31, 2021 and 2020 and for the years ended December 31, 2021 and 2020 appearing in the Annual Report on Form 10-K of Agrify Corporation for the fiscal year ended December 31,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Marcu</w:t>
      </w:r>
      <w:r>
        <w:rPr>
          <w:rFonts w:ascii="Arial" w:cs="Arial" w:eastAsia="Arial" w:hAnsi="Arial"/>
          <w:sz w:val="12"/>
          <w:szCs w:val="12"/>
          <w:color w:val="auto"/>
        </w:rPr>
        <w:t>M</w:t>
      </w:r>
      <w:r>
        <w:rPr>
          <w:rFonts w:ascii="Arial" w:cs="Arial" w:eastAsia="Arial" w:hAnsi="Arial"/>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w:t>
      </w:r>
      <w:r>
        <w:rPr>
          <w:rFonts w:ascii="Arial" w:cs="Arial" w:eastAsia="Arial" w:hAnsi="Arial"/>
          <w:sz w:val="12"/>
          <w:szCs w:val="12"/>
          <w:color w:val="auto"/>
        </w:rPr>
        <w:t>M</w:t>
      </w:r>
      <w:r>
        <w:rPr>
          <w:rFonts w:ascii="Arial" w:cs="Arial" w:eastAsia="Arial" w:hAnsi="Arial"/>
          <w:sz w:val="18"/>
          <w:szCs w:val="18"/>
          <w:color w:val="auto"/>
        </w:rPr>
        <w:t xml:space="preserv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Melville,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2022</w:t>
      </w:r>
    </w:p>
    <w:p>
      <w:pPr>
        <w:sectPr>
          <w:pgSz w:w="11900" w:h="16838" w:orient="portrait"/>
          <w:cols w:equalWidth="0" w:num="1">
            <w:col w:w="11240"/>
          </w:cols>
          <w:pgMar w:left="320" w:top="11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23.2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AUDITOR</w:t>
      </w:r>
    </w:p>
    <w:p>
      <w:pPr>
        <w:spacing w:after="0" w:line="26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hereby consent to the incorporation by reference in this Registration Statement on Form S-8 of our audit report dated December 8, 2021, relating to our audits of the consolidated financial statements of Mass2Media, LLC dba PX2 Holdings, LLC, and Affiliate as of December 31, 2020 and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CONSENT OF INDEPENDENT AUDITOR</w:t>
      </w:r>
    </w:p>
    <w:p>
      <w:pPr>
        <w:spacing w:after="0" w:line="2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audit report dated December 8, 2021, relating to our audits of the financial statements of Cascade Sciences, LLC as of December 31,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bookmarkStart w:id="60" w:name="page61"/>
    <w:bookmarkEnd w:id="60"/>
    <w:p>
      <w:pPr>
        <w:ind w:left="10360"/>
        <w:spacing w:after="0"/>
        <w:rPr>
          <w:sz w:val="20"/>
          <w:szCs w:val="20"/>
          <w:color w:val="auto"/>
        </w:rPr>
      </w:pPr>
      <w:r>
        <w:rPr>
          <w:rFonts w:ascii="Arial" w:cs="Arial" w:eastAsia="Arial" w:hAnsi="Arial"/>
          <w:sz w:val="16"/>
          <w:szCs w:val="16"/>
          <w:b w:val="1"/>
          <w:bCs w:val="1"/>
          <w:color w:val="auto"/>
        </w:rPr>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S-8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Agrify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7"/>
          </w:tcPr>
          <w:p>
            <w:pPr>
              <w:jc w:val="right"/>
              <w:ind w:right="540"/>
              <w:spacing w:after="0"/>
              <w:rPr>
                <w:sz w:val="20"/>
                <w:szCs w:val="20"/>
                <w:color w:val="auto"/>
              </w:rPr>
            </w:pPr>
            <w:r>
              <w:rPr>
                <w:rFonts w:ascii="Arial" w:cs="Arial" w:eastAsia="Arial" w:hAnsi="Arial"/>
                <w:sz w:val="18"/>
                <w:szCs w:val="18"/>
                <w:color w:val="auto"/>
              </w:rPr>
              <w:t>Table 1: Newly Registered Securities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Proposed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Maximum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Fee</w:t>
            </w: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Offering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Security</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Calculation</w:t>
            </w: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Registered</w:t>
            </w:r>
          </w:p>
        </w:tc>
        <w:tc>
          <w:tcPr>
            <w:tcW w:w="1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Price Per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ind w:left="20"/>
              <w:spacing w:after="0"/>
              <w:rPr>
                <w:sz w:val="20"/>
                <w:szCs w:val="20"/>
                <w:color w:val="auto"/>
              </w:rPr>
            </w:pPr>
            <w:r>
              <w:rPr>
                <w:rFonts w:ascii="Arial" w:cs="Arial" w:eastAsia="Arial" w:hAnsi="Arial"/>
                <w:sz w:val="18"/>
                <w:szCs w:val="18"/>
                <w:b w:val="1"/>
                <w:bCs w:val="1"/>
                <w:color w:val="auto"/>
              </w:rPr>
              <w:t>Registration</w:t>
            </w:r>
          </w:p>
        </w:tc>
      </w:tr>
      <w:tr>
        <w:trPr>
          <w:trHeight w:val="241"/>
        </w:trPr>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Type</w:t>
            </w:r>
          </w:p>
        </w:tc>
        <w:tc>
          <w:tcPr>
            <w:tcW w:w="2220" w:type="dxa"/>
            <w:vAlign w:val="bottom"/>
            <w:gridSpan w:val="2"/>
          </w:tcPr>
          <w:p>
            <w:pPr>
              <w:ind w:left="300"/>
              <w:spacing w:after="0"/>
              <w:rPr>
                <w:sz w:val="20"/>
                <w:szCs w:val="20"/>
                <w:color w:val="auto"/>
              </w:rPr>
            </w:pPr>
            <w:r>
              <w:rPr>
                <w:rFonts w:ascii="Arial" w:cs="Arial" w:eastAsia="Arial" w:hAnsi="Arial"/>
                <w:sz w:val="18"/>
                <w:szCs w:val="18"/>
                <w:b w:val="1"/>
                <w:bCs w:val="1"/>
                <w:color w:val="auto"/>
              </w:rPr>
              <w:t>Security Class Title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Rule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Unit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Fee Rate</w:t>
            </w:r>
          </w:p>
        </w:tc>
        <w:tc>
          <w:tcPr>
            <w:tcW w:w="220" w:type="dxa"/>
            <w:vAlign w:val="bottom"/>
          </w:tcPr>
          <w:p>
            <w:pPr>
              <w:spacing w:after="0"/>
              <w:rPr>
                <w:sz w:val="20"/>
                <w:szCs w:val="20"/>
                <w:color w:val="auto"/>
              </w:rPr>
            </w:pPr>
          </w:p>
        </w:tc>
        <w:tc>
          <w:tcPr>
            <w:tcW w:w="8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3"/>
              </w:rPr>
              <w:t>Fee</w:t>
            </w:r>
          </w:p>
        </w:tc>
      </w:tr>
      <w:tr>
        <w:trPr>
          <w:trHeight w:val="202"/>
        </w:trPr>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12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Common stock, par value</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$0.001 per share, that may</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 issued under the Agrify</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Omnibus Equity</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Plan</w:t>
            </w:r>
          </w:p>
        </w:tc>
        <w:tc>
          <w:tcPr>
            <w:tcW w:w="14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457(c) and 457(h)</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5,296,647(2)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11,017,025.76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0.0000927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w:t>
            </w:r>
          </w:p>
        </w:tc>
        <w:tc>
          <w:tcPr>
            <w:tcW w:w="80" w:type="dxa"/>
            <w:vAlign w:val="bottom"/>
            <w:shd w:val="clear" w:color="auto" w:fill="CCEEFF"/>
          </w:tcPr>
          <w:p>
            <w:pPr>
              <w:spacing w:after="0"/>
              <w:rPr>
                <w:sz w:val="20"/>
                <w:szCs w:val="20"/>
                <w:color w:val="auto"/>
              </w:rPr>
            </w:pPr>
          </w:p>
        </w:tc>
      </w:tr>
      <w:tr>
        <w:trPr>
          <w:trHeight w:val="202"/>
        </w:trPr>
        <w:tc>
          <w:tcPr>
            <w:tcW w:w="128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5"/>
              </w:rPr>
              <w:t>Equity</w:t>
            </w:r>
          </w:p>
        </w:tc>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par value</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$0.001 per share, that may</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be issued under the Agrify</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w w:val="98"/>
              </w:rPr>
              <w:t>Corporation 2022 Employee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Stock Purchase Plan</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457(c) and 457(h)</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500,000(4)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2.08(3)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1,040,000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0.0000927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0"/>
                <w:szCs w:val="20"/>
                <w:color w:val="auto"/>
              </w:rPr>
            </w:pP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Total Offering Amounts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12,057,025.76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Total Fees Previously Paid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Total Fee Offsets</w:t>
            </w: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1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gridSpan w:val="2"/>
          </w:tcPr>
          <w:p>
            <w:pPr>
              <w:jc w:val="center"/>
              <w:spacing w:after="0" w:line="203" w:lineRule="exact"/>
              <w:rPr>
                <w:sz w:val="20"/>
                <w:szCs w:val="20"/>
                <w:color w:val="auto"/>
              </w:rPr>
            </w:pPr>
            <w:r>
              <w:rPr>
                <w:rFonts w:ascii="Arial" w:cs="Arial" w:eastAsia="Arial" w:hAnsi="Arial"/>
                <w:sz w:val="18"/>
                <w:szCs w:val="18"/>
                <w:b w:val="1"/>
                <w:bCs w:val="1"/>
                <w:color w:val="auto"/>
                <w:w w:val="90"/>
              </w:rPr>
              <w:t>Net Fee Due</w:t>
            </w:r>
          </w:p>
        </w:tc>
        <w:tc>
          <w:tcPr>
            <w:tcW w:w="1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left="340" w:hanging="332"/>
        <w:spacing w:after="0" w:line="25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also cover any additional shares of common stock, par value $0.001 per share of the Registrant (the “Common Stock”) that may become issuable under the Agrify Corporation 2022 Omnibus Equity Incentive Plan (the “2022 Plan”) and the Agrify Corporation 2022 Employee Stock Purchase Plan (the “2022 ESPP”) as a result of any stock dividend, stock split, recapitalization or other similar transaction which results in an increase in the number of shares of the Registrant’s outstanding Common Stock.</w:t>
      </w:r>
    </w:p>
    <w:p>
      <w:pPr>
        <w:spacing w:after="0" w:line="187" w:lineRule="exact"/>
        <w:rPr>
          <w:rFonts w:ascii="Arial" w:cs="Arial" w:eastAsia="Arial" w:hAnsi="Arial"/>
          <w:sz w:val="18"/>
          <w:szCs w:val="18"/>
          <w:color w:val="auto"/>
        </w:rPr>
      </w:pPr>
    </w:p>
    <w:p>
      <w:pPr>
        <w:jc w:val="both"/>
        <w:ind w:left="340" w:hanging="332"/>
        <w:spacing w:after="0" w:line="301"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Represents shares of Common Stock reserved for issuance under the 2022 Plan. The number of shares of Common Stock reserved for issuance under the 2022 Plan is equal to (i) 2,000,000, plus (ii) the number of shares of Common Stock underlying any award granted under the Agrify Corporation 2020 Omnibus Equity Incentive Plan (the “Prior Plan”) that expires, terminates or is canceled or forfeited under the terms of the Prior Plan, minus (iii) the number of shares of Common Stock underlying any award granted under the Prior Plan between January 1, 2022 and June 8, 2022.</w:t>
      </w:r>
    </w:p>
    <w:p>
      <w:pPr>
        <w:spacing w:after="0" w:line="157"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Rules 457(c) and 457(h) under the Securities Act and based upon the average of the high and low prices of Common Stock, as reported on The Nasdaq Capital Market on June 28, 2022, which date is within five business days prior to the filing of this Registration Statement, which was $19.86 per share.</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shares of Common Stock initially authorized and reserved for future issuance under the 2022 ESPP.</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lowerLetter"/>
      <w:start w:val="1"/>
    </w:lvl>
  </w:abstractNum>
  <w:abstractNum w:abstractNumId="1">
    <w:nsid w:val="6A2342EC"/>
    <w:multiLevelType w:val="hybridMultilevel"/>
    <w:lvl w:ilvl="0">
      <w:lvlJc w:val="left"/>
      <w:lvlText w:val="%1"/>
      <w:numFmt w:val="decimal"/>
      <w:start w:val="107"/>
    </w:lvl>
  </w:abstractNum>
  <w:abstractNum w:abstractNumId="2">
    <w:nsid w:val="2A487CB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1D4ED43B"/>
    <w:multiLevelType w:val="hybridMultilevel"/>
    <w:lvl w:ilvl="0">
      <w:lvlJc w:val="left"/>
      <w:lvlText w:val="%1"/>
      <w:numFmt w:val="lowerLetter"/>
      <w:start w:val="1"/>
    </w:lvl>
    <w:lvl w:ilvl="1">
      <w:lvlJc w:val="left"/>
      <w:lvlText w:val="(%2)"/>
      <w:numFmt w:val="decimal"/>
      <w:start w:val="2"/>
    </w:lvl>
  </w:abstractNum>
  <w:abstractNum w:abstractNumId="4">
    <w:nsid w:val="725A06FB"/>
    <w:multiLevelType w:val="hybridMultilevel"/>
    <w:lvl w:ilvl="0">
      <w:lvlJc w:val="left"/>
      <w:lvlText w:val="(%1)"/>
      <w:numFmt w:val="lowerLetter"/>
      <w:start w:val="2"/>
    </w:lvl>
    <w:lvl w:ilvl="1">
      <w:lvlJc w:val="left"/>
      <w:lvlText w:val="%2"/>
      <w:numFmt w:val="decimal"/>
      <w:start w:val="1"/>
    </w:lvl>
  </w:abstractNum>
  <w:abstractNum w:abstractNumId="5">
    <w:nsid w:val="2CD89A32"/>
    <w:multiLevelType w:val="hybridMultilevel"/>
    <w:lvl w:ilvl="0">
      <w:lvlJc w:val="left"/>
      <w:lvlText w:val="%1."/>
      <w:numFmt w:val="decimal"/>
      <w:start w:val="1"/>
    </w:lvl>
  </w:abstractNum>
  <w:abstractNum w:abstractNumId="6">
    <w:nsid w:val="57E4CCAF"/>
    <w:multiLevelType w:val="hybridMultilevel"/>
    <w:lvl w:ilvl="0">
      <w:lvlJc w:val="left"/>
      <w:lvlText w:val="%1."/>
      <w:numFmt w:val="decimal"/>
      <w:start w:val="2"/>
    </w:lvl>
  </w:abstractNum>
  <w:abstractNum w:abstractNumId="7">
    <w:nsid w:val="7A6D8D3C"/>
    <w:multiLevelType w:val="hybridMultilevel"/>
    <w:lvl w:ilvl="0">
      <w:lvlJc w:val="left"/>
      <w:lvlText w:val="(%1)"/>
      <w:numFmt w:val="lowerLetter"/>
      <w:start w:val="1"/>
    </w:lvl>
  </w:abstractNum>
  <w:abstractNum w:abstractNumId="8">
    <w:nsid w:val="4B588F54"/>
    <w:multiLevelType w:val="hybridMultilevel"/>
    <w:lvl w:ilvl="0">
      <w:lvlJc w:val="left"/>
      <w:lvlText w:val="(%1)"/>
      <w:numFmt w:val="lowerLetter"/>
      <w:start w:val="1"/>
    </w:lvl>
  </w:abstractNum>
  <w:abstractNum w:abstractNumId="9">
    <w:nsid w:val="542289EC"/>
    <w:multiLevelType w:val="hybridMultilevel"/>
    <w:lvl w:ilvl="0">
      <w:lvlJc w:val="left"/>
      <w:lvlText w:val="(%1)"/>
      <w:numFmt w:val="lowerLetter"/>
      <w:start w:val="1"/>
    </w:lvl>
  </w:abstractNum>
  <w:abstractNum w:abstractNumId="10">
    <w:nsid w:val="6DE91B18"/>
    <w:multiLevelType w:val="hybridMultilevel"/>
    <w:lvl w:ilvl="0">
      <w:lvlJc w:val="left"/>
      <w:lvlText w:val="(%1)"/>
      <w:numFmt w:val="lowerLetter"/>
      <w:start w:val="5"/>
    </w:lvl>
  </w:abstractNum>
  <w:abstractNum w:abstractNumId="11">
    <w:nsid w:val="38437FDB"/>
    <w:multiLevelType w:val="hybridMultilevel"/>
    <w:lvl w:ilvl="0">
      <w:lvlJc w:val="left"/>
      <w:lvlText w:val="(%1)"/>
      <w:numFmt w:val="lowerLetter"/>
      <w:start w:val="1"/>
    </w:lvl>
  </w:abstractNum>
  <w:abstractNum w:abstractNumId="12">
    <w:nsid w:val="7644A45C"/>
    <w:multiLevelType w:val="hybridMultilevel"/>
    <w:lvl w:ilvl="0">
      <w:lvlJc w:val="left"/>
      <w:lvlText w:val="%1."/>
      <w:numFmt w:val="decimal"/>
      <w:start w:val="3"/>
    </w:lvl>
  </w:abstractNum>
  <w:abstractNum w:abstractNumId="13">
    <w:nsid w:val="32FFF902"/>
    <w:multiLevelType w:val="hybridMultilevel"/>
    <w:lvl w:ilvl="0">
      <w:lvlJc w:val="left"/>
      <w:lvlText w:val="(%1)"/>
      <w:numFmt w:val="lowerLetter"/>
      <w:start w:val="1"/>
    </w:lvl>
  </w:abstractNum>
  <w:abstractNum w:abstractNumId="14">
    <w:nsid w:val="684A481A"/>
    <w:multiLevelType w:val="hybridMultilevel"/>
    <w:lvl w:ilvl="0">
      <w:lvlJc w:val="left"/>
      <w:lvlText w:val="(%1)"/>
      <w:numFmt w:val="lowerLetter"/>
      <w:start w:val="4"/>
    </w:lvl>
  </w:abstractNum>
  <w:abstractNum w:abstractNumId="15">
    <w:nsid w:val="579478FE"/>
    <w:multiLevelType w:val="hybridMultilevel"/>
    <w:lvl w:ilvl="0">
      <w:lvlJc w:val="left"/>
      <w:lvlText w:val="%1."/>
      <w:numFmt w:val="decimal"/>
      <w:start w:val="4"/>
    </w:lvl>
  </w:abstractNum>
  <w:abstractNum w:abstractNumId="16">
    <w:nsid w:val="749ABB43"/>
    <w:multiLevelType w:val="hybridMultilevel"/>
    <w:lvl w:ilvl="0">
      <w:lvlJc w:val="left"/>
      <w:lvlText w:val="%1."/>
      <w:numFmt w:val="decimal"/>
      <w:start w:val="5"/>
    </w:lvl>
  </w:abstractNum>
  <w:abstractNum w:abstractNumId="17">
    <w:nsid w:val="3DC240FB"/>
    <w:multiLevelType w:val="hybridMultilevel"/>
    <w:lvl w:ilvl="0">
      <w:lvlJc w:val="left"/>
      <w:lvlText w:val="%1."/>
      <w:numFmt w:val="decimal"/>
      <w:start w:val="6"/>
    </w:lvl>
  </w:abstractNum>
  <w:abstractNum w:abstractNumId="18">
    <w:nsid w:val="1BA026FA"/>
    <w:multiLevelType w:val="hybridMultilevel"/>
    <w:lvl w:ilvl="0">
      <w:lvlJc w:val="left"/>
      <w:lvlText w:val="%1."/>
      <w:numFmt w:val="decimal"/>
      <w:start w:val="7"/>
    </w:lvl>
  </w:abstractNum>
  <w:abstractNum w:abstractNumId="19">
    <w:nsid w:val="79A1DEAA"/>
    <w:multiLevelType w:val="hybridMultilevel"/>
    <w:lvl w:ilvl="0">
      <w:lvlJc w:val="left"/>
      <w:lvlText w:val="%1."/>
      <w:numFmt w:val="decimal"/>
      <w:start w:val="8"/>
    </w:lvl>
  </w:abstractNum>
  <w:abstractNum w:abstractNumId="20">
    <w:nsid w:val="75C6C33A"/>
    <w:multiLevelType w:val="hybridMultilevel"/>
    <w:lvl w:ilvl="0">
      <w:lvlJc w:val="left"/>
      <w:lvlText w:val="(%1)"/>
      <w:numFmt w:val="lowerLetter"/>
      <w:start w:val="1"/>
    </w:lvl>
  </w:abstractNum>
  <w:abstractNum w:abstractNumId="21">
    <w:nsid w:val="12E685FB"/>
    <w:multiLevelType w:val="hybridMultilevel"/>
    <w:lvl w:ilvl="0">
      <w:lvlJc w:val="left"/>
      <w:lvlText w:val="(%1)"/>
      <w:numFmt w:val="lowerLetter"/>
      <w:start w:val="1"/>
    </w:lvl>
  </w:abstractNum>
  <w:abstractNum w:abstractNumId="22">
    <w:nsid w:val="70C6A529"/>
    <w:multiLevelType w:val="hybridMultilevel"/>
    <w:lvl w:ilvl="0">
      <w:lvlJc w:val="left"/>
      <w:lvlText w:val="(%1)"/>
      <w:numFmt w:val="lowerLetter"/>
      <w:start w:val="2"/>
    </w:lvl>
  </w:abstractNum>
  <w:abstractNum w:abstractNumId="23">
    <w:nsid w:val="520EEDD1"/>
    <w:multiLevelType w:val="hybridMultilevel"/>
    <w:lvl w:ilvl="0">
      <w:lvlJc w:val="left"/>
      <w:lvlText w:val="%1."/>
      <w:numFmt w:val="decimal"/>
      <w:start w:val="9"/>
    </w:lvl>
  </w:abstractNum>
  <w:abstractNum w:abstractNumId="24">
    <w:nsid w:val="374A3FE6"/>
    <w:multiLevelType w:val="hybridMultilevel"/>
    <w:lvl w:ilvl="0">
      <w:lvlJc w:val="left"/>
      <w:lvlText w:val="%1."/>
      <w:numFmt w:val="decimal"/>
      <w:start w:val="10"/>
    </w:lvl>
  </w:abstractNum>
  <w:abstractNum w:abstractNumId="25">
    <w:nsid w:val="4F4EF005"/>
    <w:multiLevelType w:val="hybridMultilevel"/>
    <w:lvl w:ilvl="0">
      <w:lvlJc w:val="left"/>
      <w:lvlText w:val="%1."/>
      <w:numFmt w:val="decimal"/>
      <w:start w:val="14"/>
    </w:lvl>
  </w:abstractNum>
  <w:abstractNum w:abstractNumId="26">
    <w:nsid w:val="23F9C13C"/>
    <w:multiLevelType w:val="hybridMultilevel"/>
    <w:lvl w:ilvl="0">
      <w:lvlJc w:val="left"/>
      <w:lvlText w:val="(%1)"/>
      <w:numFmt w:val="lowerRoman"/>
      <w:start w:val="5"/>
    </w:lvl>
  </w:abstractNum>
  <w:abstractNum w:abstractNumId="27">
    <w:nsid w:val="649BB77C"/>
    <w:multiLevelType w:val="hybridMultilevel"/>
    <w:lvl w:ilvl="0">
      <w:lvlJc w:val="left"/>
      <w:lvlText w:val="%1."/>
      <w:numFmt w:val="decimal"/>
      <w:start w:val="16"/>
    </w:lvl>
  </w:abstractNum>
  <w:abstractNum w:abstractNumId="28">
    <w:nsid w:val="275AC794"/>
    <w:multiLevelType w:val="hybridMultilevel"/>
    <w:lvl w:ilvl="0">
      <w:lvlJc w:val="left"/>
      <w:lvlText w:val="%1."/>
      <w:numFmt w:val="decimal"/>
      <w:start w:val="17"/>
    </w:lvl>
  </w:abstractNum>
  <w:abstractNum w:abstractNumId="29">
    <w:nsid w:val="39386575"/>
    <w:multiLevelType w:val="hybridMultilevel"/>
    <w:lvl w:ilvl="0">
      <w:lvlJc w:val="left"/>
      <w:lvlText w:val="%1"/>
      <w:numFmt w:val="decimal"/>
      <w:start w:val="1"/>
    </w:lvl>
    <w:lvl w:ilvl="1">
      <w:lvlJc w:val="left"/>
      <w:lvlText w:val="%2."/>
      <w:numFmt w:val="decimal"/>
      <w:start w:val="18"/>
    </w:lvl>
  </w:abstractNum>
  <w:abstractNum w:abstractNumId="30">
    <w:nsid w:val="1CF10FD8"/>
    <w:multiLevelType w:val="hybridMultilevel"/>
    <w:lvl w:ilvl="0">
      <w:lvlJc w:val="left"/>
      <w:lvlText w:val="%1."/>
      <w:numFmt w:val="decimal"/>
      <w:start w:val="1"/>
    </w:lvl>
  </w:abstractNum>
  <w:abstractNum w:abstractNumId="31">
    <w:nsid w:val="180115BE"/>
    <w:multiLevelType w:val="hybridMultilevel"/>
    <w:lvl w:ilvl="0">
      <w:lvlJc w:val="left"/>
      <w:lvlText w:val="%1."/>
      <w:numFmt w:val="decimal"/>
      <w:start w:val="3"/>
    </w:lvl>
  </w:abstractNum>
  <w:abstractNum w:abstractNumId="32">
    <w:nsid w:val="235BA861"/>
    <w:multiLevelType w:val="hybridMultilevel"/>
    <w:lvl w:ilvl="0">
      <w:lvlJc w:val="left"/>
      <w:lvlText w:val="%1."/>
      <w:numFmt w:val="decimal"/>
      <w:start w:val="5"/>
    </w:lvl>
  </w:abstractNum>
  <w:abstractNum w:abstractNumId="33">
    <w:nsid w:val="47398C89"/>
    <w:multiLevelType w:val="hybridMultilevel"/>
    <w:lvl w:ilvl="0">
      <w:lvlJc w:val="left"/>
      <w:lvlText w:val="%1."/>
      <w:numFmt w:val="decimal"/>
      <w:start w:val="7"/>
    </w:lvl>
  </w:abstractNum>
  <w:abstractNum w:abstractNumId="34">
    <w:nsid w:val="354FE9F9"/>
    <w:multiLevelType w:val="hybridMultilevel"/>
    <w:lvl w:ilvl="0">
      <w:lvlJc w:val="left"/>
      <w:lvlText w:val="%1."/>
      <w:numFmt w:val="decimal"/>
      <w:start w:val="8"/>
    </w:lvl>
  </w:abstractNum>
  <w:abstractNum w:abstractNumId="35">
    <w:nsid w:val="15B5AF5C"/>
    <w:multiLevelType w:val="hybridMultilevel"/>
    <w:lvl w:ilvl="0">
      <w:lvlJc w:val="left"/>
      <w:lvlText w:val="%1."/>
      <w:numFmt w:val="decimal"/>
      <w:start w:val="11"/>
    </w:lvl>
  </w:abstractNum>
  <w:abstractNum w:abstractNumId="36">
    <w:nsid w:val="741226BB"/>
    <w:multiLevelType w:val="hybridMultilevel"/>
    <w:lvl w:ilvl="0">
      <w:lvlJc w:val="left"/>
      <w:lvlText w:val="%1."/>
      <w:numFmt w:val="decimal"/>
      <w:start w:val="14"/>
    </w:lvl>
  </w:abstractNum>
  <w:abstractNum w:abstractNumId="37">
    <w:nsid w:val="D34B6A8"/>
    <w:multiLevelType w:val="hybridMultilevel"/>
    <w:lvl w:ilvl="0">
      <w:lvlJc w:val="left"/>
      <w:lvlText w:val="%1."/>
      <w:numFmt w:val="decimal"/>
      <w:start w:val="19"/>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decimal"/>
      <w:start w:val="2"/>
    </w:lvl>
  </w:abstractNum>
  <w:abstractNum w:abstractNumId="40">
    <w:nsid w:val="61574095"/>
    <w:multiLevelType w:val="hybridMultilevel"/>
    <w:lvl w:ilvl="0">
      <w:lvlJc w:val="left"/>
      <w:lvlText w:val="%1."/>
      <w:numFmt w:val="decimal"/>
      <w:start w:val="3"/>
    </w:lvl>
  </w:abstractNum>
  <w:abstractNum w:abstractNumId="41">
    <w:nsid w:val="7E0C57B1"/>
    <w:multiLevelType w:val="hybridMultilevel"/>
    <w:lvl w:ilvl="0">
      <w:lvlJc w:val="left"/>
      <w:lvlText w:val="%1."/>
      <w:numFmt w:val="decimal"/>
      <w:start w:val="4"/>
    </w:lvl>
  </w:abstractNum>
  <w:abstractNum w:abstractNumId="42">
    <w:nsid w:val="77AE35EB"/>
    <w:multiLevelType w:val="hybridMultilevel"/>
    <w:lvl w:ilvl="0">
      <w:lvlJc w:val="left"/>
      <w:lvlText w:val="(%1)"/>
      <w:numFmt w:val="lowerLetter"/>
      <w:start w:val="1"/>
    </w:lvl>
  </w:abstractNum>
  <w:abstractNum w:abstractNumId="43">
    <w:nsid w:val="579BE4F1"/>
    <w:multiLevelType w:val="hybridMultilevel"/>
    <w:lvl w:ilvl="0">
      <w:lvlJc w:val="left"/>
      <w:lvlText w:val="(%1)"/>
      <w:numFmt w:val="lowerLetter"/>
      <w:start w:val="1"/>
    </w:lvl>
  </w:abstractNum>
  <w:abstractNum w:abstractNumId="44">
    <w:nsid w:val="310C50B3"/>
    <w:multiLevelType w:val="hybridMultilevel"/>
    <w:lvl w:ilvl="0">
      <w:lvlJc w:val="left"/>
      <w:lvlText w:val="(%1)"/>
      <w:numFmt w:val="lowerLetter"/>
      <w:start w:val="1"/>
    </w:lvl>
  </w:abstractNum>
  <w:abstractNum w:abstractNumId="45">
    <w:nsid w:val="5FF87E05"/>
    <w:multiLevelType w:val="hybridMultilevel"/>
    <w:lvl w:ilvl="0">
      <w:lvlJc w:val="left"/>
      <w:lvlText w:val="%1."/>
      <w:numFmt w:val="decimal"/>
      <w:start w:val="5"/>
    </w:lvl>
  </w:abstractNum>
  <w:abstractNum w:abstractNumId="46">
    <w:nsid w:val="2F305DEF"/>
    <w:multiLevelType w:val="hybridMultilevel"/>
    <w:lvl w:ilvl="0">
      <w:lvlJc w:val="left"/>
      <w:lvlText w:val="%1."/>
      <w:numFmt w:val="decimal"/>
      <w:start w:val="8"/>
    </w:lvl>
  </w:abstractNum>
  <w:abstractNum w:abstractNumId="47">
    <w:nsid w:val="25A70BF7"/>
    <w:multiLevelType w:val="hybridMultilevel"/>
    <w:lvl w:ilvl="0">
      <w:lvlJc w:val="left"/>
      <w:lvlText w:val="%1."/>
      <w:numFmt w:val="decimal"/>
      <w:start w:val="16"/>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1."/>
      <w:numFmt w:val="decimal"/>
      <w:start w:val="2"/>
    </w:lvl>
  </w:abstractNum>
  <w:abstractNum w:abstractNumId="50">
    <w:nsid w:val="1F48EAA1"/>
    <w:multiLevelType w:val="hybridMultilevel"/>
    <w:lvl w:ilvl="0">
      <w:lvlJc w:val="left"/>
      <w:lvlText w:val="%1."/>
      <w:numFmt w:val="decimal"/>
      <w:start w:val="3"/>
    </w:lvl>
  </w:abstractNum>
  <w:abstractNum w:abstractNumId="51">
    <w:nsid w:val="1381823A"/>
    <w:multiLevelType w:val="hybridMultilevel"/>
    <w:lvl w:ilvl="0">
      <w:lvlJc w:val="left"/>
      <w:lvlText w:val="%1."/>
      <w:numFmt w:val="decimal"/>
      <w:start w:val="4"/>
    </w:lvl>
  </w:abstractNum>
  <w:abstractNum w:abstractNumId="52">
    <w:nsid w:val="5DB70AE5"/>
    <w:multiLevelType w:val="hybridMultilevel"/>
    <w:lvl w:ilvl="0">
      <w:lvlJc w:val="left"/>
      <w:lvlText w:val="(%1)"/>
      <w:numFmt w:val="lowerLetter"/>
      <w:start w:val="1"/>
    </w:lvl>
  </w:abstractNum>
  <w:abstractNum w:abstractNumId="53">
    <w:nsid w:val="100F8FCA"/>
    <w:multiLevelType w:val="hybridMultilevel"/>
    <w:lvl w:ilvl="0">
      <w:lvlJc w:val="left"/>
      <w:lvlText w:val="(%1)"/>
      <w:numFmt w:val="lowerLetter"/>
      <w:start w:val="1"/>
    </w:lvl>
  </w:abstractNum>
  <w:abstractNum w:abstractNumId="54">
    <w:nsid w:val="6590700B"/>
    <w:multiLevelType w:val="hybridMultilevel"/>
    <w:lvl w:ilvl="0">
      <w:lvlJc w:val="left"/>
      <w:lvlText w:val="(%1)"/>
      <w:numFmt w:val="lowerLetter"/>
      <w:start w:val="3"/>
    </w:lvl>
  </w:abstractNum>
  <w:abstractNum w:abstractNumId="55">
    <w:nsid w:val="15014ACB"/>
    <w:multiLevelType w:val="hybridMultilevel"/>
    <w:lvl w:ilvl="0">
      <w:lvlJc w:val="left"/>
      <w:lvlText w:val="(%1)"/>
      <w:numFmt w:val="lowerLetter"/>
      <w:start w:val="1"/>
    </w:lvl>
  </w:abstractNum>
  <w:abstractNum w:abstractNumId="56">
    <w:nsid w:val="5F5E7FD0"/>
    <w:multiLevelType w:val="hybridMultilevel"/>
    <w:lvl w:ilvl="0">
      <w:lvlJc w:val="left"/>
      <w:lvlText w:val="%1."/>
      <w:numFmt w:val="decimal"/>
      <w:start w:val="5"/>
    </w:lvl>
  </w:abstractNum>
  <w:abstractNum w:abstractNumId="57">
    <w:nsid w:val="98A3148"/>
    <w:multiLevelType w:val="hybridMultilevel"/>
    <w:lvl w:ilvl="0">
      <w:lvlJc w:val="left"/>
      <w:lvlText w:val="%1."/>
      <w:numFmt w:val="decimal"/>
      <w:start w:val="8"/>
    </w:lvl>
  </w:abstractNum>
  <w:abstractNum w:abstractNumId="58">
    <w:nsid w:val="799D0247"/>
    <w:multiLevelType w:val="hybridMultilevel"/>
    <w:lvl w:ilvl="0">
      <w:lvlJc w:val="left"/>
      <w:lvlText w:val="%1."/>
      <w:numFmt w:val="decimal"/>
      <w:start w:val="10"/>
    </w:lvl>
  </w:abstractNum>
  <w:abstractNum w:abstractNumId="59">
    <w:nsid w:val="6B94764"/>
    <w:multiLevelType w:val="hybridMultilevel"/>
    <w:lvl w:ilvl="0">
      <w:lvlJc w:val="left"/>
      <w:lvlText w:val="%1."/>
      <w:numFmt w:val="decimal"/>
      <w:start w:val="17"/>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2"/>
    </w:lvl>
  </w:abstractNum>
  <w:abstractNum w:abstractNumId="62">
    <w:nsid w:val="1EBA5D23"/>
    <w:multiLevelType w:val="hybridMultilevel"/>
    <w:lvl w:ilvl="0">
      <w:lvlJc w:val="left"/>
      <w:lvlText w:val="%1."/>
      <w:numFmt w:val="decimal"/>
      <w:start w:val="4"/>
    </w:lvl>
  </w:abstractNum>
  <w:abstractNum w:abstractNumId="63">
    <w:nsid w:val="661E3F1E"/>
    <w:multiLevelType w:val="hybridMultilevel"/>
    <w:lvl w:ilvl="0">
      <w:lvlJc w:val="left"/>
      <w:lvlText w:val="%1."/>
      <w:numFmt w:val="decimal"/>
      <w:start w:val="6"/>
    </w:lvl>
  </w:abstractNum>
  <w:abstractNum w:abstractNumId="64">
    <w:nsid w:val="5DC79EA8"/>
    <w:multiLevelType w:val="hybridMultilevel"/>
    <w:lvl w:ilvl="0">
      <w:lvlJc w:val="left"/>
      <w:lvlText w:val="%1."/>
      <w:numFmt w:val="decimal"/>
      <w:start w:val="7"/>
    </w:lvl>
  </w:abstractNum>
  <w:abstractNum w:abstractNumId="65">
    <w:nsid w:val="540A471C"/>
    <w:multiLevelType w:val="hybridMultilevel"/>
    <w:lvl w:ilvl="0">
      <w:lvlJc w:val="left"/>
      <w:lvlText w:val="%1."/>
      <w:numFmt w:val="decimal"/>
      <w:start w:val="9"/>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1."/>
      <w:numFmt w:val="decimal"/>
      <w:start w:val="10"/>
    </w:lvl>
  </w:abstractNum>
  <w:abstractNum w:abstractNumId="68">
    <w:nsid w:val="613EFDC5"/>
    <w:multiLevelType w:val="hybridMultilevel"/>
    <w:lvl w:ilvl="0">
      <w:lvlJc w:val="left"/>
      <w:lvlText w:val="%1."/>
      <w:numFmt w:val="decimal"/>
      <w:start w:val="14"/>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decimal"/>
      <w:start w:val="2"/>
    </w:lvl>
  </w:abstractNum>
  <w:abstractNum w:abstractNumId="71">
    <w:nsid w:val="42963E5A"/>
    <w:multiLevelType w:val="hybridMultilevel"/>
    <w:lvl w:ilvl="0">
      <w:lvlJc w:val="left"/>
      <w:lvlText w:val="%1."/>
      <w:numFmt w:val="decimal"/>
      <w:start w:val="4"/>
    </w:lvl>
  </w:abstractNum>
  <w:abstractNum w:abstractNumId="72">
    <w:nsid w:val="A0382C5"/>
    <w:multiLevelType w:val="hybridMultilevel"/>
    <w:lvl w:ilvl="0">
      <w:lvlJc w:val="left"/>
      <w:lvlText w:val="%1."/>
      <w:numFmt w:val="decimal"/>
      <w:start w:val="6"/>
    </w:lvl>
  </w:abstractNum>
  <w:abstractNum w:abstractNumId="73">
    <w:nsid w:val="8F2B15E"/>
    <w:multiLevelType w:val="hybridMultilevel"/>
    <w:lvl w:ilvl="0">
      <w:lvlJc w:val="left"/>
      <w:lvlText w:val="%1."/>
      <w:numFmt w:val="decimal"/>
      <w:start w:val="7"/>
    </w:lvl>
  </w:abstractNum>
  <w:abstractNum w:abstractNumId="74">
    <w:nsid w:val="1A32234B"/>
    <w:multiLevelType w:val="hybridMultilevel"/>
    <w:lvl w:ilvl="0">
      <w:lvlJc w:val="left"/>
      <w:lvlText w:val="%1."/>
      <w:numFmt w:val="decimal"/>
      <w:start w:val="9"/>
    </w:lvl>
  </w:abstractNum>
  <w:abstractNum w:abstractNumId="75">
    <w:nsid w:val="3B0FD379"/>
    <w:multiLevelType w:val="hybridMultilevel"/>
    <w:lvl w:ilvl="0">
      <w:lvlJc w:val="left"/>
      <w:lvlText w:val="(%1)"/>
      <w:numFmt w:val="lowerLetter"/>
      <w:start w:val="1"/>
    </w:lvl>
  </w:abstractNum>
  <w:abstractNum w:abstractNumId="76">
    <w:nsid w:val="68EB2F63"/>
    <w:multiLevelType w:val="hybridMultilevel"/>
    <w:lvl w:ilvl="0">
      <w:lvlJc w:val="left"/>
      <w:lvlText w:val="%1."/>
      <w:numFmt w:val="decimal"/>
      <w:start w:val="10"/>
    </w:lvl>
  </w:abstractNum>
  <w:abstractNum w:abstractNumId="77">
    <w:nsid w:val="4962813B"/>
    <w:multiLevelType w:val="hybridMultilevel"/>
    <w:lvl w:ilvl="0">
      <w:lvlJc w:val="left"/>
      <w:lvlText w:val="%1."/>
      <w:numFmt w:val="decimal"/>
      <w:start w:val="14"/>
    </w:lvl>
  </w:abstractNum>
  <w:abstractNum w:abstractNumId="78">
    <w:nsid w:val="60B6DF70"/>
    <w:multiLevelType w:val="hybridMultilevel"/>
    <w:lvl w:ilvl="0">
      <w:lvlJc w:val="left"/>
      <w:lvlText w:val="(%1)"/>
      <w:numFmt w:val="lowerLetter"/>
      <w:start w:val="1"/>
    </w:lvl>
  </w:abstractNum>
  <w:abstractNum w:abstractNumId="79">
    <w:nsid w:val="6A5EE64"/>
    <w:multiLevelType w:val="hybridMultilevel"/>
    <w:lvl w:ilvl="0">
      <w:lvlJc w:val="left"/>
      <w:lvlText w:val="(%1)"/>
      <w:numFmt w:val="lowerLetter"/>
      <w:start w:val="5"/>
    </w:lvl>
  </w:abstractNum>
  <w:abstractNum w:abstractNumId="80">
    <w:nsid w:val="14330624"/>
    <w:multiLevelType w:val="hybridMultilevel"/>
    <w:lvl w:ilvl="0">
      <w:lvlJc w:val="left"/>
      <w:lvlText w:val="(%1)"/>
      <w:numFmt w:val="lowerLetter"/>
      <w:start w:val="1"/>
    </w:lvl>
  </w:abstractNum>
  <w:abstractNum w:abstractNumId="81">
    <w:nsid w:val="7FFFCA11"/>
    <w:multiLevelType w:val="hybridMultilevel"/>
    <w:lvl w:ilvl="0">
      <w:lvlJc w:val="left"/>
      <w:lvlText w:val="(%1)"/>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jpeg"/><Relationship Id="rId93" Type="http://schemas.openxmlformats.org/officeDocument/2006/relationships/image" Target="media/image72.png"/><Relationship Id="rId94" Type="http://schemas.openxmlformats.org/officeDocument/2006/relationships/image" Target="media/image73.jpe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16" Type="http://schemas.openxmlformats.org/officeDocument/2006/relationships/hyperlink" Target="http://www.sec.gov/Archives/edgar/data/1800637/000121390022016936/f10k2021_agrifycorp.htm" TargetMode="External"/><Relationship Id="rId17" Type="http://schemas.openxmlformats.org/officeDocument/2006/relationships/hyperlink" Target="http://www.sec.gov/Archives/edgar/data/1800637/000121390022027256/f10q0322_agrifycorp.htm" TargetMode="External"/><Relationship Id="rId18" Type="http://schemas.openxmlformats.org/officeDocument/2006/relationships/hyperlink" Target="https://www.sec.gov/Archives/edgar/data/1800637/000121390022022512/def14a0422_agrify.htm" TargetMode="External"/><Relationship Id="rId19" Type="http://schemas.openxmlformats.org/officeDocument/2006/relationships/hyperlink" Target="http://www.sec.gov/Archives/edgar/data/1800637/000162828021025312/agfy-20210929.htm" TargetMode="External"/><Relationship Id="rId20" Type="http://schemas.openxmlformats.org/officeDocument/2006/relationships/hyperlink" Target="http://www.sec.gov/Archives/edgar/data/1800637/000121390022000601/ea153490-8k_agrifycorp.htm" TargetMode="External"/><Relationship Id="rId21" Type="http://schemas.openxmlformats.org/officeDocument/2006/relationships/hyperlink" Target="http://www.sec.gov/Archives/edgar/data/1800637/000121390022003773/ea154520-8k_agrifycorp.htm" TargetMode="External"/><Relationship Id="rId22" Type="http://schemas.openxmlformats.org/officeDocument/2006/relationships/hyperlink" Target="http://www.sec.gov/Archives/edgar/data/1800637/000121390022004925/ea154783-8k_agrifycorp.htm" TargetMode="External"/><Relationship Id="rId23" Type="http://schemas.openxmlformats.org/officeDocument/2006/relationships/hyperlink" Target="http://www.sec.gov/Archives/edgar/data/1800637/000121390022013613/ea157101-8k_agrifycorp.htm" TargetMode="External"/><Relationship Id="rId24" Type="http://schemas.openxmlformats.org/officeDocument/2006/relationships/hyperlink" Target="http://www.sec.gov/Archives/edgar/data/1800637/000121390022019437/ea158347-8k_agrifycorp.htm" TargetMode="External"/><Relationship Id="rId25" Type="http://schemas.openxmlformats.org/officeDocument/2006/relationships/hyperlink" Target="http://www.sec.gov/Archives/edgar/data/1800637/000121390022032014/ea161353-8k_agrify.htm" TargetMode="External"/><Relationship Id="rId26" Type="http://schemas.openxmlformats.org/officeDocument/2006/relationships/hyperlink" Target="http://www.sec.gov/Archives/edgar/data/1800637/000121390021004285/ea133941-8a12b_agrifycorp.htm" TargetMode="External"/><Relationship Id="rId30" Type="http://schemas.openxmlformats.org/officeDocument/2006/relationships/hyperlink" Target="https://www.sec.gov/Archives/edgar/data/1800637/000121390021001799/fs12020a1ex3-1_agrify.htm" TargetMode="External"/><Relationship Id="rId31" Type="http://schemas.openxmlformats.org/officeDocument/2006/relationships/hyperlink" Target="https://www.sec.gov/Archives/edgar/data/1800637/000121390021001799/fs12020a1ex3-2_agrify.htm" TargetMode="External"/><Relationship Id="rId32" Type="http://schemas.openxmlformats.org/officeDocument/2006/relationships/hyperlink" Target="https://www.sec.gov/Archives/edgar/data/1800637/000121390021004220/fs12021a2ex3-3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2022-07-01T05:14:25Z</dcterms:created>
  <dcterms:modified xsi:type="dcterms:W3CDTF">2022-07-01T05:14:25Z</dcterms:modified>
</cp:coreProperties>
</file>