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AGRIFY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40" w:type="dxa"/>
            <w:vAlign w:val="bottom"/>
          </w:tcPr>
          <w:p>
            <w:pPr>
              <w:spacing w:after="0"/>
              <w:rPr>
                <w:sz w:val="19"/>
                <w:szCs w:val="19"/>
                <w:color w:val="auto"/>
              </w:rPr>
            </w:pPr>
          </w:p>
        </w:tc>
        <w:tc>
          <w:tcPr>
            <w:tcW w:w="29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07"/>
        </w:trPr>
        <w:tc>
          <w:tcPr>
            <w:tcW w:w="45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520" w:type="dxa"/>
            <w:vAlign w:val="bottom"/>
            <w:tcBorders>
              <w:bottom w:val="single" w:sz="8" w:color="auto"/>
            </w:tcBorders>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28"/>
        </w:trPr>
        <w:tc>
          <w:tcPr>
            <w:tcW w:w="45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October 4, 2022, Agrify Corporation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w:t>
      </w:r>
    </w:p>
    <w:p>
      <w:pPr>
        <w:spacing w:after="0" w:line="18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on Nasdaq. In accordance with Nasdaq Listing Rule 5810(c)(3)(A), the Company has 180 calendar days to regain compliance with the Minimum Bid Requirement. To regain compliance with the Minimum Bid Requirement, the closing bid price of the Company’s common stock must be at least $1.00 per share for a minimum of 10 consecutive trading days during this 180-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compliance period, unless the Staff exercises its discretion to extend the minimum trading day period pursuant to Nasdaq Listing Rule 5810(c)(3)(G).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compliance period for the Company will expire on April 3, 2023.</w:t>
      </w:r>
    </w:p>
    <w:p>
      <w:pPr>
        <w:spacing w:after="0" w:line="20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the event that the Company does not regain compliance within the 180-day compliance period, the Company may be eligible for an additional 180 calendar day compliance period. To qualify, the Company would need to meet the continued listing requirement for market value of publicly held shares and all other initial listing standards for Nasdaq, with the exception of the Minimum Bid Requirement, and provide written notice to the Staff of its intention to cure the deficiency during the second compliance period. However, if it appears to the Staff that the Company will not be able to cure the deficiency, or if the Company does not meet the other listing standards, the Staff could provide notice that the Company’s common stock will become subject to delisting. In the event the Company receives notice that its common stock is being delisted, the Nasdaq Listing Rules permit the Company to appeal any such delisting determination by the Staff to a Hearings Panel.</w:t>
      </w:r>
    </w:p>
    <w:p>
      <w:pPr>
        <w:spacing w:after="0" w:line="189" w:lineRule="exact"/>
        <w:rPr>
          <w:sz w:val="20"/>
          <w:szCs w:val="20"/>
          <w:color w:val="auto"/>
        </w:rPr>
      </w:pPr>
    </w:p>
    <w:p>
      <w:pPr>
        <w:ind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previously disclosed in its </w:t>
      </w:r>
      <w:hyperlink r:id="rId13">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September 19, 2022, the Company intends to regain compliance with the Minimum Bid Requirement by effecting a reverse stock split, and will hold a Special Meeting of Stockholders on October 14, 2022 to, among other matters, authorize a reverse stock split at a ratio of not less than 1-for-2 and not greater than 1-for-10, with the exact ratio of, effective time of and decision to implement the reverse stock split to be determined by the Company’s Board of Directors.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Requirement or that the Company will otherwise remain in compliance with the other listing standards for the Nasdaq Stock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15, 2022, the Company provided a notice of default to Bud &amp; Mary’s Cultivation, Inc. (the “Plaintiff”) and certain related parties notifying such parties that the Plaintiff was in default of its obligations under a term loan agreement between the Company and the Plaintiff (the “Agreement”). On October 5, 2022, the Plaintiff filed a complaint in the Superior Court of Massachusetts in Suffolk County naming the Company as defendant (the “Action”). The Action is captioned </w:t>
      </w:r>
      <w:r>
        <w:rPr>
          <w:rFonts w:ascii="Times New Roman" w:cs="Times New Roman" w:eastAsia="Times New Roman" w:hAnsi="Times New Roman"/>
          <w:sz w:val="18"/>
          <w:szCs w:val="18"/>
          <w:i w:val="1"/>
          <w:iCs w:val="1"/>
          <w:color w:val="auto"/>
        </w:rPr>
        <w:t>Bud &amp; Mary’s Cultivation, Inc. v. Agrify Corporation</w:t>
      </w:r>
      <w:r>
        <w:rPr>
          <w:rFonts w:ascii="Times New Roman" w:cs="Times New Roman" w:eastAsia="Times New Roman" w:hAnsi="Times New Roman"/>
          <w:sz w:val="18"/>
          <w:szCs w:val="18"/>
          <w:color w:val="auto"/>
        </w:rPr>
        <w:t>, case no. 2284CV02279. The Plaintiff is seeking, among other relief, monetary damages in connection with alleged unfair or deceptive trade practices, breach of contract and conversion arising from the Agreement. The Company believes that the Plaintiff’s claims have no merit and intends to defend itself vigorously. In addition to defending itself vigorously against the allegations in the Lawsuit, the Company is evaluating its rights and remedies against the Plaintiff and related parties.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6, 2022, the Company issued a press release regarding the Action. A copy of the press release is attached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t>
            </w:r>
          </w:p>
        </w:tc>
        <w:tc>
          <w:tcPr>
            <w:tcW w:w="10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120" w:type="dxa"/>
            <w:vAlign w:val="bottom"/>
            <w:tcBorders>
              <w:bottom w:val="single" w:sz="8" w:color="CCEEFF"/>
            </w:tcBorders>
            <w:gridSpan w:val="2"/>
            <w:shd w:val="clear" w:color="auto" w:fill="CCEEFF"/>
          </w:tcPr>
          <w:p>
            <w:pPr>
              <w:ind w:left="1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the Company, dated as of October 6, 2022</w:t>
            </w:r>
          </w:p>
        </w:tc>
        <w:tc>
          <w:tcPr>
            <w:tcW w:w="4380" w:type="dxa"/>
            <w:vAlign w:val="bottom"/>
            <w:tcBorders>
              <w:bottom w:val="single" w:sz="8" w:color="CCEEFF"/>
            </w:tcBorders>
            <w:shd w:val="clear" w:color="auto" w:fill="CCEEFF"/>
          </w:tcPr>
          <w:p>
            <w:pPr>
              <w:spacing w:after="0"/>
              <w:rPr>
                <w:sz w:val="16"/>
                <w:szCs w:val="16"/>
                <w:color w:val="auto"/>
              </w:rPr>
            </w:pPr>
          </w:p>
        </w:tc>
      </w:tr>
      <w:tr>
        <w:trPr>
          <w:trHeight w:val="234"/>
        </w:trPr>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6"/>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648"/>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October 6,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 Timothy R. Oakes</w:t>
            </w:r>
          </w:p>
        </w:tc>
      </w:tr>
      <w:tr>
        <w:trPr>
          <w:trHeight w:val="191"/>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9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Timothy R. Oakes</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1"/>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Issues Statement Refuting Lawsuit from Defaulted Customer</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BILLERICA, Mass., October 6, 2022 - Agrify Corporation (Nasdaq:AGFY) (“Agrify” or the “Company”), a leading provider of innovative cultivation and extraction solutions for the cannabis industry, today issued the following statement relating to the default of its customer Bud &amp; Mary’s Cultivation, Inc. (“Bud &amp; Mary’s”) under a construction loan facility extended by Agrify to Bud &amp; Mary’s associated with an Agrify Total Turn-Key Solution (“Agrify TTK Solution”) project and the lawsuit brought by Bud &amp; Mary’s in response to the default notice:</w:t>
      </w:r>
    </w:p>
    <w:p>
      <w:pPr>
        <w:spacing w:after="0" w:line="15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Bud &amp; Mary’s was notified by Agrify that it was in default of its credit facility and subsequently responded with a meritless lawsuit in an obvious attempt to avoid repayment of the credit facility.</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Bud &amp; Mary's lawsuit is entirely without merit. Agrify has worked closely and transparently with Bud &amp; Mary’s team throughout the entire design and build process. Agrify fully complied with its contractual obligations under the Agrify TTK Solution agreements.</w:t>
      </w:r>
    </w:p>
    <w:p>
      <w:pPr>
        <w:spacing w:after="0" w:line="121" w:lineRule="exact"/>
        <w:rPr>
          <w:sz w:val="20"/>
          <w:szCs w:val="20"/>
          <w:color w:val="auto"/>
        </w:rPr>
      </w:pPr>
    </w:p>
    <w:p>
      <w:pPr>
        <w:ind w:left="660" w:right="1640"/>
        <w:spacing w:after="0" w:line="282" w:lineRule="auto"/>
        <w:rPr>
          <w:sz w:val="20"/>
          <w:szCs w:val="20"/>
          <w:color w:val="auto"/>
        </w:rPr>
      </w:pPr>
      <w:r>
        <w:rPr>
          <w:rFonts w:ascii="Times New Roman" w:cs="Times New Roman" w:eastAsia="Times New Roman" w:hAnsi="Times New Roman"/>
          <w:sz w:val="18"/>
          <w:szCs w:val="18"/>
          <w:color w:val="auto"/>
        </w:rPr>
        <w:t>Agrify is taking all necessary steps to pursue repayment from Bud &amp; Mary’s and will take all actions necessary to protect its shareholders’ interests.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Burns and Levinson LLP is serving as legal counsel to Agrify.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Bud &amp; Mary’s lawsuit, the expected outcome thereof, and the ability to recover amounts due to Agrify under the Bud &amp; Mary’s agreements.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Archives/edgar/data/1800637/000121390022056995/def14a0922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2022-10-06T15:34:01Z</dcterms:created>
  <dcterms:modified xsi:type="dcterms:W3CDTF">2022-10-06T15:34:01Z</dcterms:modified>
</cp:coreProperties>
</file>