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5)</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October 18,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I-Tseng Jenny Chan</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6,192,559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6,192,559</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6,192,559</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339" w:lineRule="exact"/>
        <w:rPr>
          <w:rFonts w:ascii="Times New Roman" w:cs="Times New Roman" w:eastAsia="Times New Roman" w:hAnsi="Times New Roman"/>
          <w:sz w:val="18"/>
          <w:szCs w:val="18"/>
          <w:b w:val="1"/>
          <w:bCs w:val="1"/>
          <w:color w:val="auto"/>
        </w:rPr>
      </w:pPr>
    </w:p>
    <w:p>
      <w:pPr>
        <w:jc w:val="both"/>
        <w:ind w:left="340" w:hanging="332"/>
        <w:spacing w:after="0" w:line="25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67,997 shares of common stock, par value $0.001, of Agrify Corporation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held by M Zion Capital, LLC (“</w:t>
      </w:r>
      <w:r>
        <w:rPr>
          <w:rFonts w:ascii="Times New Roman" w:cs="Times New Roman" w:eastAsia="Times New Roman" w:hAnsi="Times New Roman"/>
          <w:sz w:val="18"/>
          <w:szCs w:val="18"/>
          <w:i w:val="1"/>
          <w:iCs w:val="1"/>
          <w:color w:val="auto"/>
        </w:rPr>
        <w:t>M Zion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an entity controlled by Ms. Chan, (ii) 67,997 shares of Common Stock held by M Olivet Capital, LLC (“</w:t>
      </w:r>
      <w:r>
        <w:rPr>
          <w:rFonts w:ascii="Times New Roman" w:cs="Times New Roman" w:eastAsia="Times New Roman" w:hAnsi="Times New Roman"/>
          <w:sz w:val="18"/>
          <w:szCs w:val="18"/>
          <w:i w:val="1"/>
          <w:iCs w:val="1"/>
          <w:color w:val="auto"/>
        </w:rPr>
        <w:t>M Olivet Capital</w:t>
      </w:r>
      <w:r>
        <w:rPr>
          <w:rFonts w:ascii="Times New Roman" w:cs="Times New Roman" w:eastAsia="Times New Roman" w:hAnsi="Times New Roman"/>
          <w:sz w:val="18"/>
          <w:szCs w:val="18"/>
          <w:color w:val="auto"/>
        </w:rPr>
        <w:t>”), an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by Ms. Chan, (iii) 67,997 shares of Common Stock held by M Cannan Capital, LLC (“</w:t>
      </w:r>
      <w:r>
        <w:rPr>
          <w:rFonts w:ascii="Times New Roman" w:cs="Times New Roman" w:eastAsia="Times New Roman" w:hAnsi="Times New Roman"/>
          <w:sz w:val="18"/>
          <w:szCs w:val="18"/>
          <w:i w:val="1"/>
          <w:iCs w:val="1"/>
          <w:color w:val="auto"/>
        </w:rPr>
        <w:t>M Cannan Capital</w:t>
      </w:r>
      <w:r>
        <w:rPr>
          <w:rFonts w:ascii="Times New Roman" w:cs="Times New Roman" w:eastAsia="Times New Roman" w:hAnsi="Times New Roman"/>
          <w:sz w:val="18"/>
          <w:szCs w:val="18"/>
          <w:color w:val="auto"/>
        </w:rPr>
        <w:t>”), an entity controlled by Ms. Chan, (iv) that number of shares of Common Stock issuable to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 entity controlled by Ms. Chan, issuable to Ms. Chan upon the conversion of that certain Senior Secured Amended, Restated and Consolidated Convertible Note, as amended (the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due 2025 described herein with an outstanding principal amount of $3,500,000.00 and a conversion price of $21.90 per share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adjusted per the Senior Secured Amended, Restated and Consolidated Convertible Note due 2025 from time to time), which conversion is subject to a 49.99% beneficial ownership limitation;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CP Acquisitions may assign its right to receive shares of Common Stock upon conversion to Mr. Raymond Nobu Chang and/or Ms. Chan, each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which case the 49.99% beneficial ownership limitation will apply to each of them individually, (v) that number of shares of Common Stock issuable to CP Acquisitions or, at CP Acquisition’s election, pre-funded warrants to purchase shares of Common Stock issuable to CP Acquisitions upon conversion of that certain Junior Secured Convertible Promissory Note (“</w:t>
      </w:r>
      <w:r>
        <w:rPr>
          <w:rFonts w:ascii="Times New Roman" w:cs="Times New Roman" w:eastAsia="Times New Roman" w:hAnsi="Times New Roman"/>
          <w:sz w:val="18"/>
          <w:szCs w:val="18"/>
          <w:i w:val="1"/>
          <w:iCs w:val="1"/>
          <w:color w:val="auto"/>
        </w:rPr>
        <w:t>Junior Note</w:t>
      </w:r>
      <w:r>
        <w:rPr>
          <w:rFonts w:ascii="Times New Roman" w:cs="Times New Roman" w:eastAsia="Times New Roman" w:hAnsi="Times New Roman"/>
          <w:sz w:val="18"/>
          <w:szCs w:val="18"/>
          <w:color w:val="auto"/>
        </w:rPr>
        <w:t>”) due July 1, 2025, as amended by that certain Amendment No. 1, dated October 18, 2024 described herein with an outstanding principal amount of $3,000,000.00 and a conversion price of $3.9495 (as may be adjusted per the Junior Note), which pre-funded warrants are exercisable subject to a 49.99% beneficial ownership limitation, (vi) pre-funded warrants to purchase 5,069,161 shares of Common Stock held by CP Acquisitions that are exercisable within 60 days of the date hereof, as amended by that certain Amendment to Pre-Funded Common Stock Purchase Warrant, dated August 28, 2024, by and between Issuer and CP Acquisitions (the “</w:t>
      </w:r>
      <w:r>
        <w:rPr>
          <w:rFonts w:ascii="Times New Roman" w:cs="Times New Roman" w:eastAsia="Times New Roman" w:hAnsi="Times New Roman"/>
          <w:sz w:val="18"/>
          <w:szCs w:val="18"/>
          <w:i w:val="1"/>
          <w:iCs w:val="1"/>
          <w:color w:val="auto"/>
        </w:rPr>
        <w:t>CP Warrant Amendment</w:t>
      </w:r>
      <w:r>
        <w:rPr>
          <w:rFonts w:ascii="Times New Roman" w:cs="Times New Roman" w:eastAsia="Times New Roman" w:hAnsi="Times New Roman"/>
          <w:sz w:val="18"/>
          <w:szCs w:val="18"/>
          <w:color w:val="auto"/>
        </w:rPr>
        <w:t>”), and subject to a 49.99% beneficial ownership limitation.</w:t>
      </w:r>
    </w:p>
    <w:p>
      <w:pPr>
        <w:spacing w:after="0" w:line="195"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Chan disclaims beneficial ownership with respect to the shares held by M Zion Capital, the shares held by M Olivet Capital, the shares held by M Cannan Capital and the shares entitled to CP Acquisitions upon conversion of its Convertible Note, in each case except to the extent of her pecuniary interest therein.</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1,331,790 shares of Common Stock outstanding as of October 23, 2024, plus the shares of Common Stock issuable and issued upon exercise</w:t>
      </w:r>
    </w:p>
    <w:p>
      <w:pPr>
        <w:sectPr>
          <w:pgSz w:w="11900" w:h="16864" w:orient="portrait"/>
          <w:cols w:equalWidth="0" w:num="1">
            <w:col w:w="11240"/>
          </w:cols>
          <w:pgMar w:left="320" w:top="900"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color w:val="auto"/>
        </w:rPr>
        <w:t>of the warrants and options and conversion of the Convertible Note in footnote (1) above, subject to applicable beneficial ownership limitations.</w:t>
      </w:r>
    </w:p>
    <w:p>
      <w:pPr>
        <w:sectPr>
          <w:pgSz w:w="11900" w:h="16838" w:orient="portrait"/>
          <w:cols w:equalWidth="0" w:num="1">
            <w:col w:w="10380"/>
          </w:cols>
          <w:pgMar w:left="660" w:top="121" w:right="859" w:bottom="1440" w:gutter="0" w:footer="0" w:header="0"/>
        </w:sectPr>
      </w:pPr>
    </w:p>
    <w:p>
      <w:pPr>
        <w:spacing w:after="0" w:line="3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31750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80"/>
          </w:cols>
          <w:pgMar w:left="660" w:top="121" w:right="8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Zion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6"/>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67,997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67,997</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67,997</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5.11%</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67,997 shares of Common Stock held by M Zion Capital.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1,331,790 shares of Common Stock outstanding as of October 23,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Olivet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0"/>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0"/>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67,997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67,997</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67,997</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5.11%</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67,997 held by M Olivet Capital.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1,331,790 shares of Common Stock outstanding as of October 23,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Cannan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4"/>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4"/>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67,997</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67,997</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67,997</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5.11%</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67,997 shares of Common Stock held by M Cannan Capital.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1,331,790 shares of Common Stock outstanding as of October 23,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8"/>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8"/>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5,828,910</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3"/>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5,828,910</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5,828,910</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3"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that number of shares of Common Stock issuable to CP Acquisitions, an entity controlled by Ms. Chan, issuable to Ms. Chan upon the conversion of the Convertible Note due 2025 described herein with an outstanding principal amount of $3,500,000.00 and a conversion price of $21.90 per share (as may be adjusted per the Senior Secured Amended, Restated and Consolidated Convertible Note due 2025 from time to time), which conversion is subject to a 49.99% beneficial ownership limitation; provided that CP Acquisitions may assign its right to receive shares of Common Stock upon conversion to Mr. Chang and/or Ms. Chan, each a member of the Board, in which case the 49.99% beneficial ownership limitation will apply to each of them individually, (ii) pre-funded warrants to purchase 5,069,161 shares of Common Stock held by CP Acquisitions that are exercisable within 60 days of the date hereof, as amended by the CP Warrant Amendment, and subject to 49.99% beneficial ownership limitation, and</w:t>
      </w:r>
    </w:p>
    <w:p>
      <w:pPr>
        <w:spacing w:after="0" w:line="2"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666"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number of shares of Common Stock issuable to CP Acquisitions or, at CP Acquisition’s election, pre-funded warrants to purchase shares of Common Stock issuable to CP Acquisitions upon conversion of the Junior Note due July 1, 2025, as amended by that certain Amendment No. 1, dated October 18, 2024 described herein with an outstanding principal amount of $3,000,000.00 and a conversion price of $3.9495 (as may be adjusted per the Junior Note), which pre-funded warrants are exercisable subject to a 49.99% beneficial ownership limitation.</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1,331,790 shares of Common Stock outstanding as of October 23, 2024, plus the shares of Common Stock issuable and issued upon exercise of the warrants and options and conversion of the Convertible Note in footnote (1) above, subject to applicable beneficial ownership limitations.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771"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No. 5 to the statement on Schedule 13D (“</w:t>
      </w:r>
      <w:r>
        <w:rPr>
          <w:rFonts w:ascii="Times New Roman" w:cs="Times New Roman" w:eastAsia="Times New Roman" w:hAnsi="Times New Roman"/>
          <w:sz w:val="18"/>
          <w:szCs w:val="18"/>
          <w:i w:val="1"/>
          <w:iCs w:val="1"/>
          <w:color w:val="auto"/>
        </w:rPr>
        <w:t>Amendment No. 5</w:t>
      </w:r>
      <w:r>
        <w:rPr>
          <w:rFonts w:ascii="Times New Roman" w:cs="Times New Roman" w:eastAsia="Times New Roman" w:hAnsi="Times New Roman"/>
          <w:sz w:val="18"/>
          <w:szCs w:val="18"/>
          <w:color w:val="auto"/>
        </w:rPr>
        <w:t>”) amends the Schedule 13D originally filed by the Reporting Persons (as defined herein) on January 25, 2024, as amended by that certain Amendment No. 1 filed on May 23, 2024, Amendment No. 2 filed on August 6, 2024, Amendment No. 3 filed on August 16, 2024, and Amendment No. 4 filed on September 4,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par value $0.001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M Zion Capital, LLC (“</w:t>
      </w:r>
      <w:r>
        <w:rPr>
          <w:rFonts w:ascii="Times New Roman" w:cs="Times New Roman" w:eastAsia="Times New Roman" w:hAnsi="Times New Roman"/>
          <w:sz w:val="18"/>
          <w:szCs w:val="18"/>
          <w:i w:val="1"/>
          <w:iCs w:val="1"/>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Zion Capital</w:t>
      </w:r>
      <w:r>
        <w:rPr>
          <w:rFonts w:ascii="Times New Roman" w:cs="Times New Roman" w:eastAsia="Times New Roman" w:hAnsi="Times New Roman"/>
          <w:sz w:val="18"/>
          <w:szCs w:val="18"/>
          <w:color w:val="auto"/>
        </w:rPr>
        <w:t>”), M Olivet Capital, LLC (“</w:t>
      </w:r>
      <w:r>
        <w:rPr>
          <w:rFonts w:ascii="Times New Roman" w:cs="Times New Roman" w:eastAsia="Times New Roman" w:hAnsi="Times New Roman"/>
          <w:sz w:val="18"/>
          <w:szCs w:val="18"/>
          <w:i w:val="1"/>
          <w:iCs w:val="1"/>
          <w:color w:val="auto"/>
        </w:rPr>
        <w:t>M Olivet Capital</w:t>
      </w:r>
      <w:r>
        <w:rPr>
          <w:rFonts w:ascii="Times New Roman" w:cs="Times New Roman" w:eastAsia="Times New Roman" w:hAnsi="Times New Roman"/>
          <w:sz w:val="18"/>
          <w:szCs w:val="18"/>
          <w:color w:val="auto"/>
        </w:rPr>
        <w:t>”), M Cannan Capital, LLC (“</w:t>
      </w:r>
      <w:r>
        <w:rPr>
          <w:rFonts w:ascii="Times New Roman" w:cs="Times New Roman" w:eastAsia="Times New Roman" w:hAnsi="Times New Roman"/>
          <w:sz w:val="18"/>
          <w:szCs w:val="18"/>
          <w:i w:val="1"/>
          <w:iCs w:val="1"/>
          <w:color w:val="auto"/>
        </w:rPr>
        <w:t>M Cannan Capital</w:t>
      </w:r>
      <w:r>
        <w:rPr>
          <w:rFonts w:ascii="Times New Roman" w:cs="Times New Roman" w:eastAsia="Times New Roman" w:hAnsi="Times New Roman"/>
          <w:sz w:val="18"/>
          <w:szCs w:val="18"/>
          <w:color w:val="auto"/>
        </w:rPr>
        <w:t>”), and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(each of M Zion Capital, M Olivet Capital, M Cannan Capital CP Acquisitions,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 shares of Common Stock that they may be deemed to have beneficial ownership.</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5 does not modify any of the information previously reported on the Schedule 13D. Capitalized terms used but not otherwise defined in this Amendment No. 5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Amendment to Junior Note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On October 18, 2024, the Issuer and CP Acquisitions entered into an amendment to the Junior Note (the “</w:t>
      </w:r>
      <w:r>
        <w:rPr>
          <w:rFonts w:ascii="Times New Roman" w:cs="Times New Roman" w:eastAsia="Times New Roman" w:hAnsi="Times New Roman"/>
          <w:sz w:val="18"/>
          <w:szCs w:val="18"/>
          <w:i w:val="1"/>
          <w:iCs w:val="1"/>
          <w:color w:val="auto"/>
        </w:rPr>
        <w:t>Junior Note Amendment</w:t>
      </w:r>
      <w:r>
        <w:rPr>
          <w:rFonts w:ascii="Times New Roman" w:cs="Times New Roman" w:eastAsia="Times New Roman" w:hAnsi="Times New Roman"/>
          <w:sz w:val="18"/>
          <w:szCs w:val="18"/>
          <w:color w:val="auto"/>
        </w:rPr>
        <w:t>”), pursuant to which the maximum principal sum of the Junior Note is increased from $1,500,000 to $3,000,000. The conversion price applicable to the Junior Note will remain unchanged with an exercise price of $0.001 per share, in each case at a conversion price of $3.9495 (as may be adjusted per the Junior Note).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summary of the Junior Note Amendment does not purport to be complete, and is qualified in their entirety by reference to copies of the Junior Note Amendment, which are filed as Exhibit 4.1, to the Issuer’s Current Report on Form 8-K, filed with the SEC on October 22, 2024, which is attached as exhibit 1 to this Schedule 13D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The information provided or incorporated by reference in </w:t>
      </w:r>
      <w:r>
        <w:rPr>
          <w:rFonts w:ascii="Times New Roman" w:cs="Times New Roman" w:eastAsia="Times New Roman" w:hAnsi="Times New Roman"/>
          <w:sz w:val="18"/>
          <w:szCs w:val="18"/>
          <w:i w:val="1"/>
          <w:iCs w:val="1"/>
          <w:u w:val="single" w:color="auto"/>
          <w:color w:val="auto"/>
        </w:rPr>
        <w:t>Item 5</w:t>
      </w:r>
      <w:r>
        <w:rPr>
          <w:rFonts w:ascii="Times New Roman" w:cs="Times New Roman" w:eastAsia="Times New Roman" w:hAnsi="Times New Roman"/>
          <w:sz w:val="18"/>
          <w:szCs w:val="18"/>
          <w:i w:val="1"/>
          <w:iCs w:val="1"/>
          <w:color w:val="auto"/>
        </w:rPr>
        <w:t xml:space="preserve"> of this Schedule 13D, is hereby incorporated herein by this reference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Item 6 is hereby amended and modified to include the following (which shall be in addition to the information previously included in the Schedule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Junior Note Amendment, or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call options, put options, security-based swaps or any other derivative securities, transfer or voting of such securities, finder’s fees, joint ventures, loan or option arrangements, guarantees of profits, division of profits or losses, or the giving or withholding of proxies.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0" w:lineRule="exact"/>
        <w:rPr>
          <w:sz w:val="20"/>
          <w:szCs w:val="20"/>
          <w:color w:val="auto"/>
        </w:rPr>
      </w:pPr>
    </w:p>
    <w:p>
      <w:pPr>
        <w:jc w:val="both"/>
        <w:ind w:left="960" w:hanging="952"/>
        <w:spacing w:after="0" w:line="266" w:lineRule="auto"/>
        <w:tabs>
          <w:tab w:leader="none" w:pos="960" w:val="left"/>
        </w:tabs>
        <w:numPr>
          <w:ilvl w:val="0"/>
          <w:numId w:val="22"/>
        </w:numPr>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Amendment No. 1 to Junior Secured Convertible Promissory Note, dated as of October 18, 2024, by and between Agrify Corporation and CP</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Acquisitions, LLC (incorporated by reference to Exhibit 4.1 to the Issuer's Current Report on Form 8-K, filed with the SEC on October 22,</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2024).</w:t>
        </w:r>
      </w:hyperlink>
    </w:p>
    <w:p>
      <w:pPr>
        <w:spacing w:after="0" w:line="39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24,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I-Tseng Jenny Chan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I-Tseng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Zion Capital,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 Olivet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 Cannan Capital,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140E0F7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3352255A"/>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109CF92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DED7263"/>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6">
    <w:nsid w:val="7FDCC233"/>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7">
    <w:nsid w:val="1BEFD79F"/>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8">
    <w:nsid w:val="41A7C4C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
    <w:nsid w:val="6B68079A"/>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0">
    <w:nsid w:val="4E6AFB6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1">
    <w:nsid w:val="25E45D3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2">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431BD7B7"/>
    <w:multiLevelType w:val="hybridMultilevel"/>
    <w:lvl w:ilvl="0">
      <w:lvlJc w:val="left"/>
      <w:lvlText w:val="%1."/>
      <w:numFmt w:val="decimal"/>
      <w:start w:val="1"/>
    </w:lvl>
    <w:lvl w:ilvl="1">
      <w:lvlJc w:val="left"/>
      <w:lvlText w:val="(%2)"/>
      <w:numFmt w:val="lowerLetter"/>
      <w:start w:val="1"/>
    </w:lvl>
  </w:abstractNum>
  <w:abstractNum w:abstractNumId="14">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5">
    <w:nsid w:val="7C83E45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6">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62BBD95A"/>
    <w:multiLevelType w:val="hybridMultilevel"/>
    <w:lvl w:ilvl="0">
      <w:lvlJc w:val="left"/>
      <w:lvlText w:val="%1."/>
      <w:numFmt w:val="decimal"/>
      <w:start w:val="1"/>
    </w:lvl>
    <w:lvl w:ilvl="1">
      <w:lvlJc w:val="left"/>
      <w:lvlText w:val="(%2)"/>
      <w:numFmt w:val="lowerLetter"/>
      <w:start w:val="1"/>
    </w:lvl>
  </w:abstractNum>
  <w:abstractNum w:abstractNumId="18">
    <w:nsid w:val="436C6125"/>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decimal"/>
      <w:start w:val="10"/>
    </w:lvl>
  </w:abstractNum>
  <w:abstractNum w:abstractNumId="19">
    <w:nsid w:val="628C895D"/>
    <w:multiLevelType w:val="hybridMultilevel"/>
    <w:lvl w:ilvl="0">
      <w:lvlJc w:val="left"/>
      <w:lvlText w:val="%1"/>
      <w:numFmt w:val="decimal"/>
      <w:start w:val="1"/>
    </w:lvl>
    <w:lvl w:ilvl="1">
      <w:lvlJc w:val="left"/>
      <w:lvlText w:val="%2."/>
      <w:numFmt w:val="decimal"/>
      <w:start w:val="11"/>
    </w:lvl>
    <w:lvl w:ilvl="2">
      <w:lvlJc w:val="left"/>
      <w:lvlText w:val="%3"/>
      <w:numFmt w:val="lowerRoman"/>
      <w:start w:val="1"/>
    </w:lvl>
    <w:lvl w:ilvl="3">
      <w:lvlJc w:val="left"/>
      <w:lvlText w:val="%4"/>
      <w:numFmt w:val="decimal"/>
      <w:start w:val="1"/>
    </w:lvl>
  </w:abstractNum>
  <w:abstractNum w:abstractNumId="20">
    <w:nsid w:val="333AB105"/>
    <w:multiLevelType w:val="hybridMultilevel"/>
    <w:lvl w:ilvl="0">
      <w:lvlJc w:val="left"/>
      <w:lvlText w:val="(%1)"/>
      <w:numFmt w:val="decimal"/>
      <w:start w:val="1"/>
    </w:lvl>
    <w:lvl w:ilvl="1">
      <w:lvlJc w:val="left"/>
      <w:lvlText w:val="%2"/>
      <w:numFmt w:val="decimal"/>
      <w:start w:val="1"/>
    </w:lvl>
    <w:lvl w:ilvl="2">
      <w:lvlJc w:val="left"/>
      <w:lvlText w:val="(%3)"/>
      <w:numFmt w:val="lowerRoman"/>
      <w:start w:val="3"/>
    </w:lvl>
    <w:lvl w:ilvl="3">
      <w:lvlJc w:val="left"/>
      <w:lvlText w:val="%4"/>
      <w:numFmt w:val="decimal"/>
      <w:start w:val="1"/>
    </w:lvl>
  </w:abstractNum>
  <w:abstractNum w:abstractNumId="21">
    <w:nsid w:val="721DA31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4" Type="http://schemas.openxmlformats.org/officeDocument/2006/relationships/hyperlink" Target="http://www.sec.gov/Archives/edgar/data/1800637/000121390024089657/ea021819201ex4-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2024-10-24T19:57:10Z</dcterms:created>
  <dcterms:modified xsi:type="dcterms:W3CDTF">2024-10-24T19:57:10Z</dcterms:modified>
</cp:coreProperties>
</file>