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-223520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4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-596265</wp:posOffset>
            </wp:positionV>
            <wp:extent cx="56515" cy="609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960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-596265</wp:posOffset>
            </wp:positionV>
            <wp:extent cx="5651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9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24130</wp:posOffset>
            </wp:positionV>
            <wp:extent cx="7049770"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45529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40" w:space="560"/>
            <w:col w:w="838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 I-Tseng Jenny</w:t>
        </w:r>
      </w:hyperlink>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tcPr>
          <w:p>
            <w:pPr>
              <w:ind w:left="400"/>
              <w:spacing w:after="0"/>
              <w:rPr>
                <w:sz w:val="20"/>
                <w:szCs w:val="20"/>
                <w:color w:val="auto"/>
              </w:rPr>
            </w:pPr>
            <w:r>
              <w:rPr>
                <w:rFonts w:ascii="Arial" w:cs="Arial" w:eastAsia="Arial" w:hAnsi="Arial"/>
                <w:sz w:val="12"/>
                <w:szCs w:val="12"/>
                <w:color w:val="auto"/>
              </w:rPr>
              <w:t>(First)</w:t>
            </w:r>
          </w:p>
        </w:tc>
        <w:tc>
          <w:tcPr>
            <w:tcW w:w="140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AGRIFY CORPORATION</w:t>
            </w:r>
          </w:p>
        </w:tc>
        <w:tc>
          <w:tcPr>
            <w:tcW w:w="1400" w:type="dxa"/>
            <w:vAlign w:val="bottom"/>
          </w:tcPr>
          <w:p>
            <w:pPr>
              <w:spacing w:after="0"/>
              <w:rPr>
                <w:sz w:val="22"/>
                <w:szCs w:val="22"/>
                <w:color w:val="auto"/>
              </w:rPr>
            </w:pPr>
          </w:p>
        </w:tc>
      </w:tr>
      <w:tr>
        <w:trPr>
          <w:trHeight w:val="245"/>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2468 INDUSTRIAL DRIVE</w:t>
            </w:r>
          </w:p>
        </w:tc>
        <w:tc>
          <w:tcPr>
            <w:tcW w:w="140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47"/>
        </w:trPr>
        <w:tc>
          <w:tcPr>
            <w:tcW w:w="8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TROY</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MI</w:t>
            </w: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48084</w:t>
            </w:r>
          </w:p>
        </w:tc>
      </w:tr>
      <w:tr>
        <w:trPr>
          <w:trHeight w:val="141"/>
        </w:trPr>
        <w:tc>
          <w:tcPr>
            <w:tcW w:w="2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tcPr>
          <w:p>
            <w:pPr>
              <w:ind w:left="400"/>
              <w:spacing w:after="0"/>
              <w:rPr>
                <w:sz w:val="20"/>
                <w:szCs w:val="20"/>
                <w:color w:val="auto"/>
              </w:rPr>
            </w:pPr>
            <w:r>
              <w:rPr>
                <w:rFonts w:ascii="Arial" w:cs="Arial" w:eastAsia="Arial" w:hAnsi="Arial"/>
                <w:sz w:val="12"/>
                <w:szCs w:val="12"/>
                <w:color w:val="auto"/>
              </w:rPr>
              <w:t>(State)</w:t>
            </w:r>
          </w:p>
        </w:tc>
        <w:tc>
          <w:tcPr>
            <w:tcW w:w="140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51"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restart"/>
          </w:tcPr>
          <w:p>
            <w:pPr>
              <w:ind w:left="180"/>
              <w:spacing w:after="0" w:line="151"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8"/>
        </w:trPr>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05/21/2024</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below)</w:t>
            </w:r>
          </w:p>
        </w:tc>
        <w:tc>
          <w:tcPr>
            <w:tcW w:w="1640" w:type="dxa"/>
            <w:vAlign w:val="bottom"/>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1"/>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9" w:lineRule="exact"/>
        <w:rPr>
          <w:sz w:val="24"/>
          <w:szCs w:val="24"/>
          <w:color w:val="auto"/>
        </w:rPr>
      </w:pPr>
    </w:p>
    <w:p>
      <w:pPr>
        <w:ind w:left="300" w:right="440"/>
        <w:spacing w:after="0" w:line="26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5"/>
                <w:szCs w:val="5"/>
                <w:color w:val="auto"/>
              </w:rPr>
            </w:pPr>
          </w:p>
        </w:tc>
        <w:tc>
          <w:tcPr>
            <w:tcW w:w="820" w:type="dxa"/>
            <w:vAlign w:val="bottom"/>
            <w:vMerge w:val="restart"/>
          </w:tcPr>
          <w:p>
            <w:pPr>
              <w:ind w:left="12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8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Expiration Date</w:t>
            </w:r>
          </w:p>
        </w:tc>
        <w:tc>
          <w:tcPr>
            <w:tcW w:w="620" w:type="dxa"/>
            <w:vAlign w:val="bottom"/>
          </w:tcPr>
          <w:p>
            <w:pPr>
              <w:spacing w:after="0"/>
              <w:rPr>
                <w:sz w:val="10"/>
                <w:szCs w:val="10"/>
                <w:color w:val="auto"/>
              </w:rPr>
            </w:pP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5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Disposed of</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 (Instr. 3, 4</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rPr>
              <w:t>(D)</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2,397,260</w:t>
            </w:r>
            <w:r>
              <w:rPr>
                <w:rFonts w:ascii="Times New Roman" w:cs="Times New Roman" w:eastAsia="Times New Roman" w:hAnsi="Times New Roman"/>
                <w:sz w:val="20"/>
                <w:szCs w:val="20"/>
                <w:color w:val="008000"/>
                <w:vertAlign w:val="superscript"/>
              </w:rPr>
              <w:t>(1)</w:t>
            </w: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74"/>
        </w:trPr>
        <w:tc>
          <w:tcPr>
            <w:tcW w:w="700" w:type="dxa"/>
            <w:vAlign w:val="bottom"/>
            <w:vMerge w:val="continue"/>
          </w:tcPr>
          <w:p>
            <w:pPr>
              <w:spacing w:after="0"/>
              <w:rPr>
                <w:sz w:val="6"/>
                <w:szCs w:val="6"/>
                <w:color w:val="auto"/>
              </w:rPr>
            </w:pPr>
          </w:p>
        </w:tc>
        <w:tc>
          <w:tcPr>
            <w:tcW w:w="740" w:type="dxa"/>
            <w:vAlign w:val="bottom"/>
            <w:vMerge w:val="restart"/>
          </w:tcPr>
          <w:p>
            <w:pPr>
              <w:jc w:val="center"/>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w:t>
            </w:r>
          </w:p>
        </w:tc>
        <w:tc>
          <w:tcPr>
            <w:tcW w:w="1020" w:type="dxa"/>
            <w:vAlign w:val="bottom"/>
            <w:vMerge w:val="restart"/>
          </w:tcPr>
          <w:p>
            <w:pPr>
              <w:jc w:val="right"/>
              <w:ind w:right="162"/>
              <w:spacing w:after="0"/>
              <w:rPr>
                <w:sz w:val="20"/>
                <w:szCs w:val="20"/>
                <w:color w:val="auto"/>
              </w:rPr>
            </w:pPr>
            <w:r>
              <w:rPr>
                <w:rFonts w:ascii="Times New Roman" w:cs="Times New Roman" w:eastAsia="Times New Roman" w:hAnsi="Times New Roman"/>
                <w:sz w:val="12"/>
                <w:szCs w:val="12"/>
                <w:color w:val="0000FF"/>
              </w:rPr>
              <w:t>05/21/2024</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40" w:type="dxa"/>
            <w:vAlign w:val="bottom"/>
          </w:tcPr>
          <w:p>
            <w:pPr>
              <w:spacing w:after="0"/>
              <w:rPr>
                <w:sz w:val="6"/>
                <w:szCs w:val="6"/>
                <w:color w:val="auto"/>
              </w:rPr>
            </w:pPr>
          </w:p>
        </w:tc>
        <w:tc>
          <w:tcPr>
            <w:tcW w:w="26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0000FF"/>
              </w:rPr>
              <w:t>0</w:t>
            </w:r>
          </w:p>
        </w:tc>
        <w:tc>
          <w:tcPr>
            <w:tcW w:w="880" w:type="dxa"/>
            <w:vAlign w:val="bottom"/>
            <w:vMerge w:val="restart"/>
          </w:tcPr>
          <w:p>
            <w:pPr>
              <w:jc w:val="right"/>
              <w:ind w:right="344"/>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0000FF"/>
                <w:w w:val="98"/>
              </w:rPr>
              <w:t>12/31/2025</w:t>
            </w:r>
          </w:p>
        </w:tc>
        <w:tc>
          <w:tcPr>
            <w:tcW w:w="600" w:type="dxa"/>
            <w:vAlign w:val="bottom"/>
            <w:vMerge w:val="continue"/>
          </w:tcPr>
          <w:p>
            <w:pPr>
              <w:spacing w:after="0"/>
              <w:rPr>
                <w:sz w:val="6"/>
                <w:szCs w:val="6"/>
                <w:color w:val="auto"/>
              </w:rPr>
            </w:pPr>
          </w:p>
        </w:tc>
        <w:tc>
          <w:tcPr>
            <w:tcW w:w="760" w:type="dxa"/>
            <w:vAlign w:val="bottom"/>
            <w:vMerge w:val="restart"/>
          </w:tcPr>
          <w:p>
            <w:pPr>
              <w:jc w:val="right"/>
              <w:ind w:right="261"/>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7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28"/>
        </w:trPr>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49"/>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center"/>
              <w:ind w:right="44"/>
              <w:spacing w:after="0" w:line="197" w:lineRule="exact"/>
              <w:rPr>
                <w:sz w:val="20"/>
                <w:szCs w:val="20"/>
                <w:color w:val="auto"/>
              </w:rPr>
            </w:pPr>
            <w:r>
              <w:rPr>
                <w:rFonts w:ascii="Times New Roman" w:cs="Times New Roman" w:eastAsia="Times New Roman" w:hAnsi="Times New Roman"/>
                <w:sz w:val="12"/>
                <w:szCs w:val="12"/>
                <w:color w:val="0000FF"/>
              </w:rPr>
              <w:t>05/21/2024</w:t>
            </w:r>
            <w:r>
              <w:rPr>
                <w:rFonts w:ascii="Times New Roman" w:cs="Times New Roman" w:eastAsia="Times New Roman" w:hAnsi="Times New Roman"/>
                <w:sz w:val="20"/>
                <w:szCs w:val="20"/>
                <w:color w:val="008000"/>
                <w:vertAlign w:val="superscript"/>
              </w:rPr>
              <w:t>(2)</w:t>
            </w:r>
          </w:p>
        </w:tc>
        <w:tc>
          <w:tcPr>
            <w:tcW w:w="620" w:type="dxa"/>
            <w:vAlign w:val="bottom"/>
          </w:tcPr>
          <w:p>
            <w:pPr>
              <w:spacing w:after="0"/>
              <w:rPr>
                <w:sz w:val="4"/>
                <w:szCs w:val="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000FF"/>
              </w:rPr>
              <w:t>7,876,712</w:t>
            </w:r>
          </w:p>
        </w:tc>
        <w:tc>
          <w:tcPr>
            <w:tcW w:w="660" w:type="dxa"/>
            <w:vAlign w:val="bottom"/>
          </w:tcPr>
          <w:p>
            <w:pPr>
              <w:spacing w:after="0"/>
              <w:rPr>
                <w:sz w:val="4"/>
                <w:szCs w:val="4"/>
                <w:color w:val="auto"/>
              </w:rPr>
            </w:pPr>
          </w:p>
        </w:tc>
        <w:tc>
          <w:tcPr>
            <w:tcW w:w="880" w:type="dxa"/>
            <w:vAlign w:val="bottom"/>
            <w:vMerge w:val="restart"/>
          </w:tcPr>
          <w:p>
            <w:pPr>
              <w:ind w:left="140"/>
              <w:spacing w:after="0" w:line="197" w:lineRule="exact"/>
              <w:rPr>
                <w:sz w:val="20"/>
                <w:szCs w:val="20"/>
                <w:color w:val="auto"/>
              </w:rPr>
            </w:pPr>
            <w:r>
              <w:rPr>
                <w:rFonts w:ascii="Times New Roman" w:cs="Times New Roman" w:eastAsia="Times New Roman" w:hAnsi="Times New Roman"/>
                <w:sz w:val="12"/>
                <w:szCs w:val="12"/>
                <w:color w:val="0000FF"/>
              </w:rPr>
              <w:t>7,876,712</w:t>
            </w:r>
            <w:r>
              <w:rPr>
                <w:rFonts w:ascii="Times New Roman" w:cs="Times New Roman" w:eastAsia="Times New Roman" w:hAnsi="Times New Roman"/>
                <w:sz w:val="20"/>
                <w:szCs w:val="20"/>
                <w:color w:val="008000"/>
                <w:vertAlign w:val="superscript"/>
              </w:rPr>
              <w:t>(2)</w:t>
            </w:r>
          </w:p>
        </w:tc>
        <w:tc>
          <w:tcPr>
            <w:tcW w:w="7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740" w:type="dxa"/>
            <w:vAlign w:val="bottom"/>
          </w:tcPr>
          <w:p>
            <w:pPr>
              <w:jc w:val="center"/>
              <w:ind w:right="12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0000FF"/>
              </w:rPr>
              <w:t>05/21/2024</w:t>
            </w:r>
          </w:p>
        </w:tc>
        <w:tc>
          <w:tcPr>
            <w:tcW w:w="1040" w:type="dxa"/>
            <w:vAlign w:val="bottom"/>
          </w:tcPr>
          <w:p>
            <w:pPr>
              <w:spacing w:after="0"/>
              <w:rPr>
                <w:sz w:val="12"/>
                <w:szCs w:val="1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7,876,712</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20" w:type="dxa"/>
            <w:vAlign w:val="bottom"/>
          </w:tcPr>
          <w:p>
            <w:pPr>
              <w:jc w:val="right"/>
              <w:ind w:right="224"/>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87"/>
        </w:trPr>
        <w:tc>
          <w:tcPr>
            <w:tcW w:w="7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ind w:left="160"/>
              <w:spacing w:after="0" w:line="87"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ind w:left="60"/>
              <w:spacing w:after="0" w:line="87" w:lineRule="exact"/>
              <w:rPr>
                <w:sz w:val="20"/>
                <w:szCs w:val="20"/>
                <w:color w:val="auto"/>
              </w:rPr>
            </w:pPr>
            <w:r>
              <w:rPr>
                <w:rFonts w:ascii="Times New Roman" w:cs="Times New Roman" w:eastAsia="Times New Roman" w:hAnsi="Times New Roman"/>
                <w:sz w:val="7"/>
                <w:szCs w:val="7"/>
                <w:color w:val="0000FF"/>
              </w:rPr>
              <w:t>LLC</w:t>
            </w:r>
            <w:r>
              <w:rPr>
                <w:rFonts w:ascii="Times New Roman" w:cs="Times New Roman" w:eastAsia="Times New Roman" w:hAnsi="Times New Roman"/>
                <w:sz w:val="10"/>
                <w:szCs w:val="10"/>
                <w:color w:val="008000"/>
                <w:vertAlign w:val="superscript"/>
              </w:rPr>
              <w:t>(3)</w:t>
            </w:r>
          </w:p>
        </w:tc>
        <w:tc>
          <w:tcPr>
            <w:tcW w:w="0" w:type="dxa"/>
            <w:vAlign w:val="bottom"/>
          </w:tcPr>
          <w:p>
            <w:pPr>
              <w:spacing w:after="0"/>
              <w:rPr>
                <w:sz w:val="1"/>
                <w:szCs w:val="1"/>
                <w:color w:val="auto"/>
              </w:rPr>
            </w:pPr>
          </w:p>
        </w:tc>
      </w:tr>
      <w:tr>
        <w:trPr>
          <w:trHeight w:val="15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260" w:hanging="5"/>
        <w:spacing w:after="0" w:line="24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21, 2024, the Issuer and CP Acquisitions, LLC ("CP Acquisitions") entered into an amendment (the "CP Note Amendment") to that certain a Senior Secured Amended, Restated and Consolidated Convertible Note due 2025 (the "Convertible Note"), pursuant to which CP Acquisitions may elect, in lieu of shares of common stock issuable upon conversion of the Convertible Note, to instead receive pre-funded warrants ("Pre-Funded Warrants") at a conversion price of $1.46, as may be adjusted per the Convertible Note from time to time, subject to a 49.99% beneficial ownership limitation. Immediately following the execution of the CP Note Amendment, CP Acquisitions elected to convert $11.5 million of outstanding principal into a Pre-Funded Warrant exercisable at issuance for up to 7,876,712 shares of common stock, subject to a 49.99% beneficial ownership limitation.</w:t>
      </w:r>
    </w:p>
    <w:p>
      <w:pPr>
        <w:spacing w:after="0" w:line="22" w:lineRule="exact"/>
        <w:rPr>
          <w:rFonts w:ascii="Times New Roman" w:cs="Times New Roman" w:eastAsia="Times New Roman" w:hAnsi="Times New Roman"/>
          <w:sz w:val="12"/>
          <w:szCs w:val="12"/>
          <w:color w:val="008000"/>
        </w:rPr>
      </w:pPr>
    </w:p>
    <w:p>
      <w:pPr>
        <w:ind w:left="40" w:right="220" w:hanging="5"/>
        <w:spacing w:after="0" w:line="247"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Pre-Funded Warrants have an exercise price of $0.001 per share. The Pre-Funded Warrants provide that each time the Issuer consummates any bona fide equity financing with the primary purpose of raising capital, then the number of shares of common stock underlying the Pre-Funded Warrants will be increased (the "Adjustment Provision") to an amount equal to (i) the amount of the Convertible Note that was originally converted into the applicable Pre-Funded Warrants divided by (ii) the purchase or conversion price in the equity financing transaction, subject to proportional adjustment in the event the Pre-Funded Warrant has been partially exercised. The Adjustment Provision will not be effective unless and until it is approved by stockholders of the Issuer pursuant to Nasdaq Listing Rule 5635.</w:t>
      </w:r>
    </w:p>
    <w:p>
      <w:pPr>
        <w:spacing w:after="0" w:line="21" w:lineRule="exact"/>
        <w:rPr>
          <w:rFonts w:ascii="Times New Roman" w:cs="Times New Roman" w:eastAsia="Times New Roman" w:hAnsi="Times New Roman"/>
          <w:sz w:val="12"/>
          <w:szCs w:val="12"/>
          <w:color w:val="008000"/>
        </w:rPr>
      </w:pPr>
    </w:p>
    <w:p>
      <w:pPr>
        <w:ind w:left="40" w:right="140" w:hanging="5"/>
        <w:spacing w:after="0" w:line="253"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I-Tseng Jenny Chan</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05/23/2024</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60" w:hanging="5"/>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9461"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2024-05-23T19:33:52Z</dcterms:created>
  <dcterms:modified xsi:type="dcterms:W3CDTF">2024-05-23T19:33:52Z</dcterms:modified>
</cp:coreProperties>
</file>