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16"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160"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CURRENT REPORT</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March 23, 2022</w:t>
      </w:r>
    </w:p>
    <w:p>
      <w:pPr>
        <w:spacing w:after="0" w:line="178" w:lineRule="exact"/>
        <w:rPr>
          <w:sz w:val="24"/>
          <w:szCs w:val="24"/>
          <w:color w:val="auto"/>
        </w:rPr>
      </w:pPr>
    </w:p>
    <w:p>
      <w:pPr>
        <w:jc w:val="center"/>
        <w:ind w:right="16"/>
        <w:spacing w:after="0"/>
        <w:rPr>
          <w:sz w:val="20"/>
          <w:szCs w:val="20"/>
          <w:color w:val="auto"/>
        </w:rPr>
      </w:pPr>
      <w:r>
        <w:rPr>
          <w:rFonts w:ascii="Arial" w:cs="Arial" w:eastAsia="Arial" w:hAnsi="Arial"/>
          <w:sz w:val="29"/>
          <w:szCs w:val="29"/>
          <w:b w:val="1"/>
          <w:bCs w:val="1"/>
          <w:color w:val="auto"/>
        </w:rPr>
        <w:t>AGRIFY CORPORATION</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(Exact name of registrant as specified in its charter)</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12"/>
        </w:trPr>
        <w:tc>
          <w:tcPr>
            <w:tcW w:w="438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1"/>
              </w:rPr>
              <w:t>Nevada</w:t>
            </w:r>
          </w:p>
        </w:tc>
        <w:tc>
          <w:tcPr>
            <w:tcW w:w="3060" w:type="dxa"/>
            <w:vAlign w:val="bottom"/>
            <w:gridSpan w:val="3"/>
          </w:tcPr>
          <w:p>
            <w:pPr>
              <w:jc w:val="right"/>
              <w:ind w:right="1460"/>
              <w:spacing w:after="0"/>
              <w:rPr>
                <w:sz w:val="20"/>
                <w:szCs w:val="20"/>
                <w:color w:val="auto"/>
              </w:rPr>
            </w:pPr>
            <w:r>
              <w:rPr>
                <w:rFonts w:ascii="Arial" w:cs="Arial" w:eastAsia="Arial" w:hAnsi="Arial"/>
                <w:sz w:val="16"/>
                <w:szCs w:val="16"/>
                <w:b w:val="1"/>
                <w:bCs w:val="1"/>
                <w:color w:val="auto"/>
              </w:rPr>
              <w:t>001-39946</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1"/>
              </w:rPr>
              <w:t>30-0943453</w:t>
            </w:r>
          </w:p>
        </w:tc>
      </w:tr>
      <w:tr>
        <w:trPr>
          <w:trHeight w:val="179"/>
        </w:trPr>
        <w:tc>
          <w:tcPr>
            <w:tcW w:w="360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92"/>
              </w:rPr>
              <w:t>(State or other jurisdiction</w:t>
            </w:r>
          </w:p>
        </w:tc>
        <w:tc>
          <w:tcPr>
            <w:tcW w:w="24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gridSpan w:val="3"/>
          </w:tcPr>
          <w:p>
            <w:pPr>
              <w:jc w:val="center"/>
              <w:ind w:right="540"/>
              <w:spacing w:after="0" w:line="179" w:lineRule="exact"/>
              <w:rPr>
                <w:sz w:val="20"/>
                <w:szCs w:val="20"/>
                <w:color w:val="auto"/>
              </w:rPr>
            </w:pPr>
            <w:r>
              <w:rPr>
                <w:rFonts w:ascii="Arial" w:cs="Arial" w:eastAsia="Arial" w:hAnsi="Arial"/>
                <w:sz w:val="16"/>
                <w:szCs w:val="16"/>
                <w:color w:val="auto"/>
                <w:w w:val="92"/>
              </w:rPr>
              <w:t>(Commission File Number)</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94"/>
              </w:rPr>
              <w:t>(IRS Employer</w:t>
            </w:r>
          </w:p>
        </w:tc>
      </w:tr>
      <w:tr>
        <w:trPr>
          <w:trHeight w:val="204"/>
        </w:trPr>
        <w:tc>
          <w:tcPr>
            <w:tcW w:w="4380" w:type="dxa"/>
            <w:vAlign w:val="bottom"/>
            <w:gridSpan w:val="3"/>
          </w:tcPr>
          <w:p>
            <w:pPr>
              <w:jc w:val="center"/>
              <w:ind w:right="780"/>
              <w:spacing w:after="0"/>
              <w:rPr>
                <w:sz w:val="20"/>
                <w:szCs w:val="20"/>
                <w:color w:val="auto"/>
              </w:rPr>
            </w:pPr>
            <w:r>
              <w:rPr>
                <w:rFonts w:ascii="Arial" w:cs="Arial" w:eastAsia="Arial" w:hAnsi="Arial"/>
                <w:sz w:val="16"/>
                <w:szCs w:val="16"/>
                <w:color w:val="auto"/>
                <w:w w:val="93"/>
              </w:rPr>
              <w:t>of incorporation)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4"/>
              </w:rPr>
              <w:t>Identification No.)</w:t>
            </w:r>
          </w:p>
        </w:tc>
      </w:tr>
      <w:tr>
        <w:trPr>
          <w:trHeight w:val="366"/>
        </w:trPr>
        <w:tc>
          <w:tcPr>
            <w:tcW w:w="4380" w:type="dxa"/>
            <w:vAlign w:val="bottom"/>
            <w:gridSpan w:val="3"/>
          </w:tcPr>
          <w:p>
            <w:pPr>
              <w:jc w:val="center"/>
              <w:ind w:left="1040"/>
              <w:spacing w:after="0"/>
              <w:rPr>
                <w:sz w:val="20"/>
                <w:szCs w:val="20"/>
                <w:color w:val="auto"/>
              </w:rPr>
            </w:pPr>
            <w:r>
              <w:rPr>
                <w:rFonts w:ascii="Arial" w:cs="Arial" w:eastAsia="Arial" w:hAnsi="Arial"/>
                <w:sz w:val="16"/>
                <w:szCs w:val="16"/>
                <w:b w:val="1"/>
                <w:bCs w:val="1"/>
                <w:color w:val="auto"/>
                <w:w w:val="90"/>
              </w:rPr>
              <w:t>76 Treble Cove Rd.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91"/>
        </w:trPr>
        <w:tc>
          <w:tcPr>
            <w:tcW w:w="4380" w:type="dxa"/>
            <w:vAlign w:val="bottom"/>
            <w:gridSpan w:val="3"/>
          </w:tcPr>
          <w:p>
            <w:pPr>
              <w:jc w:val="center"/>
              <w:ind w:left="1040"/>
              <w:spacing w:after="0"/>
              <w:rPr>
                <w:sz w:val="20"/>
                <w:szCs w:val="20"/>
                <w:color w:val="auto"/>
              </w:rPr>
            </w:pPr>
            <w:r>
              <w:rPr>
                <w:rFonts w:ascii="Arial" w:cs="Arial" w:eastAsia="Arial" w:hAnsi="Arial"/>
                <w:sz w:val="16"/>
                <w:szCs w:val="16"/>
                <w:b w:val="1"/>
                <w:bCs w:val="1"/>
                <w:color w:val="auto"/>
                <w:w w:val="90"/>
              </w:rPr>
              <w:t>Building 3</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12"/>
        </w:trPr>
        <w:tc>
          <w:tcPr>
            <w:tcW w:w="4380" w:type="dxa"/>
            <w:vAlign w:val="bottom"/>
            <w:tcBorders>
              <w:bottom w:val="single" w:sz="8" w:color="auto"/>
            </w:tcBorders>
            <w:gridSpan w:val="3"/>
          </w:tcPr>
          <w:p>
            <w:pPr>
              <w:jc w:val="center"/>
              <w:ind w:left="1060"/>
              <w:spacing w:after="0"/>
              <w:rPr>
                <w:sz w:val="20"/>
                <w:szCs w:val="20"/>
                <w:color w:val="auto"/>
              </w:rPr>
            </w:pPr>
            <w:r>
              <w:rPr>
                <w:rFonts w:ascii="Arial" w:cs="Arial" w:eastAsia="Arial" w:hAnsi="Arial"/>
                <w:sz w:val="16"/>
                <w:szCs w:val="16"/>
                <w:b w:val="1"/>
                <w:bCs w:val="1"/>
                <w:color w:val="auto"/>
                <w:w w:val="93"/>
              </w:rPr>
              <w:t>Billerica, MA 01862</w:t>
            </w:r>
          </w:p>
        </w:tc>
        <w:tc>
          <w:tcPr>
            <w:tcW w:w="1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right"/>
              <w:ind w:right="2480"/>
              <w:spacing w:after="0"/>
              <w:rPr>
                <w:sz w:val="20"/>
                <w:szCs w:val="20"/>
                <w:color w:val="auto"/>
              </w:rPr>
            </w:pPr>
            <w:r>
              <w:rPr>
                <w:rFonts w:ascii="Arial" w:cs="Arial" w:eastAsia="Arial" w:hAnsi="Arial"/>
                <w:sz w:val="16"/>
                <w:szCs w:val="16"/>
                <w:b w:val="1"/>
                <w:bCs w:val="1"/>
                <w:color w:val="auto"/>
              </w:rPr>
              <w:t>01862</w:t>
            </w:r>
          </w:p>
        </w:tc>
      </w:tr>
      <w:tr>
        <w:trPr>
          <w:trHeight w:val="204"/>
        </w:trPr>
        <w:tc>
          <w:tcPr>
            <w:tcW w:w="4380" w:type="dxa"/>
            <w:vAlign w:val="bottom"/>
            <w:gridSpan w:val="3"/>
          </w:tcPr>
          <w:p>
            <w:pPr>
              <w:jc w:val="center"/>
              <w:ind w:left="1060"/>
              <w:spacing w:after="0"/>
              <w:rPr>
                <w:sz w:val="20"/>
                <w:szCs w:val="20"/>
                <w:color w:val="auto"/>
              </w:rPr>
            </w:pPr>
            <w:r>
              <w:rPr>
                <w:rFonts w:ascii="Arial" w:cs="Arial" w:eastAsia="Arial" w:hAnsi="Arial"/>
                <w:sz w:val="16"/>
                <w:szCs w:val="16"/>
                <w:color w:val="auto"/>
                <w:w w:val="91"/>
              </w:rPr>
              <w:t>(Address of principal executive offices)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860"/>
              <w:spacing w:after="0"/>
              <w:rPr>
                <w:sz w:val="20"/>
                <w:szCs w:val="20"/>
                <w:color w:val="auto"/>
              </w:rPr>
            </w:pPr>
            <w:r>
              <w:rPr>
                <w:rFonts w:ascii="Arial" w:cs="Arial" w:eastAsia="Arial" w:hAnsi="Arial"/>
                <w:sz w:val="16"/>
                <w:szCs w:val="16"/>
                <w:color w:val="auto"/>
                <w:w w:val="92"/>
              </w:rPr>
              <w:t>(Zip Code)</w:t>
            </w:r>
          </w:p>
        </w:tc>
      </w:tr>
    </w:tbl>
    <w:p>
      <w:pPr>
        <w:spacing w:after="0" w:line="162"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(617) 896-5243</w:t>
      </w:r>
    </w:p>
    <w:p>
      <w:pPr>
        <w:spacing w:after="0" w:line="202"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504" w:lineRule="auto"/>
        <w:tabs>
          <w:tab w:leader="none" w:pos="29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212"/>
        </w:trPr>
        <w:tc>
          <w:tcPr>
            <w:tcW w:w="3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Title of each class</w:t>
            </w:r>
          </w:p>
        </w:tc>
        <w:tc>
          <w:tcPr>
            <w:tcW w:w="3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191"/>
        </w:trPr>
        <w:tc>
          <w:tcPr>
            <w:tcW w:w="3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Common Stock, par value $0.001 per share</w:t>
            </w:r>
          </w:p>
        </w:tc>
        <w:tc>
          <w:tcPr>
            <w:tcW w:w="120" w:type="dxa"/>
            <w:vAlign w:val="bottom"/>
            <w:tcBorders>
              <w:top w:val="single" w:sz="8" w:color="CCEEFF"/>
            </w:tcBorders>
            <w:shd w:val="clear" w:color="auto" w:fill="CCEEFF"/>
          </w:tcPr>
          <w:p>
            <w:pPr>
              <w:spacing w:after="0"/>
              <w:rPr>
                <w:sz w:val="16"/>
                <w:szCs w:val="16"/>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AGFY</w:t>
            </w:r>
          </w:p>
        </w:tc>
        <w:tc>
          <w:tcPr>
            <w:tcW w:w="1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The Nasdaq Stock Market LLC</w:t>
            </w:r>
          </w:p>
        </w:tc>
      </w:tr>
    </w:tbl>
    <w:p>
      <w:pPr>
        <w:spacing w:after="0" w:line="179" w:lineRule="exact"/>
        <w:rPr>
          <w:sz w:val="24"/>
          <w:szCs w:val="24"/>
          <w:color w:val="auto"/>
        </w:rPr>
      </w:pPr>
    </w:p>
    <w:p>
      <w:pPr>
        <w:jc w:val="both"/>
        <w:ind w:left="4"/>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jc w:val="both"/>
        <w:ind w:left="4"/>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528320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49"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On March 23, 2022, Agrify Corporation (the “Company”) issued a press release announcing financial results for the fiscal year and fourth quarter ended December 31, 2021. A copy of the release is attached as Exhibit 99.1.</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information furnished pursuant to this Item 2.02,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hereby furnishes the updated investor presentation attached as Exhibit 99.2 to this Current Report on Form 8-K, which the Company may use in presentations to investors from time to time.</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information furnished pursuant to this Item 7.01, including Exhibit 99.2,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20" w:type="dxa"/>
            <w:vAlign w:val="bottom"/>
          </w:tcPr>
          <w:p>
            <w:pPr>
              <w:spacing w:after="0"/>
              <w:rPr>
                <w:sz w:val="20"/>
                <w:szCs w:val="20"/>
                <w:color w:val="auto"/>
              </w:rPr>
            </w:pPr>
            <w:r>
              <w:rPr>
                <w:rFonts w:ascii="Arial" w:cs="Arial" w:eastAsia="Arial" w:hAnsi="Arial"/>
                <w:sz w:val="16"/>
                <w:szCs w:val="16"/>
                <w:color w:val="auto"/>
              </w:rPr>
              <w:t>(d) Exhibits.</w:t>
            </w:r>
          </w:p>
        </w:tc>
        <w:tc>
          <w:tcPr>
            <w:tcW w:w="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80" w:type="dxa"/>
            <w:vAlign w:val="bottom"/>
          </w:tcPr>
          <w:p>
            <w:pPr>
              <w:spacing w:after="0"/>
              <w:rPr>
                <w:sz w:val="17"/>
                <w:szCs w:val="17"/>
                <w:color w:val="auto"/>
              </w:rPr>
            </w:pPr>
          </w:p>
        </w:tc>
      </w:tr>
      <w:tr>
        <w:trPr>
          <w:trHeight w:val="382"/>
        </w:trPr>
        <w:tc>
          <w:tcPr>
            <w:tcW w:w="102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10240" w:type="dxa"/>
            <w:vAlign w:val="bottom"/>
            <w:gridSpan w:val="4"/>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380" w:type="dxa"/>
            <w:vAlign w:val="bottom"/>
            <w:shd w:val="clear" w:color="auto" w:fill="000000"/>
          </w:tcPr>
          <w:p>
            <w:pPr>
              <w:spacing w:after="0"/>
              <w:rPr>
                <w:sz w:val="2"/>
                <w:szCs w:val="2"/>
                <w:color w:val="auto"/>
              </w:rPr>
            </w:pPr>
          </w:p>
        </w:tc>
      </w:tr>
      <w:tr>
        <w:trPr>
          <w:trHeight w:val="155"/>
        </w:trPr>
        <w:tc>
          <w:tcPr>
            <w:tcW w:w="10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99.1</w:t>
            </w:r>
          </w:p>
        </w:tc>
        <w:tc>
          <w:tcPr>
            <w:tcW w:w="10240" w:type="dxa"/>
            <w:vAlign w:val="bottom"/>
            <w:gridSpan w:val="4"/>
            <w:shd w:val="clear" w:color="auto" w:fill="CCEEFF"/>
          </w:tcPr>
          <w:p>
            <w:pPr>
              <w:ind w:left="120"/>
              <w:spacing w:after="0" w:line="155" w:lineRule="exact"/>
              <w:rPr>
                <w:rFonts w:ascii="Arial" w:cs="Arial" w:eastAsia="Arial" w:hAnsi="Arial"/>
                <w:sz w:val="16"/>
                <w:szCs w:val="16"/>
                <w:color w:val="0000EE"/>
              </w:rPr>
            </w:pPr>
            <w:hyperlink w:anchor="page4">
              <w:r>
                <w:rPr>
                  <w:rFonts w:ascii="Arial" w:cs="Arial" w:eastAsia="Arial" w:hAnsi="Arial"/>
                  <w:sz w:val="16"/>
                  <w:szCs w:val="16"/>
                  <w:color w:val="0000EE"/>
                </w:rPr>
                <w:t>Press Release of the Company, dated as of March 23, 2022</w:t>
              </w:r>
            </w:hyperlink>
          </w:p>
        </w:tc>
      </w:tr>
      <w:tr>
        <w:trPr>
          <w:trHeight w:val="36"/>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38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Arial" w:cs="Arial" w:eastAsia="Arial" w:hAnsi="Arial"/>
                <w:sz w:val="16"/>
                <w:szCs w:val="16"/>
                <w:color w:val="auto"/>
              </w:rPr>
              <w:t>99.2</w:t>
            </w:r>
          </w:p>
        </w:tc>
        <w:tc>
          <w:tcPr>
            <w:tcW w:w="10240" w:type="dxa"/>
            <w:vAlign w:val="bottom"/>
            <w:gridSpan w:val="4"/>
          </w:tcPr>
          <w:p>
            <w:pPr>
              <w:ind w:left="120"/>
              <w:spacing w:after="0" w:line="155" w:lineRule="exact"/>
              <w:rPr>
                <w:rFonts w:ascii="Arial" w:cs="Arial" w:eastAsia="Arial" w:hAnsi="Arial"/>
                <w:sz w:val="16"/>
                <w:szCs w:val="16"/>
                <w:color w:val="0000EE"/>
              </w:rPr>
            </w:pPr>
            <w:hyperlink w:anchor="page13">
              <w:r>
                <w:rPr>
                  <w:rFonts w:ascii="Arial" w:cs="Arial" w:eastAsia="Arial" w:hAnsi="Arial"/>
                  <w:sz w:val="16"/>
                  <w:szCs w:val="16"/>
                  <w:color w:val="0000EE"/>
                </w:rPr>
                <w:t>Presentation of the Company, dated as of March 23, 2022</w:t>
              </w:r>
            </w:hyperlink>
          </w:p>
        </w:tc>
      </w:tr>
      <w:tr>
        <w:trPr>
          <w:trHeight w:val="28"/>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199"/>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104</w:t>
            </w:r>
          </w:p>
        </w:tc>
        <w:tc>
          <w:tcPr>
            <w:tcW w:w="1024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601"/>
        </w:trPr>
        <w:tc>
          <w:tcPr>
            <w:tcW w:w="102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gridSpan w:val="4"/>
          </w:tcPr>
          <w:p>
            <w:pPr>
              <w:ind w:left="4560"/>
              <w:spacing w:after="0"/>
              <w:rPr>
                <w:sz w:val="20"/>
                <w:szCs w:val="20"/>
                <w:color w:val="auto"/>
              </w:rPr>
            </w:pPr>
            <w:r>
              <w:rPr>
                <w:rFonts w:ascii="Arial" w:cs="Arial" w:eastAsia="Arial" w:hAnsi="Arial"/>
                <w:sz w:val="19"/>
                <w:szCs w:val="19"/>
                <w:color w:val="auto"/>
              </w:rPr>
              <w:t>1</w:t>
            </w:r>
          </w:p>
        </w:tc>
      </w:tr>
    </w:tbl>
    <w:p>
      <w:pPr>
        <w:sectPr>
          <w:pgSz w:w="11900" w:h="16838" w:orient="portrait"/>
          <w:cols w:equalWidth="0" w:num="1">
            <w:col w:w="11260"/>
          </w:cols>
          <w:pgMar w:left="320" w:top="81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AGRIFY CORPORATION</w:t>
      </w:r>
    </w:p>
    <w:p>
      <w:pPr>
        <w:spacing w:after="0" w:line="202"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6"/>
          <w:szCs w:val="16"/>
          <w:color w:val="auto"/>
        </w:rPr>
        <w:t>Date: March 23,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Timothy R. Oakes</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Chief Financial Officer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Agrify Announces Record Fourth Quarter and Fiscal Year 2021 Results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2021 Revenue Increased 395% Year-Over-Year to $59.9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Fourth Quarter Revenue Increased 481% Year-Over-Year to $25.3 Million</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BILLERICA, Mass., March 23, 2022 - Agrify Corporation (Nasdaq:AGFY) (“Agrify” or the “Company”), the most innovative provider of advanced cultivation and extraction solutions for the cannabis industry, today announced financial results for the fourth quarter and fiscal year ended December 31, 2021.</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“During 2021, we drove significant year-over-year growth, launched our Total Turn-Key Solution for cannabis cultivators, created a significant backlog of future high-margin recurring revenues, drove tremendous pipeline velocity, implemented innovative technological advancements to our Vertical Farming Unit, and established ourselves as the leader in premium extraction solutions through a series of well-executed acquisitions,” said Raymond Chang, Chairman and Chief Executive Officer of Agrify. “We look forward to continued accelerated growth in 2022 and beyond.”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Quarter and Fiscal Year 2021 Financial Results</w:t>
      </w:r>
    </w:p>
    <w:p>
      <w:pPr>
        <w:spacing w:after="0" w:line="202" w:lineRule="exact"/>
        <w:rPr>
          <w:sz w:val="20"/>
          <w:szCs w:val="20"/>
          <w:color w:val="auto"/>
        </w:rPr>
      </w:pPr>
    </w:p>
    <w:p>
      <w:pPr>
        <w:ind w:left="560" w:right="20" w:hanging="278"/>
        <w:spacing w:after="0" w:line="275" w:lineRule="auto"/>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 was $25.3 million for the fourth quarter, an increase of 481% compared to $4.4 million for the prior year period. Revenue was $59.9 million for the fiscal year, an increase of 395% versus $12.1 million for the prior year period.</w:t>
      </w:r>
    </w:p>
    <w:p>
      <w:pPr>
        <w:spacing w:after="0" w:line="175" w:lineRule="exact"/>
        <w:rPr>
          <w:rFonts w:ascii="Arial" w:cs="Arial" w:eastAsia="Arial" w:hAnsi="Arial"/>
          <w:sz w:val="16"/>
          <w:szCs w:val="16"/>
          <w:color w:val="auto"/>
        </w:rPr>
      </w:pPr>
    </w:p>
    <w:p>
      <w:pPr>
        <w:ind w:left="560" w:hanging="278"/>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New bookings were $377 million for the fiscal year, an increase of 919% compared to $37 million for the prior year period.</w:t>
      </w:r>
    </w:p>
    <w:p>
      <w:pPr>
        <w:spacing w:after="0" w:line="222" w:lineRule="exact"/>
        <w:rPr>
          <w:rFonts w:ascii="Arial" w:cs="Arial" w:eastAsia="Arial" w:hAnsi="Arial"/>
          <w:sz w:val="16"/>
          <w:szCs w:val="16"/>
          <w:color w:val="auto"/>
        </w:rPr>
      </w:pPr>
    </w:p>
    <w:p>
      <w:pPr>
        <w:ind w:left="560" w:hanging="278"/>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backlog was $837 million at the end of the fourth quarter, an increase of 1,319% compared to $59 million at the end of the prior year.</w:t>
      </w:r>
    </w:p>
    <w:p>
      <w:pPr>
        <w:spacing w:after="0" w:line="222"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Gross profit for the fourth quarter totaled $5.6 million, or 22.3% of revenue, compared to $(290) thousand, or (6.7)% of revenue, in the prior year period. Gross profit for the fiscal year was $5.2 million, or 8.7% of revenue, compared to $570 thousand, or 4.7% of revenue in the prior year.</w:t>
      </w:r>
    </w:p>
    <w:p>
      <w:pPr>
        <w:spacing w:after="0" w:line="175" w:lineRule="exact"/>
        <w:rPr>
          <w:rFonts w:ascii="Arial" w:cs="Arial" w:eastAsia="Arial" w:hAnsi="Arial"/>
          <w:sz w:val="16"/>
          <w:szCs w:val="16"/>
          <w:color w:val="auto"/>
        </w:rPr>
      </w:pPr>
    </w:p>
    <w:p>
      <w:pPr>
        <w:jc w:val="both"/>
        <w:ind w:left="560" w:hanging="278"/>
        <w:spacing w:after="0" w:line="306" w:lineRule="auto"/>
        <w:tabs>
          <w:tab w:leader="none" w:pos="5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Operating expenses were $19.0 million for the fourth quarter, compared to $3.9 million in the prior year period. Operating expenses were $40.3 million for the fiscal year, compared to $13.2 million in the prior year. The comparative increase in our fourth quarter operating expenses is largely attributable to $10.4 million of one-time expenses related to direct acquisition costs, incremental expense related to the addition of Precision Extraction Solutions and Cascade Sciences operations, a change in contingent consideration, an increase in reserves, an increase in depreciation and amortization, and an increase in stock-based compensation.</w:t>
      </w:r>
    </w:p>
    <w:p>
      <w:pPr>
        <w:spacing w:after="0" w:line="158" w:lineRule="exact"/>
        <w:rPr>
          <w:rFonts w:ascii="Arial" w:cs="Arial" w:eastAsia="Arial" w:hAnsi="Arial"/>
          <w:sz w:val="14"/>
          <w:szCs w:val="14"/>
          <w:color w:val="auto"/>
        </w:rPr>
      </w:pPr>
    </w:p>
    <w:p>
      <w:pPr>
        <w:ind w:left="560" w:right="20" w:hanging="278"/>
        <w:spacing w:after="0" w:line="349" w:lineRule="auto"/>
        <w:tabs>
          <w:tab w:leader="none" w:pos="56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loss for the fourth quarter was $13.3 million, or $0.60 per diluted share, compared to net loss of $13.1 million, or $2.23 per diluted share, in the prior year period. Net loss totaled $32.5 million, or $1.69 per diluted share, for the fiscal year, compared to net loss of $21.6 million, or $5.32 per diluted share, in the prior year.</w:t>
      </w:r>
    </w:p>
    <w:p>
      <w:pPr>
        <w:spacing w:after="0" w:line="129" w:lineRule="exact"/>
        <w:rPr>
          <w:rFonts w:ascii="Arial" w:cs="Arial" w:eastAsia="Arial" w:hAnsi="Arial"/>
          <w:sz w:val="14"/>
          <w:szCs w:val="14"/>
          <w:color w:val="auto"/>
        </w:rPr>
      </w:pPr>
    </w:p>
    <w:p>
      <w:pPr>
        <w:ind w:left="560" w:right="20" w:hanging="278"/>
        <w:spacing w:after="0" w:line="275" w:lineRule="auto"/>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Cash flow used in operating activities was $12.6 million for the fourth quarter, compared to $4.1 million in the prior year period. Cash flow used in operating activities was $30.2 million for the fiscal year, compared to $14.8 million in the prior year period.</w:t>
      </w:r>
    </w:p>
    <w:p>
      <w:pPr>
        <w:spacing w:after="0" w:line="175" w:lineRule="exact"/>
        <w:rPr>
          <w:rFonts w:ascii="Arial" w:cs="Arial" w:eastAsia="Arial" w:hAnsi="Arial"/>
          <w:sz w:val="16"/>
          <w:szCs w:val="16"/>
          <w:color w:val="auto"/>
        </w:rPr>
      </w:pPr>
    </w:p>
    <w:p>
      <w:pPr>
        <w:jc w:val="both"/>
        <w:ind w:left="560" w:right="20" w:hanging="278"/>
        <w:spacing w:after="0" w:line="287" w:lineRule="auto"/>
        <w:tabs>
          <w:tab w:leader="none" w:pos="560" w:val="left"/>
        </w:tabs>
        <w:numPr>
          <w:ilvl w:val="0"/>
          <w:numId w:val="2"/>
        </w:numPr>
        <w:rPr>
          <w:rFonts w:ascii="Arial" w:cs="Arial" w:eastAsia="Arial" w:hAnsi="Arial"/>
          <w:sz w:val="15"/>
          <w:szCs w:val="15"/>
          <w:color w:val="auto"/>
        </w:rPr>
      </w:pPr>
      <w:r>
        <w:rPr>
          <w:rFonts w:ascii="Arial" w:cs="Arial" w:eastAsia="Arial" w:hAnsi="Arial"/>
          <w:sz w:val="15"/>
          <w:szCs w:val="15"/>
          <w:color w:val="auto"/>
        </w:rPr>
        <w:t>Adjusted EBITDA (a non-GAAP financial measure) was a loss of $5.5 million in the fourth quarter (see “Non-GAAP Financial Measures” below for further discussion of this non-GAAP term, including a reconciliation to the most comparable GAAP measure), compared to a loss of $2.8 million in the prior year period. Adjusted EBITDA was a loss of $20.0 million in the fiscal year ended December 31, 2021, compared to a loss of $8.4 million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Recent Business Highlights</w:t>
      </w:r>
    </w:p>
    <w:p>
      <w:pPr>
        <w:spacing w:after="0" w:line="202" w:lineRule="exact"/>
        <w:rPr>
          <w:sz w:val="20"/>
          <w:szCs w:val="20"/>
          <w:color w:val="auto"/>
        </w:rPr>
      </w:pPr>
    </w:p>
    <w:p>
      <w:pPr>
        <w:jc w:val="both"/>
        <w:ind w:left="560" w:hanging="278"/>
        <w:spacing w:after="0" w:line="287" w:lineRule="auto"/>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As of March 23, 2022, Agrify has contractual commitments for 3,729 Vertical Farming Units (“VFUs”) that will be powered by the Agrify Insights SaaS cultivation software. Most of these commitments will also include the value-added services offered as part of the Agrify Total Turn-Key Solution (“Agrify TTK Solution”). Cumulatively, all of the 10-year agreements under Agrify’s TTK Solution program are projected to generate an estimated $837 million in total revenue.</w:t>
      </w:r>
    </w:p>
    <w:p>
      <w:pPr>
        <w:spacing w:after="0" w:line="169" w:lineRule="exact"/>
        <w:rPr>
          <w:rFonts w:ascii="Arial" w:cs="Arial" w:eastAsia="Arial" w:hAnsi="Arial"/>
          <w:sz w:val="15"/>
          <w:szCs w:val="15"/>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March 23, 2022, the total qualified pipeline of opportunities is approximately $571 million.</w:t>
      </w:r>
    </w:p>
    <w:p>
      <w:pPr>
        <w:spacing w:after="0" w:line="222" w:lineRule="exact"/>
        <w:rPr>
          <w:rFonts w:ascii="Arial" w:cs="Arial" w:eastAsia="Arial" w:hAnsi="Arial"/>
          <w:sz w:val="16"/>
          <w:szCs w:val="16"/>
          <w:color w:val="auto"/>
        </w:rPr>
      </w:pPr>
    </w:p>
    <w:p>
      <w:pPr>
        <w:jc w:val="both"/>
        <w:ind w:left="560" w:right="20" w:hanging="278"/>
        <w:spacing w:after="0" w:line="262"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February 2, 2022, Agrify announced its acquisition of Lab Society, a leader in distillation and solvent separation solutions for the cannabis extraction industry. This marked Agrify’s fourth acquisition in the extraction space since October 1, 2021, and further established the Company as a leading provider of premium extraction solutions.</w:t>
      </w:r>
    </w:p>
    <w:p>
      <w:pPr>
        <w:spacing w:after="0" w:line="186" w:lineRule="exact"/>
        <w:rPr>
          <w:rFonts w:ascii="Arial" w:cs="Arial" w:eastAsia="Arial" w:hAnsi="Arial"/>
          <w:sz w:val="16"/>
          <w:szCs w:val="16"/>
          <w:color w:val="auto"/>
        </w:rPr>
      </w:pPr>
    </w:p>
    <w:p>
      <w:pPr>
        <w:jc w:val="both"/>
        <w:ind w:left="560" w:hanging="278"/>
        <w:spacing w:after="0" w:line="255"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January 5, 2022, Agrify announced the completion of its acquisition of PurePressure, the leader in solventless extraction and advanced ice water hash processing equipment in the cannabis and hemp industry. Solventless extraction is the fastest growing subcategory in the cannabis extraction industry, and PurePressure has proven to be a strong complement to the Company’s extraction division, which is a core part of its business and plans for acceleration of growth. This acquisition brought Agrify one step closer to cornering the market for the top solutions that produce the highest quality and the widest range of extracted cannabis products at scale.</w:t>
      </w:r>
    </w:p>
    <w:p>
      <w:pPr>
        <w:spacing w:after="0" w:line="193" w:lineRule="exact"/>
        <w:rPr>
          <w:rFonts w:ascii="Arial" w:cs="Arial" w:eastAsia="Arial" w:hAnsi="Arial"/>
          <w:sz w:val="16"/>
          <w:szCs w:val="16"/>
          <w:color w:val="auto"/>
        </w:rPr>
      </w:pPr>
    </w:p>
    <w:p>
      <w:pPr>
        <w:jc w:val="both"/>
        <w:ind w:left="560" w:right="20" w:hanging="278"/>
        <w:spacing w:after="0" w:line="287" w:lineRule="auto"/>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On January 4, 2022, Agrify announced it had entered into a TTK partnership with Gold Leaf Florida LLC, expanding Agrify’s footprint to the lucrative and fast-growing Florida cannabis market. The partnership, which includes the installation of 1,510 VFUs, is expected to generate more than $380 million of estimated total revenue over the full 10-year term of the agreement, of which $343 million is estimated to be derived from production success fees and SaaS fees.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Outlook</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a result of the strong demand for Agrify’s cultivation and extraction solutions, management is expecting revenue to be in the range of $140 million to $142 million for Fiscal Year 2022.</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Webcast Information</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Agrify will host a conference call and webcast today (Wednesday, March 23, 2022) at 8:30 a.m. Eastern Time (ET) to discuss its financial results for the fourth quarter and fiscal year ended December 31, 2021.</w:t>
      </w:r>
    </w:p>
    <w:p>
      <w:pPr>
        <w:spacing w:after="0" w:line="15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All interested parties are invited to listen to the live conference call by dialing the number below or by clicking the webcast link, which can be accessed by visiting Agrify’s Investor Relations website at ir.agrify.com and navigating to the Events page. The Company has also posted an accompanying slide presentation, which can be found in the same location as the webcast link.</w:t>
      </w:r>
    </w:p>
    <w:p>
      <w:pPr>
        <w:spacing w:after="0" w:line="162" w:lineRule="exact"/>
        <w:rPr>
          <w:sz w:val="20"/>
          <w:szCs w:val="20"/>
          <w:color w:val="auto"/>
        </w:rPr>
      </w:pPr>
    </w:p>
    <w:p>
      <w:pPr>
        <w:ind w:left="560" w:hanging="278"/>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Wednesday, March 23, 2022</w:t>
      </w:r>
    </w:p>
    <w:p>
      <w:pPr>
        <w:spacing w:after="0" w:line="222" w:lineRule="exact"/>
        <w:rPr>
          <w:rFonts w:ascii="Arial" w:cs="Arial" w:eastAsia="Arial" w:hAnsi="Arial"/>
          <w:sz w:val="16"/>
          <w:szCs w:val="16"/>
          <w:color w:val="auto"/>
        </w:rPr>
      </w:pPr>
    </w:p>
    <w:p>
      <w:pPr>
        <w:ind w:left="560" w:hanging="278"/>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TIME: 8:30 a.m. ET</w:t>
      </w:r>
    </w:p>
    <w:p>
      <w:pPr>
        <w:spacing w:after="0" w:line="222" w:lineRule="exact"/>
        <w:rPr>
          <w:rFonts w:ascii="Arial" w:cs="Arial" w:eastAsia="Arial" w:hAnsi="Arial"/>
          <w:sz w:val="16"/>
          <w:szCs w:val="16"/>
          <w:color w:val="auto"/>
        </w:rPr>
      </w:pPr>
    </w:p>
    <w:p>
      <w:pPr>
        <w:ind w:left="560" w:hanging="278"/>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WEBCAST (live and available for replay): https://ir.agrify.com/news-and-events/investor-calendar</w:t>
      </w:r>
    </w:p>
    <w:p>
      <w:pPr>
        <w:spacing w:after="0" w:line="222" w:lineRule="exact"/>
        <w:rPr>
          <w:rFonts w:ascii="Arial" w:cs="Arial" w:eastAsia="Arial" w:hAnsi="Arial"/>
          <w:sz w:val="16"/>
          <w:szCs w:val="16"/>
          <w:color w:val="auto"/>
        </w:rPr>
      </w:pPr>
    </w:p>
    <w:p>
      <w:pPr>
        <w:ind w:left="560" w:hanging="278"/>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DIAL-IN NUMBER: (844) 792-4409</w:t>
      </w:r>
    </w:p>
    <w:p>
      <w:pPr>
        <w:spacing w:after="0" w:line="222" w:lineRule="exact"/>
        <w:rPr>
          <w:rFonts w:ascii="Arial" w:cs="Arial" w:eastAsia="Arial" w:hAnsi="Arial"/>
          <w:sz w:val="16"/>
          <w:szCs w:val="16"/>
          <w:color w:val="auto"/>
        </w:rPr>
      </w:pPr>
    </w:p>
    <w:p>
      <w:pPr>
        <w:ind w:left="560" w:hanging="278"/>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CONFERENCE ID: 9979688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About Agrify TTK Solution</w:t>
      </w: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The Agrify TTK Solution is a first-of-its-kind program in which Agrify engages with qualified cannabis operators in the early phases of their business and provides critical support, typically over a 10-year period, which includes: design and buildout of their cultivation and extraction facilities, state-of-the-art cultivation and extraction equipment, process design, training, implementation, proven grow recipes, product formulations, data analytics, and consumer branding.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Agrify (Nasdaq:AGFY)</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Agrify is the most innovative provider of advanced cultivation and extraction solutions for the cannabis industry, bringing data, science, and technology to the forefront of the market. Our proprietary micro-environment-controlled Vertical Farming Units (VFUs) enables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future financial results, integration of prior acquisitions, our ability to realize revenue from the bookings, backlog, pipeline and specific transactions described herein, the revenue expected from any Agrify TTK Solution transactions and the duration of those revenue streams, project timelines, and Agrify’s ability to deliver solutions and services.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2020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AGRIFY CORPORATION AND SUBSIDIARIES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for per shares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ind w:right="6"/>
              <w:spacing w:after="0"/>
              <w:rPr>
                <w:sz w:val="20"/>
                <w:szCs w:val="20"/>
                <w:color w:val="auto"/>
              </w:rPr>
            </w:pPr>
            <w:r>
              <w:rPr>
                <w:rFonts w:ascii="Arial" w:cs="Arial" w:eastAsia="Arial" w:hAnsi="Arial"/>
                <w:sz w:val="16"/>
                <w:szCs w:val="16"/>
                <w:b w:val="1"/>
                <w:bCs w:val="1"/>
                <w:color w:val="auto"/>
              </w:rPr>
              <w:t>Years Ended</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25,275</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4,353</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59,859</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12,087</w:t>
            </w:r>
          </w:p>
        </w:tc>
        <w:tc>
          <w:tcPr>
            <w:tcW w:w="0" w:type="dxa"/>
            <w:vAlign w:val="bottom"/>
          </w:tcPr>
          <w:p>
            <w:pPr>
              <w:spacing w:after="0"/>
              <w:rPr>
                <w:sz w:val="1"/>
                <w:szCs w:val="1"/>
                <w:color w:val="auto"/>
              </w:rPr>
            </w:pPr>
          </w:p>
        </w:tc>
      </w:tr>
      <w:tr>
        <w:trPr>
          <w:trHeight w:val="207"/>
        </w:trPr>
        <w:tc>
          <w:tcPr>
            <w:tcW w:w="5160" w:type="dxa"/>
            <w:vAlign w:val="bottom"/>
          </w:tcPr>
          <w:p>
            <w:pPr>
              <w:spacing w:after="0"/>
              <w:rPr>
                <w:sz w:val="20"/>
                <w:szCs w:val="20"/>
                <w:color w:val="auto"/>
              </w:rPr>
            </w:pPr>
            <w:r>
              <w:rPr>
                <w:rFonts w:ascii="Arial" w:cs="Arial" w:eastAsia="Arial" w:hAnsi="Arial"/>
                <w:sz w:val="16"/>
                <w:szCs w:val="16"/>
                <w:color w:val="auto"/>
              </w:rPr>
              <w:t>Cost of goods sold</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19,648</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54,625</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1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8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5,627</w:t>
            </w: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5,234</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16,120</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34,970</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9,832</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1,442</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3,925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3,354</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Change in contingent consideration</w:t>
            </w: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1,412</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160" w:type="dxa"/>
            <w:vAlign w:val="bottom"/>
            <w:tcBorders>
              <w:top w:val="single" w:sz="8" w:color="CCEEFF"/>
              <w:bottom w:val="single" w:sz="8" w:color="CCEEFF"/>
            </w:tcBorders>
          </w:tcPr>
          <w:p>
            <w:pPr>
              <w:ind w:left="140"/>
              <w:spacing w:after="0" w:line="175" w:lineRule="exact"/>
              <w:rPr>
                <w:sz w:val="20"/>
                <w:szCs w:val="20"/>
                <w:color w:val="auto"/>
              </w:rPr>
            </w:pPr>
            <w:r>
              <w:rPr>
                <w:rFonts w:ascii="Arial" w:cs="Arial" w:eastAsia="Arial" w:hAnsi="Arial"/>
                <w:sz w:val="16"/>
                <w:szCs w:val="16"/>
                <w:color w:val="auto"/>
              </w:rPr>
              <w:t>Total operating expenses</w:t>
            </w:r>
          </w:p>
        </w:tc>
        <w:tc>
          <w:tcPr>
            <w:tcW w:w="8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18,974</w:t>
            </w:r>
          </w:p>
        </w:tc>
        <w:tc>
          <w:tcPr>
            <w:tcW w:w="24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3,854</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40,307</w:t>
            </w:r>
          </w:p>
        </w:tc>
        <w:tc>
          <w:tcPr>
            <w:tcW w:w="22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13,186</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from operations</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(13,347)</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(35,073)</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(expense), net</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20"/>
                <w:szCs w:val="20"/>
                <w:color w:val="auto"/>
              </w:rPr>
            </w:pPr>
            <w:r>
              <w:rPr>
                <w:rFonts w:ascii="Arial" w:cs="Arial" w:eastAsia="Arial" w:hAnsi="Arial"/>
                <w:sz w:val="16"/>
                <w:szCs w:val="16"/>
                <w:color w:val="auto"/>
              </w:rPr>
              <w:t>Other income (expense)</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47</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(31)</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Gain (loss) on extinguishment of notes payable</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(5,618)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(5,618)</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20"/>
                <w:szCs w:val="20"/>
                <w:color w:val="auto"/>
              </w:rPr>
            </w:pPr>
            <w:r>
              <w:rPr>
                <w:rFonts w:ascii="Arial" w:cs="Arial" w:eastAsia="Arial" w:hAnsi="Arial"/>
                <w:sz w:val="16"/>
                <w:szCs w:val="16"/>
                <w:color w:val="auto"/>
              </w:rPr>
              <w:t>Gain on forgiveness of PPP loan</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45</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derivative liabilities</w:t>
            </w: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(2,924)</w:t>
            </w:r>
          </w:p>
        </w:tc>
        <w:tc>
          <w:tcPr>
            <w:tcW w:w="0" w:type="dxa"/>
            <w:vAlign w:val="bottom"/>
          </w:tcPr>
          <w:p>
            <w:pPr>
              <w:spacing w:after="0"/>
              <w:rPr>
                <w:sz w:val="1"/>
                <w:szCs w:val="1"/>
                <w:color w:val="auto"/>
              </w:rPr>
            </w:pPr>
          </w:p>
        </w:tc>
      </w:tr>
      <w:tr>
        <w:trPr>
          <w:trHeight w:val="175"/>
        </w:trPr>
        <w:tc>
          <w:tcPr>
            <w:tcW w:w="5160" w:type="dxa"/>
            <w:vAlign w:val="bottom"/>
            <w:tcBorders>
              <w:top w:val="single" w:sz="8" w:color="CCEEFF"/>
            </w:tcBorders>
          </w:tcPr>
          <w:p>
            <w:pPr>
              <w:ind w:left="140"/>
              <w:spacing w:after="0" w:line="175" w:lineRule="exact"/>
              <w:rPr>
                <w:sz w:val="20"/>
                <w:szCs w:val="20"/>
                <w:color w:val="auto"/>
              </w:rPr>
            </w:pPr>
            <w:r>
              <w:rPr>
                <w:rFonts w:ascii="Arial" w:cs="Arial" w:eastAsia="Arial" w:hAnsi="Arial"/>
                <w:sz w:val="16"/>
                <w:szCs w:val="16"/>
                <w:color w:val="auto"/>
              </w:rPr>
              <w:t>Other income (expense), net</w:t>
            </w:r>
          </w:p>
        </w:tc>
        <w:tc>
          <w:tcPr>
            <w:tcW w:w="8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98</w:t>
            </w:r>
          </w:p>
        </w:tc>
        <w:tc>
          <w:tcPr>
            <w:tcW w:w="24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(8,884)</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2,773</w:t>
            </w:r>
          </w:p>
        </w:tc>
        <w:tc>
          <w:tcPr>
            <w:tcW w:w="22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(9,023)</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tcPr>
          <w:p>
            <w:pPr>
              <w:spacing w:after="0" w:line="175" w:lineRule="exact"/>
              <w:rPr>
                <w:sz w:val="20"/>
                <w:szCs w:val="20"/>
                <w:color w:val="auto"/>
              </w:rPr>
            </w:pPr>
            <w:r>
              <w:rPr>
                <w:rFonts w:ascii="Arial" w:cs="Arial" w:eastAsia="Arial" w:hAnsi="Arial"/>
                <w:sz w:val="16"/>
                <w:szCs w:val="16"/>
                <w:color w:val="auto"/>
              </w:rPr>
              <w:t>Net loss before income taxes</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(13,249)</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(13,028)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(32,300)</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(21,639)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tcBorders>
              <w:top w:val="single" w:sz="8" w:color="CCEEFF"/>
            </w:tcBorders>
          </w:tcPr>
          <w:p>
            <w:pPr>
              <w:ind w:left="140"/>
              <w:spacing w:after="0" w:line="175" w:lineRule="exact"/>
              <w:rPr>
                <w:sz w:val="20"/>
                <w:szCs w:val="20"/>
                <w:color w:val="auto"/>
              </w:rPr>
            </w:pPr>
            <w:r>
              <w:rPr>
                <w:rFonts w:ascii="Arial" w:cs="Arial" w:eastAsia="Arial" w:hAnsi="Arial"/>
                <w:sz w:val="16"/>
                <w:szCs w:val="16"/>
                <w:color w:val="auto"/>
              </w:rPr>
              <w:t>Net loss</w:t>
            </w:r>
          </w:p>
        </w:tc>
        <w:tc>
          <w:tcPr>
            <w:tcW w:w="8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(13,274)</w:t>
            </w:r>
          </w:p>
        </w:tc>
        <w:tc>
          <w:tcPr>
            <w:tcW w:w="24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(13,028)</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(32,325)</w:t>
            </w:r>
          </w:p>
        </w:tc>
        <w:tc>
          <w:tcPr>
            <w:tcW w:w="22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(21,639)</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Income (loss) attributable to non-controlling interest</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140</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Net loss attributable to Agrify</w:t>
            </w:r>
          </w:p>
        </w:tc>
        <w:tc>
          <w:tcPr>
            <w:tcW w:w="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5160" w:type="dxa"/>
            <w:vAlign w:val="bottom"/>
            <w:vMerge w:val="continue"/>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(13,261</w:t>
            </w:r>
          </w:p>
        </w:tc>
        <w:tc>
          <w:tcPr>
            <w:tcW w:w="240" w:type="dxa"/>
            <w:vAlign w:val="bottom"/>
            <w:vMerge w:val="continue"/>
          </w:tcPr>
          <w:p>
            <w:pPr>
              <w:spacing w:after="0"/>
              <w:rPr>
                <w:sz w:val="21"/>
                <w:szCs w:val="21"/>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(13,055</w:t>
            </w:r>
          </w:p>
        </w:tc>
        <w:tc>
          <w:tcPr>
            <w:tcW w:w="140" w:type="dxa"/>
            <w:vAlign w:val="bottom"/>
            <w:vMerge w:val="continue"/>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(32,465</w:t>
            </w:r>
          </w:p>
        </w:tc>
        <w:tc>
          <w:tcPr>
            <w:tcW w:w="220" w:type="dxa"/>
            <w:vAlign w:val="bottom"/>
            <w:vMerge w:val="continue"/>
          </w:tcPr>
          <w:p>
            <w:pPr>
              <w:spacing w:after="0"/>
              <w:rPr>
                <w:sz w:val="21"/>
                <w:szCs w:val="21"/>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(21,617</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160" w:type="dxa"/>
            <w:vAlign w:val="bottom"/>
          </w:tcPr>
          <w:p>
            <w:pPr>
              <w:spacing w:after="0"/>
              <w:rPr>
                <w:sz w:val="20"/>
                <w:szCs w:val="20"/>
                <w:color w:val="auto"/>
              </w:rPr>
            </w:pPr>
            <w:r>
              <w:rPr>
                <w:rFonts w:ascii="Arial" w:cs="Arial" w:eastAsia="Arial" w:hAnsi="Arial"/>
                <w:sz w:val="16"/>
                <w:szCs w:val="16"/>
                <w:color w:val="auto"/>
                <w:w w:val="97"/>
              </w:rPr>
              <w:t>Net loss per share attributable to common stockholders – basic and diluted</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line="227" w:lineRule="exact"/>
              <w:rPr>
                <w:sz w:val="20"/>
                <w:szCs w:val="20"/>
                <w:color w:val="auto"/>
              </w:rPr>
            </w:pPr>
            <w:r>
              <w:rPr>
                <w:rFonts w:ascii="Arial" w:cs="Arial" w:eastAsia="Arial" w:hAnsi="Arial"/>
                <w:sz w:val="14"/>
                <w:szCs w:val="14"/>
                <w:color w:val="auto"/>
              </w:rPr>
              <w:t>(0.60</w:t>
            </w:r>
            <w:r>
              <w:rPr>
                <w:rFonts w:ascii="Arial" w:cs="Arial" w:eastAsia="Arial" w:hAnsi="Arial"/>
                <w:sz w:val="26"/>
                <w:szCs w:val="26"/>
                <w:color w:val="auto"/>
                <w:vertAlign w:val="superscript"/>
              </w:rPr>
              <w:t>)</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line="227" w:lineRule="exact"/>
              <w:rPr>
                <w:sz w:val="20"/>
                <w:szCs w:val="20"/>
                <w:color w:val="auto"/>
              </w:rPr>
            </w:pPr>
            <w:r>
              <w:rPr>
                <w:rFonts w:ascii="Arial" w:cs="Arial" w:eastAsia="Arial" w:hAnsi="Arial"/>
                <w:sz w:val="14"/>
                <w:szCs w:val="14"/>
                <w:color w:val="auto"/>
              </w:rPr>
              <w:t>(2.23</w:t>
            </w:r>
            <w:r>
              <w:rPr>
                <w:rFonts w:ascii="Arial" w:cs="Arial" w:eastAsia="Arial" w:hAnsi="Arial"/>
                <w:sz w:val="26"/>
                <w:szCs w:val="26"/>
                <w:color w:val="auto"/>
                <w:vertAlign w:val="superscript"/>
              </w:rPr>
              <w:t>)</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0"/>
              <w:spacing w:after="0" w:line="227" w:lineRule="exact"/>
              <w:rPr>
                <w:sz w:val="20"/>
                <w:szCs w:val="20"/>
                <w:color w:val="auto"/>
              </w:rPr>
            </w:pPr>
            <w:r>
              <w:rPr>
                <w:rFonts w:ascii="Arial" w:cs="Arial" w:eastAsia="Arial" w:hAnsi="Arial"/>
                <w:sz w:val="14"/>
                <w:szCs w:val="14"/>
                <w:color w:val="auto"/>
              </w:rPr>
              <w:t>(1.69</w:t>
            </w:r>
            <w:r>
              <w:rPr>
                <w:rFonts w:ascii="Arial" w:cs="Arial" w:eastAsia="Arial" w:hAnsi="Arial"/>
                <w:sz w:val="26"/>
                <w:szCs w:val="26"/>
                <w:color w:val="auto"/>
                <w:vertAlign w:val="superscript"/>
              </w:rPr>
              <w:t>)</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line="227" w:lineRule="exact"/>
              <w:rPr>
                <w:sz w:val="20"/>
                <w:szCs w:val="20"/>
                <w:color w:val="auto"/>
              </w:rPr>
            </w:pPr>
            <w:r>
              <w:rPr>
                <w:rFonts w:ascii="Arial" w:cs="Arial" w:eastAsia="Arial" w:hAnsi="Arial"/>
                <w:sz w:val="14"/>
                <w:szCs w:val="14"/>
                <w:color w:val="auto"/>
              </w:rPr>
              <w:t>(5.32</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191"/>
        </w:trPr>
        <w:tc>
          <w:tcPr>
            <w:tcW w:w="5160" w:type="dxa"/>
            <w:vAlign w:val="bottom"/>
            <w:tcBorders>
              <w:top w:val="single" w:sz="8" w:color="CCEEFF"/>
              <w:bottom w:val="single" w:sz="8" w:color="CCEEFF"/>
            </w:tcBorders>
            <w:shd w:val="clear" w:color="auto" w:fill="CCEEFF"/>
          </w:tcPr>
          <w:p>
            <w:pPr>
              <w:spacing w:after="0" w:line="164" w:lineRule="exact"/>
              <w:rPr>
                <w:sz w:val="20"/>
                <w:szCs w:val="20"/>
                <w:color w:val="auto"/>
              </w:rPr>
            </w:pPr>
            <w:r>
              <w:rPr>
                <w:rFonts w:ascii="Arial" w:cs="Arial" w:eastAsia="Arial" w:hAnsi="Arial"/>
                <w:sz w:val="16"/>
                <w:szCs w:val="16"/>
                <w:color w:val="auto"/>
              </w:rPr>
              <w:t>Weighted average commons shares outstanding – basic and diluted</w:t>
            </w: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21,942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19,091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20" w:type="dxa"/>
            <w:vAlign w:val="bottom"/>
            <w:vMerge w:val="restart"/>
          </w:tcPr>
          <w:p>
            <w:pPr>
              <w:jc w:val="right"/>
              <w:ind w:right="240"/>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5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AGRIFY CORPORATION AND SUBSIDIARIES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As of December 31,</w:t>
            </w:r>
          </w:p>
        </w:tc>
      </w:tr>
      <w:tr>
        <w:trPr>
          <w:trHeight w:val="207"/>
        </w:trPr>
        <w:tc>
          <w:tcPr>
            <w:tcW w:w="54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r>
      <w:tr>
        <w:trPr>
          <w:trHeight w:val="191"/>
        </w:trPr>
        <w:tc>
          <w:tcPr>
            <w:tcW w:w="54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12,014</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8,111</w:t>
            </w:r>
          </w:p>
        </w:tc>
      </w:tr>
      <w:tr>
        <w:trPr>
          <w:trHeight w:val="191"/>
        </w:trPr>
        <w:tc>
          <w:tcPr>
            <w:tcW w:w="5400" w:type="dxa"/>
            <w:vAlign w:val="bottom"/>
          </w:tcPr>
          <w:p>
            <w:pPr>
              <w:spacing w:after="0"/>
              <w:rPr>
                <w:sz w:val="20"/>
                <w:szCs w:val="20"/>
                <w:color w:val="auto"/>
              </w:rPr>
            </w:pPr>
            <w:r>
              <w:rPr>
                <w:rFonts w:ascii="Arial" w:cs="Arial" w:eastAsia="Arial" w:hAnsi="Arial"/>
                <w:sz w:val="16"/>
                <w:szCs w:val="16"/>
                <w:color w:val="auto"/>
              </w:rPr>
              <w:t>Marketable securities</w:t>
            </w:r>
          </w:p>
        </w:tc>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44,550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91"/>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3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7,222</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4,014</w:t>
            </w:r>
          </w:p>
        </w:tc>
      </w:tr>
      <w:tr>
        <w:trPr>
          <w:trHeight w:val="191"/>
        </w:trPr>
        <w:tc>
          <w:tcPr>
            <w:tcW w:w="5400" w:type="dxa"/>
            <w:vAlign w:val="bottom"/>
          </w:tcPr>
          <w:p>
            <w:pPr>
              <w:spacing w:after="0"/>
              <w:rPr>
                <w:sz w:val="20"/>
                <w:szCs w:val="20"/>
                <w:color w:val="auto"/>
              </w:rPr>
            </w:pPr>
            <w:r>
              <w:rPr>
                <w:rFonts w:ascii="Arial" w:cs="Arial" w:eastAsia="Arial" w:hAnsi="Arial"/>
                <w:sz w:val="16"/>
                <w:szCs w:val="16"/>
                <w:color w:val="auto"/>
              </w:rPr>
              <w:t>Inventory</w:t>
            </w:r>
          </w:p>
        </w:tc>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20,498</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5,170</w:t>
            </w:r>
          </w:p>
        </w:tc>
      </w:tr>
      <w:tr>
        <w:trPr>
          <w:trHeight w:val="22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assets</w:t>
            </w:r>
          </w:p>
        </w:tc>
        <w:tc>
          <w:tcPr>
            <w:tcW w:w="3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2,452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1,345</w:t>
            </w:r>
          </w:p>
        </w:tc>
      </w:tr>
      <w:tr>
        <w:trPr>
          <w:trHeight w:val="175"/>
        </w:trPr>
        <w:tc>
          <w:tcPr>
            <w:tcW w:w="5400" w:type="dxa"/>
            <w:vAlign w:val="bottom"/>
            <w:tcBorders>
              <w:top w:val="single" w:sz="8" w:color="CCEEFF"/>
            </w:tcBorders>
          </w:tcPr>
          <w:p>
            <w:pPr>
              <w:ind w:left="140"/>
              <w:spacing w:after="0" w:line="175" w:lineRule="exact"/>
              <w:rPr>
                <w:sz w:val="20"/>
                <w:szCs w:val="20"/>
                <w:color w:val="auto"/>
              </w:rPr>
            </w:pPr>
            <w:r>
              <w:rPr>
                <w:rFonts w:ascii="Arial" w:cs="Arial" w:eastAsia="Arial" w:hAnsi="Arial"/>
                <w:sz w:val="16"/>
                <w:szCs w:val="16"/>
                <w:color w:val="auto"/>
              </w:rPr>
              <w:t>Total current assets</w:t>
            </w:r>
          </w:p>
        </w:tc>
        <w:tc>
          <w:tcPr>
            <w:tcW w:w="32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86,736</w:t>
            </w: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18,640</w:t>
            </w:r>
          </w:p>
        </w:tc>
        <w:tc>
          <w:tcPr>
            <w:tcW w:w="120" w:type="dxa"/>
            <w:vAlign w:val="bottom"/>
            <w:tcBorders>
              <w:top w:val="single" w:sz="8" w:color="CCEEFF"/>
            </w:tcBorders>
          </w:tcPr>
          <w:p>
            <w:pPr>
              <w:spacing w:after="0"/>
              <w:rPr>
                <w:sz w:val="15"/>
                <w:szCs w:val="15"/>
                <w:color w:val="auto"/>
              </w:rPr>
            </w:pPr>
          </w:p>
        </w:tc>
      </w:tr>
      <w:tr>
        <w:trPr>
          <w:trHeight w:val="191"/>
        </w:trPr>
        <w:tc>
          <w:tcPr>
            <w:tcW w:w="5400" w:type="dxa"/>
            <w:vAlign w:val="bottom"/>
            <w:shd w:val="clear" w:color="auto" w:fill="CCEEFF"/>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60"/>
          </w:cols>
          <w:pgMar w:left="320" w:top="816" w:right="319" w:bottom="1440" w:gutter="0" w:footer="0" w:header="0"/>
        </w:sectPr>
      </w:pPr>
    </w:p>
    <w:p>
      <w:pPr>
        <w:spacing w:after="0"/>
        <w:rPr>
          <w:sz w:val="20"/>
          <w:szCs w:val="20"/>
          <w:color w:val="auto"/>
        </w:rPr>
      </w:pPr>
      <w:r>
        <w:rPr>
          <w:rFonts w:ascii="Arial" w:cs="Arial" w:eastAsia="Arial" w:hAnsi="Arial"/>
          <w:sz w:val="16"/>
          <w:szCs w:val="16"/>
          <w:color w:val="auto"/>
        </w:rPr>
        <w:t>Loan receivable,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Right-of-use assets, net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Goodwill and intangible assets, net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Other non-current assets</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340" w:type="dxa"/>
            <w:vAlign w:val="bottom"/>
          </w:tcPr>
          <w:p>
            <w:pPr>
              <w:spacing w:after="0"/>
              <w:rPr>
                <w:sz w:val="15"/>
                <w:szCs w:val="15"/>
                <w:color w:val="auto"/>
              </w:rPr>
            </w:pPr>
          </w:p>
        </w:tc>
        <w:tc>
          <w:tcPr>
            <w:tcW w:w="1020" w:type="dxa"/>
            <w:vAlign w:val="bottom"/>
            <w:gridSpan w:val="2"/>
          </w:tcPr>
          <w:p>
            <w:pPr>
              <w:jc w:val="right"/>
              <w:ind w:right="240"/>
              <w:spacing w:after="0" w:line="179" w:lineRule="exact"/>
              <w:rPr>
                <w:sz w:val="20"/>
                <w:szCs w:val="20"/>
                <w:color w:val="auto"/>
              </w:rPr>
            </w:pPr>
            <w:r>
              <w:rPr>
                <w:rFonts w:ascii="Arial" w:cs="Arial" w:eastAsia="Arial" w:hAnsi="Arial"/>
                <w:sz w:val="16"/>
                <w:szCs w:val="16"/>
                <w:color w:val="auto"/>
              </w:rPr>
              <w:t>22,255</w:t>
            </w:r>
          </w:p>
        </w:tc>
        <w:tc>
          <w:tcPr>
            <w:tcW w:w="380" w:type="dxa"/>
            <w:vAlign w:val="bottom"/>
          </w:tcPr>
          <w:p>
            <w:pPr>
              <w:spacing w:after="0"/>
              <w:rPr>
                <w:sz w:val="15"/>
                <w:szCs w:val="15"/>
                <w:color w:val="auto"/>
              </w:rPr>
            </w:pPr>
          </w:p>
        </w:tc>
        <w:tc>
          <w:tcPr>
            <w:tcW w:w="720" w:type="dxa"/>
            <w:vAlign w:val="bottom"/>
          </w:tcPr>
          <w:p>
            <w:pPr>
              <w:jc w:val="right"/>
              <w:spacing w:after="0" w:line="179" w:lineRule="exact"/>
              <w:rPr>
                <w:sz w:val="20"/>
                <w:szCs w:val="20"/>
                <w:color w:val="auto"/>
              </w:rPr>
            </w:pPr>
            <w:r>
              <w:rPr>
                <w:rFonts w:ascii="Arial" w:cs="Arial" w:eastAsia="Arial" w:hAnsi="Arial"/>
                <w:sz w:val="16"/>
                <w:szCs w:val="16"/>
                <w:color w:val="auto"/>
              </w:rPr>
              <w:t>-</w:t>
            </w:r>
          </w:p>
        </w:tc>
      </w:tr>
      <w:tr>
        <w:trPr>
          <w:trHeight w:val="191"/>
        </w:trPr>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6,232</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873</w:t>
            </w:r>
          </w:p>
        </w:tc>
      </w:tr>
      <w:tr>
        <w:trPr>
          <w:trHeight w:val="191"/>
        </w:trPr>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1,479</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64,162</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2,326</w:t>
            </w:r>
          </w:p>
        </w:tc>
      </w:tr>
      <w:tr>
        <w:trPr>
          <w:trHeight w:val="204"/>
        </w:trPr>
        <w:tc>
          <w:tcPr>
            <w:tcW w:w="3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1,184</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
        </w:trPr>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r>
        <w:trPr>
          <w:trHeight w:val="219"/>
        </w:trPr>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182,048</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21,839</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-5513705</wp:posOffset>
            </wp:positionH>
            <wp:positionV relativeFrom="paragraph">
              <wp:posOffset>-681990</wp:posOffset>
            </wp:positionV>
            <wp:extent cx="7148195" cy="121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-439420</wp:posOffset>
            </wp:positionV>
            <wp:extent cx="7148195" cy="121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-181610</wp:posOffset>
            </wp:positionV>
            <wp:extent cx="7148195" cy="159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9385"/>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7960" w:space="720"/>
            <w:col w:w="2580"/>
          </w:cols>
          <w:pgMar w:left="320" w:top="816" w:right="31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4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Arial" w:cs="Arial" w:eastAsia="Arial" w:hAnsi="Arial"/>
                <w:sz w:val="16"/>
                <w:szCs w:val="16"/>
                <w:color w:val="auto"/>
              </w:rPr>
              <w:t>Accounts payable</w:t>
            </w:r>
          </w:p>
        </w:tc>
        <w:tc>
          <w:tcPr>
            <w:tcW w:w="4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9,151</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 and other current liabilities</w:t>
            </w:r>
          </w:p>
        </w:tc>
        <w:tc>
          <w:tcPr>
            <w:tcW w:w="4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28,764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6,550</w:t>
            </w: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Arial" w:cs="Arial" w:eastAsia="Arial" w:hAnsi="Arial"/>
                <w:sz w:val="16"/>
                <w:szCs w:val="16"/>
                <w:color w:val="auto"/>
              </w:rPr>
              <w:t>Notes payable, net</w:t>
            </w: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12,493</w:t>
            </w: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Derivative liabilities</w:t>
            </w:r>
          </w:p>
        </w:tc>
        <w:tc>
          <w:tcPr>
            <w:tcW w:w="4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7,141</w:t>
            </w: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Arial" w:cs="Arial" w:eastAsia="Arial" w:hAnsi="Arial"/>
                <w:sz w:val="16"/>
                <w:szCs w:val="16"/>
                <w:color w:val="auto"/>
              </w:rPr>
              <w:t>Operating lease liabilities, current</w:t>
            </w: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814</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Long-term debt, current</w:t>
            </w:r>
          </w:p>
        </w:tc>
        <w:tc>
          <w:tcPr>
            <w:tcW w:w="4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1,089</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40" w:type="dxa"/>
            <w:vAlign w:val="bottom"/>
          </w:tcPr>
          <w:p>
            <w:pPr>
              <w:spacing w:after="0"/>
              <w:rPr>
                <w:sz w:val="20"/>
                <w:szCs w:val="20"/>
                <w:color w:val="auto"/>
              </w:rPr>
            </w:pPr>
            <w:r>
              <w:rPr>
                <w:rFonts w:ascii="Arial" w:cs="Arial" w:eastAsia="Arial" w:hAnsi="Arial"/>
                <w:sz w:val="16"/>
                <w:szCs w:val="16"/>
                <w:color w:val="auto"/>
              </w:rPr>
              <w:t>Deferred revenue</w:t>
            </w:r>
          </w:p>
        </w:tc>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3,772</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191"/>
        </w:trPr>
        <w:tc>
          <w:tcPr>
            <w:tcW w:w="4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current liabilities</w:t>
            </w:r>
          </w:p>
        </w:tc>
        <w:tc>
          <w:tcPr>
            <w:tcW w:w="44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43,590</w:t>
            </w: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27,029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4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318</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Arial" w:cs="Arial" w:eastAsia="Arial" w:hAnsi="Arial"/>
                <w:sz w:val="16"/>
                <w:szCs w:val="16"/>
                <w:color w:val="auto"/>
              </w:rPr>
              <w:t>Operating lease liabilities, non-current</w:t>
            </w: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704</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4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175"/>
        </w:trPr>
        <w:tc>
          <w:tcPr>
            <w:tcW w:w="4240" w:type="dxa"/>
            <w:vAlign w:val="bottom"/>
            <w:tcBorders>
              <w:top w:val="single" w:sz="8" w:color="CCEEFF"/>
            </w:tcBorders>
          </w:tcPr>
          <w:p>
            <w:pPr>
              <w:ind w:left="140"/>
              <w:spacing w:after="0" w:line="175" w:lineRule="exact"/>
              <w:rPr>
                <w:sz w:val="20"/>
                <w:szCs w:val="20"/>
                <w:color w:val="auto"/>
              </w:rPr>
            </w:pPr>
            <w:r>
              <w:rPr>
                <w:rFonts w:ascii="Arial" w:cs="Arial" w:eastAsia="Arial" w:hAnsi="Arial"/>
                <w:sz w:val="16"/>
                <w:szCs w:val="16"/>
                <w:color w:val="auto"/>
              </w:rPr>
              <w:t>Total liabilities</w:t>
            </w:r>
          </w:p>
        </w:tc>
        <w:tc>
          <w:tcPr>
            <w:tcW w:w="44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44,624</w:t>
            </w: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28,293</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Arial" w:cs="Arial" w:eastAsia="Arial" w:hAnsi="Arial"/>
                <w:sz w:val="16"/>
                <w:szCs w:val="16"/>
                <w:b w:val="1"/>
                <w:bCs w:val="1"/>
                <w:color w:val="auto"/>
              </w:rPr>
              <w:t>Stockholders’ Deficit</w:t>
            </w: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Common stock</w:t>
            </w:r>
          </w:p>
        </w:tc>
        <w:tc>
          <w:tcPr>
            <w:tcW w:w="4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Arial" w:cs="Arial" w:eastAsia="Arial" w:hAnsi="Arial"/>
                <w:sz w:val="16"/>
                <w:szCs w:val="16"/>
                <w:color w:val="auto"/>
              </w:rPr>
              <w:t>Preferred stock</w:t>
            </w: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4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196,013</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19,827</w:t>
            </w:r>
          </w:p>
        </w:tc>
        <w:tc>
          <w:tcPr>
            <w:tcW w:w="0" w:type="dxa"/>
            <w:vAlign w:val="bottom"/>
          </w:tcPr>
          <w:p>
            <w:pPr>
              <w:spacing w:after="0"/>
              <w:rPr>
                <w:sz w:val="1"/>
                <w:szCs w:val="1"/>
                <w:color w:val="auto"/>
              </w:rPr>
            </w:pPr>
          </w:p>
        </w:tc>
      </w:tr>
      <w:tr>
        <w:trPr>
          <w:trHeight w:val="207"/>
        </w:trPr>
        <w:tc>
          <w:tcPr>
            <w:tcW w:w="4240" w:type="dxa"/>
            <w:vAlign w:val="bottom"/>
          </w:tcPr>
          <w:p>
            <w:pPr>
              <w:spacing w:after="0"/>
              <w:rPr>
                <w:sz w:val="20"/>
                <w:szCs w:val="20"/>
                <w:color w:val="auto"/>
              </w:rPr>
            </w:pPr>
            <w:r>
              <w:rPr>
                <w:rFonts w:ascii="Arial" w:cs="Arial" w:eastAsia="Arial" w:hAnsi="Arial"/>
                <w:sz w:val="16"/>
                <w:szCs w:val="16"/>
                <w:color w:val="auto"/>
              </w:rPr>
              <w:t>Accumulated deficit</w:t>
            </w:r>
          </w:p>
        </w:tc>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(58,975)</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(26,510)</w:t>
            </w:r>
          </w:p>
        </w:tc>
        <w:tc>
          <w:tcPr>
            <w:tcW w:w="0" w:type="dxa"/>
            <w:vAlign w:val="bottom"/>
          </w:tcPr>
          <w:p>
            <w:pPr>
              <w:spacing w:after="0"/>
              <w:rPr>
                <w:sz w:val="1"/>
                <w:szCs w:val="1"/>
                <w:color w:val="auto"/>
              </w:rPr>
            </w:pPr>
          </w:p>
        </w:tc>
      </w:tr>
      <w:tr>
        <w:trPr>
          <w:trHeight w:val="191"/>
        </w:trPr>
        <w:tc>
          <w:tcPr>
            <w:tcW w:w="4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stockholders’ equity (deficit)</w:t>
            </w:r>
          </w:p>
        </w:tc>
        <w:tc>
          <w:tcPr>
            <w:tcW w:w="44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137,059</w:t>
            </w: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365</w:t>
            </w:r>
          </w:p>
        </w:tc>
        <w:tc>
          <w:tcPr>
            <w:tcW w:w="3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4"/>
        </w:trPr>
        <w:tc>
          <w:tcPr>
            <w:tcW w:w="424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Total liabilities and stockholders’ equity</w:t>
            </w:r>
          </w:p>
        </w:tc>
        <w:tc>
          <w:tcPr>
            <w:tcW w:w="44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240" w:type="dxa"/>
            <w:vAlign w:val="bottom"/>
            <w:vMerge w:val="continue"/>
            <w:shd w:val="clear" w:color="auto" w:fill="CCEEFF"/>
          </w:tcPr>
          <w:p>
            <w:pPr>
              <w:spacing w:after="0"/>
              <w:rPr>
                <w:sz w:val="19"/>
                <w:szCs w:val="19"/>
                <w:color w:val="auto"/>
              </w:rPr>
            </w:pPr>
          </w:p>
        </w:tc>
        <w:tc>
          <w:tcPr>
            <w:tcW w:w="4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182,048</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21,839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jc w:val="right"/>
              <w:ind w:right="2940"/>
              <w:spacing w:after="0"/>
              <w:rPr>
                <w:sz w:val="20"/>
                <w:szCs w:val="20"/>
                <w:color w:val="auto"/>
              </w:rPr>
            </w:pPr>
            <w:r>
              <w:rPr>
                <w:rFonts w:ascii="Arial" w:cs="Arial" w:eastAsia="Arial" w:hAnsi="Arial"/>
                <w:sz w:val="16"/>
                <w:szCs w:val="16"/>
                <w:color w:val="auto"/>
              </w:rPr>
              <w:t>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AGRIFY CORPORATION AND SUBSIDIARIES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Years Ended</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00" w:type="dxa"/>
            <w:vAlign w:val="bottom"/>
          </w:tcPr>
          <w:p>
            <w:pPr>
              <w:spacing w:after="0"/>
              <w:rPr>
                <w:sz w:val="20"/>
                <w:szCs w:val="20"/>
                <w:color w:val="auto"/>
              </w:rPr>
            </w:pPr>
            <w:r>
              <w:rPr>
                <w:rFonts w:ascii="Arial" w:cs="Arial" w:eastAsia="Arial" w:hAnsi="Arial"/>
                <w:sz w:val="16"/>
                <w:szCs w:val="16"/>
                <w:b w:val="1"/>
                <w:bCs w:val="1"/>
                <w:color w:val="auto"/>
              </w:rPr>
              <w:t>Cash flow (used in) provided by:</w:t>
            </w: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(12,592)</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(4,059)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(30,149)</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(14,782)</w:t>
            </w:r>
          </w:p>
        </w:tc>
        <w:tc>
          <w:tcPr>
            <w:tcW w:w="0" w:type="dxa"/>
            <w:vAlign w:val="bottom"/>
          </w:tcPr>
          <w:p>
            <w:pPr>
              <w:spacing w:after="0"/>
              <w:rPr>
                <w:sz w:val="1"/>
                <w:szCs w:val="1"/>
                <w:color w:val="auto"/>
              </w:rPr>
            </w:pPr>
          </w:p>
        </w:tc>
      </w:tr>
      <w:tr>
        <w:trPr>
          <w:trHeight w:val="191"/>
        </w:trPr>
        <w:tc>
          <w:tcPr>
            <w:tcW w:w="4100" w:type="dxa"/>
            <w:vAlign w:val="bottom"/>
          </w:tcPr>
          <w:p>
            <w:pPr>
              <w:spacing w:after="0"/>
              <w:rPr>
                <w:sz w:val="20"/>
                <w:szCs w:val="20"/>
                <w:color w:val="auto"/>
              </w:rPr>
            </w:pPr>
            <w:r>
              <w:rPr>
                <w:rFonts w:ascii="Arial" w:cs="Arial" w:eastAsia="Arial" w:hAnsi="Arial"/>
                <w:sz w:val="16"/>
                <w:szCs w:val="16"/>
                <w:color w:val="auto"/>
              </w:rPr>
              <w:t>Investing activities</w:t>
            </w: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(20,057)</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(104,740)</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138,792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23,915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Net increase in cash and cash equivalents</w:t>
            </w:r>
          </w:p>
        </w:tc>
        <w:tc>
          <w:tcPr>
            <w:tcW w:w="1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vMerge w:val="continue"/>
          </w:tcPr>
          <w:p>
            <w:pPr>
              <w:spacing w:after="0"/>
              <w:rPr>
                <w:sz w:val="17"/>
                <w:szCs w:val="17"/>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(32,732</w:t>
            </w:r>
          </w:p>
        </w:tc>
        <w:tc>
          <w:tcPr>
            <w:tcW w:w="240" w:type="dxa"/>
            <w:vAlign w:val="bottom"/>
            <w:vMerge w:val="continue"/>
          </w:tcPr>
          <w:p>
            <w:pPr>
              <w:spacing w:after="0"/>
              <w:rPr>
                <w:sz w:val="17"/>
                <w:szCs w:val="17"/>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3,153</w:t>
            </w:r>
          </w:p>
        </w:tc>
        <w:tc>
          <w:tcPr>
            <w:tcW w:w="14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3,903</w:t>
            </w:r>
          </w:p>
        </w:tc>
        <w:tc>
          <w:tcPr>
            <w:tcW w:w="220" w:type="dxa"/>
            <w:vAlign w:val="bottom"/>
          </w:tcPr>
          <w:p>
            <w:pPr>
              <w:spacing w:after="0"/>
              <w:rPr>
                <w:sz w:val="17"/>
                <w:szCs w:val="17"/>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7,905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80" w:type="dxa"/>
            <w:vAlign w:val="bottom"/>
            <w:vMerge w:val="restart"/>
          </w:tcPr>
          <w:p>
            <w:pPr>
              <w:jc w:val="right"/>
              <w:ind w:right="240"/>
              <w:spacing w:after="0"/>
              <w:rPr>
                <w:sz w:val="20"/>
                <w:szCs w:val="20"/>
                <w:color w:val="auto"/>
              </w:rPr>
            </w:pPr>
            <w:r>
              <w:rPr>
                <w:rFonts w:ascii="Arial" w:cs="Arial" w:eastAsia="Arial" w:hAnsi="Arial"/>
                <w:sz w:val="16"/>
                <w:szCs w:val="16"/>
                <w:color w:val="auto"/>
              </w:rPr>
              <w:t>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Non-GAAP Financial Measures</w:t>
      </w:r>
    </w:p>
    <w:p>
      <w:pPr>
        <w:spacing w:after="0" w:line="202"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To supplement our financial information presented in accordance with generally accepted accounting principles in the United States, or U.S. GAAP, we use Adjusted EBITDA, which is a non-U.S. GAAP financial measure to clarify and enhance an understanding of past performance. We believe that the presentation of Adjusted EBITDA enhances an investor’s understanding of our financial performance. We further believe that Adjusted EBITDA is a useful financial metric to assess our operating performance from period-to-period by excluding certain items that we believe are not representative of our core business. We use certain financial measures for business planning purposes, measuring our performance relative to that of our competitors and determining our compliance with certain debt instruments. We utilize Adjusted EBITDA as a key measure of our performance.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calculate Adjusted EBITDA as net loss adjusted to exclude (i) tax provision and benefit; (ii) interest income and expense, net; (iii) other income and expense, net; (iv) depreciation and amortization, (v) stock-based compensation expense, (vi) public offering expenses, (vii) acquisition-related expenses; (viii) investment banker termination fees; (ix) gains and losses associated with the extinguishment of debt; (x) changes in derivative liabilities; (xi) changes in contingent consideration; (xii) Gain associated with the forgiveness of PPP loans; and (xiii) other items affecting our results that we do not view as representative of our ongoing operations, including losses associated with write-offs.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believe Adjusted EBITDA is a commonly used by investors to evaluate our performance and that of our competitors. However, our use of the term Adjusted EBITDA may vary from that of others in our industry. Adjusted EBITDA should not be considered as an alternative to net loss before taxes, net loss, loss per share or any other performance measures derived in accordance with U.S. GAAP as measures of performance.</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Adjusted EBITDA has important limitations as an analytical tool and you should not consider it in isolation or as a substitute for analysis of our results as reported under U.S. GAAP. 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public offering and acquisition-related expenses, including legal, accounting and other professional expenses, reflect cash expenditures and we expect such expenditures to recur from time-to-time. Our Adjusted EBITDA may not be comparable to similarly titled measures of other companies because they may not calculate Adjusted EBITDA in the same manner as we calculate the measure, limiting its usefulness as a comparative measure.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evaluating Adjusted EBITDA, you should be aware that in the future we will incur expenses similar to the adjustments in this presentation.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rPr>
        <w:t>The following table presents a reconciliation of Adjusted EBITDA from the most comparable GAAP measure, net loss, for the three months ended and full year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and 2020: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60" w:type="dxa"/>
            <w:vAlign w:val="bottom"/>
          </w:tcPr>
          <w:p>
            <w:pPr>
              <w:spacing w:after="0"/>
              <w:rPr>
                <w:sz w:val="16"/>
                <w:szCs w:val="16"/>
                <w:color w:val="auto"/>
              </w:rPr>
            </w:pPr>
          </w:p>
        </w:tc>
        <w:tc>
          <w:tcPr>
            <w:tcW w:w="4280" w:type="dxa"/>
            <w:vAlign w:val="bottom"/>
            <w:gridSpan w:val="4"/>
          </w:tcPr>
          <w:p>
            <w:pPr>
              <w:jc w:val="center"/>
              <w:ind w:left="780"/>
              <w:spacing w:after="0"/>
              <w:rPr>
                <w:sz w:val="20"/>
                <w:szCs w:val="20"/>
                <w:color w:val="auto"/>
              </w:rPr>
            </w:pPr>
            <w:r>
              <w:rPr>
                <w:rFonts w:ascii="Arial" w:cs="Arial" w:eastAsia="Arial" w:hAnsi="Arial"/>
                <w:sz w:val="16"/>
                <w:szCs w:val="16"/>
                <w:b w:val="1"/>
                <w:bCs w:val="1"/>
                <w:color w:val="auto"/>
                <w:w w:val="99"/>
              </w:rPr>
              <w:t>AGRIFY CORPORATION AND SUBSIDIARIES</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16"/>
                <w:szCs w:val="16"/>
                <w:color w:val="auto"/>
              </w:rPr>
            </w:pPr>
          </w:p>
        </w:tc>
        <w:tc>
          <w:tcPr>
            <w:tcW w:w="5560" w:type="dxa"/>
            <w:vAlign w:val="bottom"/>
            <w:gridSpan w:val="7"/>
          </w:tcPr>
          <w:p>
            <w:pPr>
              <w:jc w:val="center"/>
              <w:ind w:right="360"/>
              <w:spacing w:after="0"/>
              <w:rPr>
                <w:sz w:val="20"/>
                <w:szCs w:val="20"/>
                <w:color w:val="auto"/>
              </w:rPr>
            </w:pPr>
            <w:r>
              <w:rPr>
                <w:rFonts w:ascii="Arial" w:cs="Arial" w:eastAsia="Arial" w:hAnsi="Arial"/>
                <w:sz w:val="16"/>
                <w:szCs w:val="16"/>
                <w:b w:val="1"/>
                <w:bCs w:val="1"/>
                <w:color w:val="auto"/>
                <w:w w:val="92"/>
              </w:rPr>
              <w:t>Reconciliation of GAAP Net Loss to Non-GAAP Adjusted EBITDA</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16"/>
                <w:szCs w:val="16"/>
                <w:color w:val="auto"/>
              </w:rPr>
            </w:pPr>
          </w:p>
        </w:tc>
        <w:tc>
          <w:tcPr>
            <w:tcW w:w="3180" w:type="dxa"/>
            <w:vAlign w:val="bottom"/>
            <w:gridSpan w:val="2"/>
          </w:tcPr>
          <w:p>
            <w:pPr>
              <w:jc w:val="center"/>
              <w:ind w:left="1880"/>
              <w:spacing w:after="0"/>
              <w:rPr>
                <w:sz w:val="20"/>
                <w:szCs w:val="20"/>
                <w:color w:val="auto"/>
              </w:rPr>
            </w:pPr>
            <w:r>
              <w:rPr>
                <w:rFonts w:ascii="Arial" w:cs="Arial" w:eastAsia="Arial" w:hAnsi="Arial"/>
                <w:sz w:val="16"/>
                <w:szCs w:val="16"/>
                <w:b w:val="1"/>
                <w:bCs w:val="1"/>
                <w:color w:val="auto"/>
                <w:w w:val="88"/>
              </w:rPr>
              <w:t>(In thousands)</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60" w:type="dxa"/>
            <w:vAlign w:val="bottom"/>
          </w:tcPr>
          <w:p>
            <w:pPr>
              <w:spacing w:after="0"/>
              <w:rPr>
                <w:sz w:val="18"/>
                <w:szCs w:val="18"/>
                <w:color w:val="auto"/>
              </w:rPr>
            </w:pPr>
          </w:p>
        </w:tc>
        <w:tc>
          <w:tcPr>
            <w:tcW w:w="3180" w:type="dxa"/>
            <w:vAlign w:val="bottom"/>
            <w:gridSpan w:val="2"/>
          </w:tcPr>
          <w:p>
            <w:pPr>
              <w:jc w:val="center"/>
              <w:ind w:left="1880"/>
              <w:spacing w:after="0"/>
              <w:rPr>
                <w:sz w:val="20"/>
                <w:szCs w:val="20"/>
                <w:color w:val="auto"/>
              </w:rPr>
            </w:pPr>
            <w:r>
              <w:rPr>
                <w:rFonts w:ascii="Arial" w:cs="Arial" w:eastAsia="Arial" w:hAnsi="Arial"/>
                <w:sz w:val="16"/>
                <w:szCs w:val="16"/>
                <w:b w:val="1"/>
                <w:bCs w:val="1"/>
                <w:color w:val="auto"/>
                <w:w w:val="92"/>
              </w:rPr>
              <w:t>(Unaudited)</w:t>
            </w:r>
          </w:p>
        </w:tc>
        <w:tc>
          <w:tcPr>
            <w:tcW w:w="2380" w:type="dxa"/>
            <w:vAlign w:val="bottom"/>
            <w:gridSpan w:val="5"/>
            <w:vMerge w:val="restart"/>
          </w:tcPr>
          <w:p>
            <w:pPr>
              <w:jc w:val="right"/>
              <w:ind w:right="60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Years Ended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0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3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(13,261)</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(13,055)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(32,465)</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(21,617)</w:t>
            </w: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Arial" w:cs="Arial" w:eastAsia="Arial" w:hAnsi="Arial"/>
                <w:sz w:val="16"/>
                <w:szCs w:val="16"/>
                <w:color w:val="auto"/>
              </w:rPr>
              <w:t>Add:</w:t>
            </w:r>
          </w:p>
        </w:tc>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2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Arial" w:cs="Arial" w:eastAsia="Arial" w:hAnsi="Arial"/>
                <w:sz w:val="16"/>
                <w:szCs w:val="16"/>
                <w:color w:val="auto"/>
              </w:rPr>
              <w:t>Interest (income) expense</w:t>
            </w:r>
          </w:p>
        </w:tc>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(74)</w:t>
            </w: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191"/>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2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802</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191"/>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2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1,544</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5,552</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1,921</w:t>
            </w: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Arial" w:cs="Arial" w:eastAsia="Arial" w:hAnsi="Arial"/>
                <w:sz w:val="16"/>
                <w:szCs w:val="16"/>
                <w:color w:val="auto"/>
              </w:rPr>
              <w:t>Public offering expenses</w:t>
            </w:r>
          </w:p>
        </w:tc>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191"/>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Investment banker termination fees</w:t>
            </w:r>
          </w:p>
        </w:tc>
        <w:tc>
          <w:tcPr>
            <w:tcW w:w="2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Arial" w:cs="Arial" w:eastAsia="Arial" w:hAnsi="Arial"/>
                <w:sz w:val="16"/>
                <w:szCs w:val="16"/>
                <w:color w:val="auto"/>
              </w:rPr>
              <w:t>Acquisition-related expenses</w:t>
            </w:r>
          </w:p>
        </w:tc>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4,047</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4,559</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Gain (loss) on debt extinguishment</w:t>
            </w:r>
          </w:p>
        </w:tc>
        <w:tc>
          <w:tcPr>
            <w:tcW w:w="2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(2,685)</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5,618</w:t>
            </w: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Arial" w:cs="Arial" w:eastAsia="Arial" w:hAnsi="Arial"/>
                <w:sz w:val="16"/>
                <w:szCs w:val="16"/>
                <w:color w:val="auto"/>
              </w:rPr>
              <w:t>Change in fair value of derivative liabilities</w:t>
            </w:r>
          </w:p>
        </w:tc>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2,924</w:t>
            </w:r>
          </w:p>
        </w:tc>
        <w:tc>
          <w:tcPr>
            <w:tcW w:w="0" w:type="dxa"/>
            <w:vAlign w:val="bottom"/>
          </w:tcPr>
          <w:p>
            <w:pPr>
              <w:spacing w:after="0"/>
              <w:rPr>
                <w:sz w:val="1"/>
                <w:szCs w:val="1"/>
                <w:color w:val="auto"/>
              </w:rPr>
            </w:pPr>
          </w:p>
        </w:tc>
      </w:tr>
      <w:tr>
        <w:trPr>
          <w:trHeight w:val="191"/>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Change in contingent consideration</w:t>
            </w:r>
          </w:p>
        </w:tc>
        <w:tc>
          <w:tcPr>
            <w:tcW w:w="2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1,412</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Arial" w:cs="Arial" w:eastAsia="Arial" w:hAnsi="Arial"/>
                <w:sz w:val="16"/>
                <w:szCs w:val="16"/>
                <w:color w:val="auto"/>
              </w:rPr>
              <w:t>Gain on forgiveness of PPP loan</w:t>
            </w:r>
          </w:p>
        </w:tc>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(45)</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(45)</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Loss from write-offs</w:t>
            </w:r>
          </w:p>
        </w:tc>
        <w:tc>
          <w:tcPr>
            <w:tcW w:w="2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Adjusted EBITDA</w:t>
            </w:r>
          </w:p>
        </w:tc>
        <w:tc>
          <w:tcPr>
            <w:tcW w:w="2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03"/>
        </w:trPr>
        <w:tc>
          <w:tcPr>
            <w:tcW w:w="3060" w:type="dxa"/>
            <w:vAlign w:val="bottom"/>
            <w:vMerge w:val="continue"/>
          </w:tcPr>
          <w:p>
            <w:pPr>
              <w:spacing w:after="0"/>
              <w:rPr>
                <w:sz w:val="17"/>
                <w:szCs w:val="17"/>
                <w:color w:val="auto"/>
              </w:rPr>
            </w:pPr>
          </w:p>
        </w:tc>
        <w:tc>
          <w:tcPr>
            <w:tcW w:w="3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(5,529</w:t>
            </w:r>
          </w:p>
        </w:tc>
        <w:tc>
          <w:tcPr>
            <w:tcW w:w="240" w:type="dxa"/>
            <w:vAlign w:val="bottom"/>
            <w:vMerge w:val="continue"/>
          </w:tcPr>
          <w:p>
            <w:pPr>
              <w:spacing w:after="0"/>
              <w:rPr>
                <w:sz w:val="17"/>
                <w:szCs w:val="17"/>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(2,822</w:t>
            </w:r>
          </w:p>
        </w:tc>
        <w:tc>
          <w:tcPr>
            <w:tcW w:w="140" w:type="dxa"/>
            <w:vAlign w:val="bottom"/>
            <w:vMerge w:val="continue"/>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(19,980</w:t>
            </w:r>
          </w:p>
        </w:tc>
        <w:tc>
          <w:tcPr>
            <w:tcW w:w="220" w:type="dxa"/>
            <w:vAlign w:val="bottom"/>
            <w:vMerge w:val="continue"/>
          </w:tcPr>
          <w:p>
            <w:pPr>
              <w:spacing w:after="0"/>
              <w:rPr>
                <w:sz w:val="17"/>
                <w:szCs w:val="17"/>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(8,399</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920" w:type="dxa"/>
            <w:vAlign w:val="bottom"/>
            <w:vMerge w:val="restart"/>
          </w:tcPr>
          <w:p>
            <w:pPr>
              <w:jc w:val="center"/>
              <w:ind w:left="2120"/>
              <w:spacing w:after="0"/>
              <w:rPr>
                <w:sz w:val="20"/>
                <w:szCs w:val="20"/>
                <w:color w:val="auto"/>
              </w:rPr>
            </w:pPr>
            <w:r>
              <w:rPr>
                <w:rFonts w:ascii="Arial" w:cs="Arial" w:eastAsia="Arial" w:hAnsi="Arial"/>
                <w:sz w:val="16"/>
                <w:szCs w:val="16"/>
                <w:color w:val="auto"/>
                <w:w w:val="89"/>
              </w:rPr>
              <w:t>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0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20" w:right="31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Company Contacts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Agrify</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Timothy Oakes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tim.oakes@agrify.com</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(781) 760-7512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Inquiries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Anna Kate Heller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ICR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agrify@icrinc.com</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Inquiries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Ellen Mellody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MATTIO Communications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ellen@mattio.com</w:t>
      </w:r>
    </w:p>
    <w:p>
      <w:pPr>
        <w:spacing w:after="0" w:line="394" w:lineRule="exact"/>
        <w:rPr>
          <w:sz w:val="20"/>
          <w:szCs w:val="20"/>
          <w:color w:val="auto"/>
        </w:rPr>
      </w:pPr>
    </w:p>
    <w:p>
      <w:pPr>
        <w:jc w:val="right"/>
        <w:ind w:right="443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12" w:name="page13"/>
    <w:bookmarkEnd w:id="12"/>
    <w:p>
      <w:pPr>
        <w:ind w:left="93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158750</wp:posOffset>
            </wp:positionV>
            <wp:extent cx="7203440" cy="5850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65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586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204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5820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7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2022-03-23T06:03:38Z</dcterms:created>
  <dcterms:modified xsi:type="dcterms:W3CDTF">2022-03-23T06:03:38Z</dcterms:modified>
</cp:coreProperties>
</file>