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AGRIFY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00853E206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66" w:lineRule="exact"/>
        <w:rPr>
          <w:sz w:val="24"/>
          <w:szCs w:val="24"/>
          <w:color w:val="auto"/>
        </w:rPr>
      </w:pPr>
    </w:p>
    <w:p>
      <w:pPr>
        <w:jc w:val="both"/>
        <w:ind w:left="660" w:right="9340" w:hanging="4"/>
        <w:spacing w:after="0" w:line="288"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13d-1(b)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13d-1(c)</w:t>
      </w:r>
      <w:r>
        <w:rPr>
          <w:rFonts w:ascii="Wingdings" w:cs="Wingdings" w:eastAsia="Wingdings" w:hAnsi="Wingdings"/>
          <w:sz w:val="19"/>
          <w:szCs w:val="19"/>
          <w:b w:val="1"/>
          <w:bCs w:val="1"/>
          <w:color w:val="auto"/>
        </w:rPr>
        <w:t xml:space="preserve"> o </w:t>
      </w:r>
      <w:r>
        <w:rPr>
          <w:rFonts w:ascii="Times New Roman" w:cs="Times New Roman" w:eastAsia="Times New Roman" w:hAnsi="Times New Roman"/>
          <w:sz w:val="15"/>
          <w:szCs w:val="15"/>
          <w:color w:val="auto"/>
        </w:rPr>
        <w:t>Rule 13d-1(d)</w:t>
      </w:r>
    </w:p>
    <w:p>
      <w:pPr>
        <w:spacing w:after="0" w:line="3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00853E206</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Alyeska Investment Group,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 *</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jc w:val="both"/>
        <w:spacing w:after="0" w:line="255" w:lineRule="auto"/>
        <w:rPr>
          <w:sz w:val="20"/>
          <w:szCs w:val="20"/>
          <w:color w:val="auto"/>
        </w:rPr>
      </w:pPr>
      <w:r>
        <w:rPr>
          <w:rFonts w:ascii="Times New Roman" w:cs="Times New Roman" w:eastAsia="Times New Roman" w:hAnsi="Times New Roman"/>
          <w:sz w:val="18"/>
          <w:szCs w:val="18"/>
          <w:color w:val="auto"/>
        </w:rPr>
        <w:t>The reporting persons are the beneficial owners of 0 shares of Common Stock of the Issuer, which constitute approximately 0% of the Issuer’s outstanding Common Stock shares. The percentage calculation assumes that there are currently 20,740,799 outstanding shares of Common Stock of the Issuer, based on the Issuer’s Proxy Statement filed with the Securities and Exchange Commission on February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367665</wp:posOffset>
            </wp:positionV>
            <wp:extent cx="713613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60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00853E206</w:t>
            </w:r>
          </w:p>
        </w:tc>
        <w:tc>
          <w:tcPr>
            <w:tcW w:w="52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w w:val="97"/>
              </w:rPr>
              <w:t>Alyeska Fund GP, LLC</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w w:val="95"/>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spacing w:after="0"/>
              <w:rPr>
                <w:sz w:val="18"/>
                <w:szCs w:val="18"/>
                <w:color w:val="auto"/>
              </w:rPr>
            </w:pPr>
          </w:p>
        </w:tc>
        <w:tc>
          <w:tcPr>
            <w:tcW w:w="52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w w:val="95"/>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360" w:type="dxa"/>
            <w:vAlign w:val="bottom"/>
          </w:tcPr>
          <w:p>
            <w:pPr>
              <w:spacing w:after="0"/>
              <w:rPr>
                <w:sz w:val="17"/>
                <w:szCs w:val="17"/>
                <w:color w:val="auto"/>
              </w:rPr>
            </w:pPr>
          </w:p>
        </w:tc>
        <w:tc>
          <w:tcPr>
            <w:tcW w:w="52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w w:val="95"/>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w w:val="95"/>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5"/>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jc w:val="both"/>
        <w:spacing w:after="0" w:line="255" w:lineRule="auto"/>
        <w:rPr>
          <w:sz w:val="20"/>
          <w:szCs w:val="20"/>
          <w:color w:val="auto"/>
        </w:rPr>
      </w:pPr>
      <w:r>
        <w:rPr>
          <w:rFonts w:ascii="Times New Roman" w:cs="Times New Roman" w:eastAsia="Times New Roman" w:hAnsi="Times New Roman"/>
          <w:sz w:val="18"/>
          <w:szCs w:val="18"/>
          <w:color w:val="auto"/>
        </w:rPr>
        <w:t>The reporting persons are the beneficial owners of 0 shares of Common Stock of the Issuer, which constitute approximately 0% of the Issuer’s outstanding Common Stock shares. The percentage calculation assumes that there are currently 20,740,799 outstanding shares of Common Stock of the Issuer, based on the Issuer’s Proxy Statement filed with the Securities and Exchange Commission on February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179070</wp:posOffset>
            </wp:positionV>
            <wp:extent cx="71361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3873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00853E206</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Anand Parekh</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jc w:val="both"/>
        <w:spacing w:after="0" w:line="255" w:lineRule="auto"/>
        <w:rPr>
          <w:sz w:val="20"/>
          <w:szCs w:val="20"/>
          <w:color w:val="auto"/>
        </w:rPr>
      </w:pPr>
      <w:r>
        <w:rPr>
          <w:rFonts w:ascii="Times New Roman" w:cs="Times New Roman" w:eastAsia="Times New Roman" w:hAnsi="Times New Roman"/>
          <w:sz w:val="18"/>
          <w:szCs w:val="18"/>
          <w:color w:val="auto"/>
        </w:rPr>
        <w:t>The reporting persons are the beneficial owners of 0 shares of Common Stock of the Issuer, which constitute approximately 0% of the Issuer’s outstanding Common Stock shares. The percentage calculation assumes that there are currently 20,740,799 outstanding shares of Common Stock of the Issuer, based on the Issuer’s Proxy Statement filed with the Securities and Exchange Commission on February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110490</wp:posOffset>
            </wp:positionV>
            <wp:extent cx="713613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4" w:name="page5"/>
    <w:bookmarkEnd w:id="4"/>
    <w:p>
      <w:pPr>
        <w:spacing w:after="0" w:line="62"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00853E206</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76 Treble Cove Rd., Building 3</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Billerica, MA 01862</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Names of Person Filing:</w:t>
      </w:r>
    </w:p>
    <w:p>
      <w:pPr>
        <w:spacing w:after="0" w:line="121" w:lineRule="exact"/>
        <w:rPr>
          <w:sz w:val="20"/>
          <w:szCs w:val="20"/>
          <w:color w:val="auto"/>
        </w:rPr>
      </w:pPr>
    </w:p>
    <w:p>
      <w:pPr>
        <w:ind w:left="1020" w:hanging="22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Alyeska Investment Group, L.P.</w:t>
      </w:r>
    </w:p>
    <w:p>
      <w:pPr>
        <w:spacing w:after="0" w:line="225"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Alyeska Fund GP, LLC</w:t>
      </w:r>
    </w:p>
    <w:p>
      <w:pPr>
        <w:spacing w:after="0" w:line="225"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Anand Parekh</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(b) Address of Principal Business Office:</w:t>
      </w:r>
    </w:p>
    <w:p>
      <w:pPr>
        <w:spacing w:after="0" w:line="121" w:lineRule="exact"/>
        <w:rPr>
          <w:sz w:val="20"/>
          <w:szCs w:val="20"/>
          <w:color w:val="auto"/>
        </w:rPr>
      </w:pPr>
    </w:p>
    <w:p>
      <w:pPr>
        <w:ind w:left="1020" w:right="7840" w:hanging="220"/>
        <w:spacing w:after="0" w:line="282" w:lineRule="auto"/>
        <w:tabs>
          <w:tab w:leader="none" w:pos="10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West Wacker Drive, 7th Floor Chicago, IL 60601</w:t>
      </w:r>
    </w:p>
    <w:p>
      <w:pPr>
        <w:spacing w:after="0" w:line="161" w:lineRule="exact"/>
        <w:rPr>
          <w:rFonts w:ascii="Times New Roman" w:cs="Times New Roman" w:eastAsia="Times New Roman" w:hAnsi="Times New Roman"/>
          <w:sz w:val="18"/>
          <w:szCs w:val="18"/>
          <w:color w:val="auto"/>
        </w:rPr>
      </w:pPr>
    </w:p>
    <w:p>
      <w:pPr>
        <w:ind w:left="1040" w:right="7800" w:hanging="240"/>
        <w:spacing w:after="0" w:line="282" w:lineRule="auto"/>
        <w:tabs>
          <w:tab w:leader="none" w:pos="107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West Wacker Drive, 7th Floor Chicago, IL 60601</w:t>
      </w:r>
    </w:p>
    <w:p>
      <w:pPr>
        <w:spacing w:after="0" w:line="161" w:lineRule="exact"/>
        <w:rPr>
          <w:rFonts w:ascii="Times New Roman" w:cs="Times New Roman" w:eastAsia="Times New Roman" w:hAnsi="Times New Roman"/>
          <w:sz w:val="18"/>
          <w:szCs w:val="18"/>
          <w:color w:val="auto"/>
        </w:rPr>
      </w:pPr>
    </w:p>
    <w:p>
      <w:pPr>
        <w:ind w:left="1060" w:right="7740" w:hanging="260"/>
        <w:spacing w:after="0" w:line="282" w:lineRule="auto"/>
        <w:tabs>
          <w:tab w:leader="none" w:pos="11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West Wacker Drive, 7th Floor Chicago, IL 60601</w:t>
      </w:r>
    </w:p>
    <w:p>
      <w:pPr>
        <w:spacing w:after="0" w:line="15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(c) Citizenship:</w:t>
      </w:r>
    </w:p>
    <w:p>
      <w:pPr>
        <w:spacing w:after="0" w:line="121" w:lineRule="exact"/>
        <w:rPr>
          <w:sz w:val="20"/>
          <w:szCs w:val="20"/>
          <w:color w:val="auto"/>
        </w:rPr>
      </w:pPr>
    </w:p>
    <w:p>
      <w:pPr>
        <w:ind w:left="1000" w:hanging="200"/>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Alyeska Investment Group, L.P. - Delaware</w:t>
      </w:r>
    </w:p>
    <w:p>
      <w:pPr>
        <w:spacing w:after="0" w:line="225"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Alyeska Fund GP, LLC - Delaware</w:t>
      </w:r>
    </w:p>
    <w:p>
      <w:pPr>
        <w:spacing w:after="0" w:line="225" w:lineRule="exact"/>
        <w:rPr>
          <w:rFonts w:ascii="Times New Roman" w:cs="Times New Roman" w:eastAsia="Times New Roman" w:hAnsi="Times New Roman"/>
          <w:sz w:val="18"/>
          <w:szCs w:val="18"/>
          <w:color w:val="auto"/>
        </w:rPr>
      </w:pPr>
    </w:p>
    <w:p>
      <w:pPr>
        <w:ind w:left="1100" w:hanging="300"/>
        <w:spacing w:after="0"/>
        <w:tabs>
          <w:tab w:leader="none" w:pos="1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Anand Parekh - United States of America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par value $0.001 per share</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00853E206</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00853E206</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6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5"/>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5"/>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7"/>
          <w:szCs w:val="17"/>
          <w:color w:val="auto"/>
        </w:rPr>
        <w:t>A parent holding company or control person in accordance with §240.13d-1(b)(1)(ii)(G);</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tbl>
      <w:tblPr>
        <w:tblLayout w:type="fixed"/>
        <w:tblInd w:w="30" w:type="dxa"/>
        <w:tblCellMar>
          <w:top w:w="0" w:type="dxa"/>
          <w:left w:w="0" w:type="dxa"/>
          <w:bottom w:w="0" w:type="dxa"/>
          <w:right w:w="0" w:type="dxa"/>
        </w:tblCellMar>
      </w:tblPr>
      <w:tr>
        <w:trPr>
          <w:trHeight w:val="343"/>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00853E206</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bl>
    <w:p>
      <w:pPr>
        <w:sectPr>
          <w:pgSz w:w="11900" w:h="16900" w:orient="portrait"/>
          <w:cols w:equalWidth="0" w:num="1">
            <w:col w:w="11240"/>
          </w:cols>
          <w:pgMar w:left="320" w:top="663" w:right="3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88900</wp:posOffset>
            </wp:positionV>
            <wp:extent cx="2138680" cy="74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38680" cy="74930"/>
                    </a:xfrm>
                    <a:prstGeom prst="rect">
                      <a:avLst/>
                    </a:prstGeom>
                    <a:noFill/>
                  </pic:spPr>
                </pic:pic>
              </a:graphicData>
            </a:graphic>
          </wp:anchor>
        </w:drawing>
        <w:drawing>
          <wp:anchor simplePos="0" relativeHeight="251657728" behindDoc="1" locked="0" layoutInCell="0" allowOverlap="1">
            <wp:simplePos x="0" y="0"/>
            <wp:positionH relativeFrom="page">
              <wp:posOffset>5208270</wp:posOffset>
            </wp:positionH>
            <wp:positionV relativeFrom="page">
              <wp:posOffset>88900</wp:posOffset>
            </wp:positionV>
            <wp:extent cx="2130425" cy="74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30425" cy="74930"/>
                    </a:xfrm>
                    <a:prstGeom prst="rect">
                      <a:avLst/>
                    </a:prstGeom>
                    <a:noFill/>
                  </pic:spPr>
                </pic:pic>
              </a:graphicData>
            </a:graphic>
          </wp:anchor>
        </w:drawing>
        <w:t>Item 4. Ownership</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400" w:hanging="240"/>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Please refer to items 5-9 of the cover pages attached hereto</w:t>
      </w:r>
    </w:p>
    <w:p>
      <w:pPr>
        <w:spacing w:after="0" w:line="117" w:lineRule="exact"/>
        <w:rPr>
          <w:rFonts w:ascii="Times New Roman" w:cs="Times New Roman" w:eastAsia="Times New Roman" w:hAnsi="Times New Roman"/>
          <w:sz w:val="18"/>
          <w:szCs w:val="18"/>
          <w:color w:val="auto"/>
        </w:rPr>
      </w:pPr>
    </w:p>
    <w:p>
      <w:pPr>
        <w:ind w:left="1420" w:hanging="260"/>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Please refer to item 11 of the cover pages attached hereto</w:t>
      </w:r>
    </w:p>
    <w:p>
      <w:pPr>
        <w:spacing w:after="0" w:line="117" w:lineRule="exact"/>
        <w:rPr>
          <w:rFonts w:ascii="Times New Roman" w:cs="Times New Roman" w:eastAsia="Times New Roman" w:hAnsi="Times New Roman"/>
          <w:sz w:val="18"/>
          <w:szCs w:val="18"/>
          <w:color w:val="auto"/>
        </w:rPr>
      </w:pPr>
    </w:p>
    <w:p>
      <w:pPr>
        <w:ind w:left="1400" w:hanging="240"/>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 Please refer to items 5-8 of the cover pages attached hereto</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ind w:left="1300" w:hanging="1295"/>
        <w:spacing w:after="0" w:line="263"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8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671"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00853E206</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Alyeska Investment Group,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Jason Bragg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Jason Bragg, Chief Financial Officer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Alyeska Fund GP, LLC</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Jason Bragg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Jason Bragg, Chief Financial Officer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Anand Parekh</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Entity and Description</w:t>
      </w:r>
    </w:p>
    <w:p>
      <w:pPr>
        <w:spacing w:after="0" w:line="205"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Anand Parekh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Anand Parekh, Individually</w:t>
      </w:r>
    </w:p>
    <w:p>
      <w:pPr>
        <w:sectPr>
          <w:pgSz w:w="11900" w:h="16838" w:orient="portrait"/>
          <w:cols w:equalWidth="0" w:num="1">
            <w:col w:w="11240"/>
          </w:cols>
          <w:pgMar w:left="320" w:top="447"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00853E206</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Alyeska Investment Group,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Jason Bragg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Jason Bragg, Chief Financial Officer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Alyeska Fund GP, LLC</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Jason Bragg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Jason Bragg, Chief Financial Officer</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Anand Parekh</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Anand Parekh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Anand Parekh, Individually</w:t>
      </w:r>
    </w:p>
    <w:sectPr>
      <w:pgSz w:w="11900" w:h="16838" w:orient="portrait"/>
      <w:cols w:equalWidth="0" w:num="1">
        <w:col w:w="11240"/>
      </w:cols>
      <w:pgMar w:left="320" w:top="4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Roman"/>
      <w:start w:val="1"/>
    </w:lvl>
  </w:abstractNum>
  <w:abstractNum w:abstractNumId="2">
    <w:nsid w:val="238E1F29"/>
    <w:multiLevelType w:val="hybridMultilevel"/>
    <w:lvl w:ilvl="0">
      <w:lvlJc w:val="left"/>
      <w:lvlText w:val="(%1)"/>
      <w:numFmt w:val="lowerRoman"/>
      <w:start w:val="1"/>
    </w:lvl>
  </w:abstractNum>
  <w:abstractNum w:abstractNumId="3">
    <w:nsid w:val="46E87CCD"/>
    <w:multiLevelType w:val="hybridMultilevel"/>
    <w:lvl w:ilvl="0">
      <w:lvlJc w:val="left"/>
      <w:lvlText w:val="(%1)"/>
      <w:numFmt w:val="lowerRoman"/>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2024-02-14T12:59:16Z</dcterms:created>
  <dcterms:modified xsi:type="dcterms:W3CDTF">2024-02-14T12:59:16Z</dcterms:modified>
</cp:coreProperties>
</file>