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1, 2021</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340" w:type="dxa"/>
            <w:vAlign w:val="bottom"/>
            <w:gridSpan w:val="4"/>
          </w:tcPr>
          <w:p>
            <w:pPr>
              <w:jc w:val="center"/>
              <w:ind w:right="980"/>
              <w:spacing w:after="0"/>
              <w:rPr>
                <w:sz w:val="20"/>
                <w:szCs w:val="20"/>
                <w:color w:val="auto"/>
              </w:rPr>
            </w:pPr>
            <w:r>
              <w:rPr>
                <w:rFonts w:ascii="Arial" w:cs="Arial" w:eastAsia="Arial" w:hAnsi="Arial"/>
                <w:sz w:val="18"/>
                <w:szCs w:val="18"/>
                <w:b w:val="1"/>
                <w:bCs w:val="1"/>
                <w:color w:val="auto"/>
              </w:rPr>
              <w:t>AGRIFY CORPORATION</w:t>
            </w:r>
          </w:p>
        </w:tc>
        <w:tc>
          <w:tcPr>
            <w:tcW w:w="3460" w:type="dxa"/>
            <w:vAlign w:val="bottom"/>
          </w:tcPr>
          <w:p>
            <w:pPr>
              <w:spacing w:after="0"/>
              <w:rPr>
                <w:sz w:val="20"/>
                <w:szCs w:val="20"/>
                <w:color w:val="auto"/>
              </w:rPr>
            </w:pPr>
          </w:p>
        </w:tc>
      </w:tr>
      <w:tr>
        <w:trPr>
          <w:trHeight w:val="432"/>
        </w:trPr>
        <w:tc>
          <w:tcPr>
            <w:tcW w:w="7780" w:type="dxa"/>
            <w:vAlign w:val="bottom"/>
            <w:gridSpan w:val="7"/>
          </w:tcPr>
          <w:p>
            <w:pPr>
              <w:jc w:val="center"/>
              <w:ind w:left="3370"/>
              <w:spacing w:after="0"/>
              <w:rPr>
                <w:sz w:val="20"/>
                <w:szCs w:val="20"/>
                <w:color w:val="auto"/>
              </w:rPr>
            </w:pPr>
            <w:r>
              <w:rPr>
                <w:rFonts w:ascii="Arial" w:cs="Arial" w:eastAsia="Arial" w:hAnsi="Arial"/>
                <w:sz w:val="18"/>
                <w:szCs w:val="18"/>
                <w:color w:val="auto"/>
                <w:w w:val="90"/>
              </w:rPr>
              <w:t>(Exact name of registrant as specified in its charter)</w:t>
            </w:r>
          </w:p>
        </w:tc>
        <w:tc>
          <w:tcPr>
            <w:tcW w:w="3460" w:type="dxa"/>
            <w:vAlign w:val="bottom"/>
          </w:tcPr>
          <w:p>
            <w:pPr>
              <w:spacing w:after="0"/>
              <w:rPr>
                <w:sz w:val="24"/>
                <w:szCs w:val="24"/>
                <w:color w:val="auto"/>
              </w:rPr>
            </w:pPr>
          </w:p>
        </w:tc>
      </w:tr>
      <w:tr>
        <w:trPr>
          <w:trHeight w:val="439"/>
        </w:trPr>
        <w:tc>
          <w:tcPr>
            <w:tcW w:w="444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90"/>
              </w:rPr>
              <w:t>Nevada</w:t>
            </w:r>
          </w:p>
        </w:tc>
        <w:tc>
          <w:tcPr>
            <w:tcW w:w="3220" w:type="dxa"/>
            <w:vAlign w:val="bottom"/>
            <w:gridSpan w:val="3"/>
          </w:tcPr>
          <w:p>
            <w:pPr>
              <w:jc w:val="right"/>
              <w:ind w:right="1460"/>
              <w:spacing w:after="0"/>
              <w:rPr>
                <w:sz w:val="20"/>
                <w:szCs w:val="20"/>
                <w:color w:val="auto"/>
              </w:rPr>
            </w:pPr>
            <w:r>
              <w:rPr>
                <w:rFonts w:ascii="Arial" w:cs="Arial" w:eastAsia="Arial" w:hAnsi="Arial"/>
                <w:sz w:val="18"/>
                <w:szCs w:val="18"/>
                <w:b w:val="1"/>
                <w:bCs w:val="1"/>
                <w:color w:val="auto"/>
              </w:rPr>
              <w:t>001-39946</w:t>
            </w:r>
          </w:p>
        </w:tc>
        <w:tc>
          <w:tcPr>
            <w:tcW w:w="1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9"/>
              </w:rPr>
              <w:t>30-0943453</w:t>
            </w:r>
          </w:p>
        </w:tc>
      </w:tr>
      <w:tr>
        <w:trPr>
          <w:trHeight w:val="202"/>
        </w:trPr>
        <w:tc>
          <w:tcPr>
            <w:tcW w:w="38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gridSpan w:val="3"/>
          </w:tcPr>
          <w:p>
            <w:pPr>
              <w:jc w:val="center"/>
              <w:ind w:right="480"/>
              <w:spacing w:after="0" w:line="201" w:lineRule="exact"/>
              <w:rPr>
                <w:sz w:val="20"/>
                <w:szCs w:val="20"/>
                <w:color w:val="auto"/>
              </w:rPr>
            </w:pPr>
            <w:r>
              <w:rPr>
                <w:rFonts w:ascii="Arial" w:cs="Arial" w:eastAsia="Arial" w:hAnsi="Arial"/>
                <w:sz w:val="18"/>
                <w:szCs w:val="18"/>
                <w:color w:val="auto"/>
                <w:w w:val="92"/>
              </w:rPr>
              <w:t>(Commission File Number)</w:t>
            </w:r>
          </w:p>
        </w:tc>
        <w:tc>
          <w:tcPr>
            <w:tcW w:w="120" w:type="dxa"/>
            <w:vAlign w:val="bottom"/>
          </w:tcPr>
          <w:p>
            <w:pPr>
              <w:spacing w:after="0"/>
              <w:rPr>
                <w:sz w:val="17"/>
                <w:szCs w:val="17"/>
                <w:color w:val="auto"/>
              </w:rPr>
            </w:pPr>
          </w:p>
        </w:tc>
        <w:tc>
          <w:tcPr>
            <w:tcW w:w="34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440" w:type="dxa"/>
            <w:vAlign w:val="bottom"/>
            <w:gridSpan w:val="3"/>
          </w:tcPr>
          <w:p>
            <w:pPr>
              <w:jc w:val="center"/>
              <w:ind w:right="600"/>
              <w:spacing w:after="0"/>
              <w:rPr>
                <w:sz w:val="20"/>
                <w:szCs w:val="20"/>
                <w:color w:val="auto"/>
              </w:rPr>
            </w:pPr>
            <w:r>
              <w:rPr>
                <w:rFonts w:ascii="Arial" w:cs="Arial" w:eastAsia="Arial" w:hAnsi="Arial"/>
                <w:sz w:val="18"/>
                <w:szCs w:val="18"/>
                <w:color w:val="auto"/>
                <w:w w:val="92"/>
              </w:rPr>
              <w:t>incorporation or organization)</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440" w:type="dxa"/>
            <w:vAlign w:val="bottom"/>
            <w:gridSpan w:val="3"/>
          </w:tcPr>
          <w:p>
            <w:pPr>
              <w:jc w:val="center"/>
              <w:ind w:left="1210"/>
              <w:spacing w:after="0"/>
              <w:rPr>
                <w:sz w:val="20"/>
                <w:szCs w:val="20"/>
                <w:color w:val="auto"/>
              </w:rPr>
            </w:pPr>
            <w:r>
              <w:rPr>
                <w:rFonts w:ascii="Arial" w:cs="Arial" w:eastAsia="Arial" w:hAnsi="Arial"/>
                <w:sz w:val="18"/>
                <w:szCs w:val="18"/>
                <w:b w:val="1"/>
                <w:bCs w:val="1"/>
                <w:color w:val="auto"/>
                <w:w w:val="91"/>
              </w:rPr>
              <w:t>101 Middlesex Turnpike</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16"/>
        </w:trPr>
        <w:tc>
          <w:tcPr>
            <w:tcW w:w="4440" w:type="dxa"/>
            <w:vAlign w:val="bottom"/>
            <w:gridSpan w:val="3"/>
          </w:tcPr>
          <w:p>
            <w:pPr>
              <w:jc w:val="center"/>
              <w:ind w:left="1230"/>
              <w:spacing w:after="0"/>
              <w:rPr>
                <w:sz w:val="20"/>
                <w:szCs w:val="20"/>
                <w:color w:val="auto"/>
              </w:rPr>
            </w:pPr>
            <w:r>
              <w:rPr>
                <w:rFonts w:ascii="Arial" w:cs="Arial" w:eastAsia="Arial" w:hAnsi="Arial"/>
                <w:sz w:val="18"/>
                <w:szCs w:val="18"/>
                <w:b w:val="1"/>
                <w:bCs w:val="1"/>
                <w:color w:val="auto"/>
                <w:w w:val="91"/>
              </w:rPr>
              <w:t>Suite 6, PMB 326</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41"/>
        </w:trPr>
        <w:tc>
          <w:tcPr>
            <w:tcW w:w="4440" w:type="dxa"/>
            <w:vAlign w:val="bottom"/>
            <w:tcBorders>
              <w:bottom w:val="single" w:sz="8" w:color="auto"/>
            </w:tcBorders>
            <w:gridSpan w:val="3"/>
          </w:tcPr>
          <w:p>
            <w:pPr>
              <w:jc w:val="center"/>
              <w:ind w:left="1230"/>
              <w:spacing w:after="0"/>
              <w:rPr>
                <w:sz w:val="20"/>
                <w:szCs w:val="20"/>
                <w:color w:val="auto"/>
              </w:rPr>
            </w:pPr>
            <w:r>
              <w:rPr>
                <w:rFonts w:ascii="Arial" w:cs="Arial" w:eastAsia="Arial" w:hAnsi="Arial"/>
                <w:sz w:val="18"/>
                <w:szCs w:val="18"/>
                <w:b w:val="1"/>
                <w:bCs w:val="1"/>
                <w:color w:val="auto"/>
                <w:w w:val="96"/>
              </w:rPr>
              <w:t>Burlington, MA</w:t>
            </w:r>
          </w:p>
        </w:tc>
        <w:tc>
          <w:tcPr>
            <w:tcW w:w="1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jc w:val="right"/>
              <w:ind w:right="2370"/>
              <w:spacing w:after="0"/>
              <w:rPr>
                <w:sz w:val="20"/>
                <w:szCs w:val="20"/>
                <w:color w:val="auto"/>
              </w:rPr>
            </w:pPr>
            <w:r>
              <w:rPr>
                <w:rFonts w:ascii="Arial" w:cs="Arial" w:eastAsia="Arial" w:hAnsi="Arial"/>
                <w:sz w:val="18"/>
                <w:szCs w:val="18"/>
                <w:b w:val="1"/>
                <w:bCs w:val="1"/>
                <w:color w:val="auto"/>
              </w:rPr>
              <w:t>01803</w:t>
            </w:r>
          </w:p>
        </w:tc>
      </w:tr>
      <w:tr>
        <w:trPr>
          <w:trHeight w:val="230"/>
        </w:trPr>
        <w:tc>
          <w:tcPr>
            <w:tcW w:w="4440" w:type="dxa"/>
            <w:vAlign w:val="bottom"/>
            <w:gridSpan w:val="3"/>
          </w:tcPr>
          <w:p>
            <w:pPr>
              <w:jc w:val="center"/>
              <w:ind w:left="1210"/>
              <w:spacing w:after="0"/>
              <w:rPr>
                <w:sz w:val="20"/>
                <w:szCs w:val="20"/>
                <w:color w:val="auto"/>
              </w:rPr>
            </w:pPr>
            <w:r>
              <w:rPr>
                <w:rFonts w:ascii="Arial" w:cs="Arial" w:eastAsia="Arial" w:hAnsi="Arial"/>
                <w:sz w:val="18"/>
                <w:szCs w:val="18"/>
                <w:color w:val="auto"/>
                <w:w w:val="92"/>
              </w:rPr>
              <w:t>(Address of principal executive offices)</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jc w:val="center"/>
              <w:ind w:right="185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896-5243</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60" w:firstLine="8"/>
        <w:spacing w:after="0" w:line="500" w:lineRule="auto"/>
        <w:tabs>
          <w:tab w:leader="none" w:pos="3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080" w:type="dxa"/>
            <w:vAlign w:val="bottom"/>
            <w:gridSpan w:val="2"/>
          </w:tcPr>
          <w:p>
            <w:pPr>
              <w:ind w:left="1840"/>
              <w:spacing w:after="0"/>
              <w:rPr>
                <w:sz w:val="20"/>
                <w:szCs w:val="20"/>
                <w:color w:val="auto"/>
              </w:rPr>
            </w:pPr>
            <w:r>
              <w:rPr>
                <w:rFonts w:ascii="Arial" w:cs="Arial" w:eastAsia="Arial" w:hAnsi="Arial"/>
                <w:sz w:val="18"/>
                <w:szCs w:val="18"/>
                <w:color w:val="auto"/>
              </w:rPr>
              <w:t>Title of each class</w:t>
            </w: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Ticker symbol(s)</w:t>
            </w:r>
          </w:p>
        </w:tc>
        <w:tc>
          <w:tcPr>
            <w:tcW w:w="3700" w:type="dxa"/>
            <w:vAlign w:val="bottom"/>
          </w:tcPr>
          <w:p>
            <w:pPr>
              <w:ind w:left="260"/>
              <w:spacing w:after="0"/>
              <w:rPr>
                <w:sz w:val="20"/>
                <w:szCs w:val="20"/>
                <w:color w:val="auto"/>
              </w:rPr>
            </w:pPr>
            <w:r>
              <w:rPr>
                <w:rFonts w:ascii="Arial" w:cs="Arial" w:eastAsia="Arial" w:hAnsi="Arial"/>
                <w:sz w:val="18"/>
                <w:szCs w:val="18"/>
                <w:color w:val="auto"/>
                <w:w w:val="96"/>
              </w:rPr>
              <w:t>Name of each exchange on which registered</w:t>
            </w:r>
          </w:p>
        </w:tc>
      </w:tr>
      <w:tr>
        <w:trPr>
          <w:trHeight w:val="216"/>
        </w:trPr>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Common Stock, par value $0.001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AGFY</w:t>
            </w: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The NASDAQ Capital Market</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828675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 2021, Agrify Corporation (the “Company”) issued a press release announcing financial results for the year ended December 31, 2020. A copy of the release is attached as Exhibit 99.1.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furnished herein,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17145</wp:posOffset>
            </wp:positionV>
            <wp:extent cx="6429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9375" cy="8255"/>
                    </a:xfrm>
                    <a:prstGeom prst="rect">
                      <a:avLst/>
                    </a:prstGeom>
                    <a:noFill/>
                  </pic:spPr>
                </pic:pic>
              </a:graphicData>
            </a:graphic>
          </wp:anchor>
        </w:drawing>
      </w:r>
    </w:p>
    <w:p>
      <w:pPr>
        <w:spacing w:after="0" w:line="223" w:lineRule="exact"/>
        <w:rPr>
          <w:sz w:val="20"/>
          <w:szCs w:val="20"/>
          <w:color w:val="auto"/>
        </w:rPr>
      </w:pPr>
    </w:p>
    <w:p>
      <w:pPr>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Agrify Corporation dated April 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60" w:type="dxa"/>
            <w:vAlign w:val="bottom"/>
            <w:gridSpan w:val="3"/>
          </w:tcPr>
          <w:p>
            <w:pPr>
              <w:ind w:left="3280"/>
              <w:spacing w:after="0"/>
              <w:rPr>
                <w:sz w:val="20"/>
                <w:szCs w:val="20"/>
                <w:color w:val="auto"/>
              </w:rPr>
            </w:pPr>
            <w:r>
              <w:rPr>
                <w:rFonts w:ascii="Arial" w:cs="Arial" w:eastAsia="Arial" w:hAnsi="Arial"/>
                <w:sz w:val="18"/>
                <w:szCs w:val="18"/>
                <w:b w:val="1"/>
                <w:bCs w:val="1"/>
                <w:color w:val="auto"/>
              </w:rPr>
              <w:t>AGRIFY CORPORATION</w:t>
            </w:r>
          </w:p>
        </w:tc>
      </w:tr>
      <w:tr>
        <w:trPr>
          <w:trHeight w:val="439"/>
        </w:trPr>
        <w:tc>
          <w:tcPr>
            <w:tcW w:w="3480" w:type="dxa"/>
            <w:vAlign w:val="bottom"/>
          </w:tcPr>
          <w:p>
            <w:pPr>
              <w:spacing w:after="0"/>
              <w:rPr>
                <w:sz w:val="20"/>
                <w:szCs w:val="20"/>
                <w:color w:val="auto"/>
              </w:rPr>
            </w:pPr>
            <w:r>
              <w:rPr>
                <w:rFonts w:ascii="Arial" w:cs="Arial" w:eastAsia="Arial" w:hAnsi="Arial"/>
                <w:sz w:val="18"/>
                <w:szCs w:val="18"/>
                <w:color w:val="auto"/>
              </w:rPr>
              <w:t>Date: April 1, 2021</w:t>
            </w:r>
          </w:p>
        </w:tc>
        <w:tc>
          <w:tcPr>
            <w:tcW w:w="3800" w:type="dxa"/>
            <w:vAlign w:val="bottom"/>
          </w:tcPr>
          <w:p>
            <w:pPr>
              <w:ind w:left="3280"/>
              <w:spacing w:after="0"/>
              <w:rPr>
                <w:sz w:val="20"/>
                <w:szCs w:val="20"/>
                <w:color w:val="auto"/>
              </w:rPr>
            </w:pPr>
            <w:r>
              <w:rPr>
                <w:rFonts w:ascii="Arial" w:cs="Arial" w:eastAsia="Arial" w:hAnsi="Arial"/>
                <w:sz w:val="18"/>
                <w:szCs w:val="18"/>
                <w:color w:val="auto"/>
              </w:rPr>
              <w:t>By:</w:t>
            </w:r>
          </w:p>
        </w:tc>
        <w:tc>
          <w:tcPr>
            <w:tcW w:w="3960" w:type="dxa"/>
            <w:vAlign w:val="bottom"/>
            <w:gridSpan w:val="2"/>
          </w:tcPr>
          <w:p>
            <w:pPr>
              <w:ind w:left="40"/>
              <w:spacing w:after="0"/>
              <w:rPr>
                <w:sz w:val="20"/>
                <w:szCs w:val="20"/>
                <w:color w:val="auto"/>
              </w:rPr>
            </w:pPr>
            <w:r>
              <w:rPr>
                <w:rFonts w:ascii="Arial" w:cs="Arial" w:eastAsia="Arial" w:hAnsi="Arial"/>
                <w:sz w:val="18"/>
                <w:szCs w:val="18"/>
                <w:color w:val="auto"/>
              </w:rPr>
              <w:t>/s/ Niv Krikov</w:t>
            </w:r>
          </w:p>
        </w:tc>
      </w:tr>
      <w:tr>
        <w:trPr>
          <w:trHeight w:val="202"/>
        </w:trPr>
        <w:tc>
          <w:tcPr>
            <w:tcW w:w="3480" w:type="dxa"/>
            <w:vAlign w:val="bottom"/>
          </w:tcPr>
          <w:p>
            <w:pPr>
              <w:spacing w:after="0"/>
              <w:rPr>
                <w:sz w:val="17"/>
                <w:szCs w:val="17"/>
                <w:color w:val="auto"/>
              </w:rPr>
            </w:pPr>
          </w:p>
        </w:tc>
        <w:tc>
          <w:tcPr>
            <w:tcW w:w="3800" w:type="dxa"/>
            <w:vAlign w:val="bottom"/>
          </w:tcPr>
          <w:p>
            <w:pPr>
              <w:ind w:left="3280"/>
              <w:spacing w:after="0" w:line="201" w:lineRule="exact"/>
              <w:rPr>
                <w:sz w:val="20"/>
                <w:szCs w:val="20"/>
                <w:color w:val="auto"/>
              </w:rPr>
            </w:pPr>
            <w:r>
              <w:rPr>
                <w:rFonts w:ascii="Arial" w:cs="Arial" w:eastAsia="Arial" w:hAnsi="Arial"/>
                <w:sz w:val="18"/>
                <w:szCs w:val="18"/>
                <w:color w:val="auto"/>
                <w:w w:val="94"/>
              </w:rPr>
              <w:t>Name:</w:t>
            </w:r>
          </w:p>
        </w:tc>
        <w:tc>
          <w:tcPr>
            <w:tcW w:w="40" w:type="dxa"/>
            <w:vAlign w:val="bottom"/>
          </w:tcPr>
          <w:p>
            <w:pPr>
              <w:spacing w:after="0"/>
              <w:rPr>
                <w:sz w:val="17"/>
                <w:szCs w:val="17"/>
                <w:color w:val="auto"/>
              </w:rPr>
            </w:pPr>
          </w:p>
        </w:tc>
        <w:tc>
          <w:tcPr>
            <w:tcW w:w="392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rPr>
              <w:t>Niv Krikov</w:t>
            </w:r>
          </w:p>
        </w:tc>
      </w:tr>
      <w:tr>
        <w:trPr>
          <w:trHeight w:val="230"/>
        </w:trPr>
        <w:tc>
          <w:tcPr>
            <w:tcW w:w="3480" w:type="dxa"/>
            <w:vAlign w:val="bottom"/>
          </w:tcPr>
          <w:p>
            <w:pPr>
              <w:spacing w:after="0"/>
              <w:rPr>
                <w:sz w:val="20"/>
                <w:szCs w:val="20"/>
                <w:color w:val="auto"/>
              </w:rPr>
            </w:pPr>
          </w:p>
        </w:tc>
        <w:tc>
          <w:tcPr>
            <w:tcW w:w="3800" w:type="dxa"/>
            <w:vAlign w:val="bottom"/>
          </w:tcPr>
          <w:p>
            <w:pPr>
              <w:ind w:left="3280"/>
              <w:spacing w:after="0"/>
              <w:rPr>
                <w:sz w:val="20"/>
                <w:szCs w:val="20"/>
                <w:color w:val="auto"/>
              </w:rPr>
            </w:pPr>
            <w:r>
              <w:rPr>
                <w:rFonts w:ascii="Arial" w:cs="Arial" w:eastAsia="Arial" w:hAnsi="Arial"/>
                <w:sz w:val="18"/>
                <w:szCs w:val="18"/>
                <w:color w:val="auto"/>
              </w:rPr>
              <w:t>Title:</w:t>
            </w:r>
          </w:p>
        </w:tc>
        <w:tc>
          <w:tcPr>
            <w:tcW w:w="396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r>
      <w:tr>
        <w:trPr>
          <w:trHeight w:val="547"/>
        </w:trPr>
        <w:tc>
          <w:tcPr>
            <w:tcW w:w="34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165735</wp:posOffset>
            </wp:positionV>
            <wp:extent cx="1611630"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1163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Announces Record FY 2020 Annual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Full Year 2020 revenue nearly tripled year-over-year to $12.1 million</w:t>
      </w: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BURLINGTON, Mass., April 1, 2021 - </w:t>
      </w:r>
      <w:r>
        <w:rPr>
          <w:rFonts w:ascii="Arial" w:cs="Arial" w:eastAsia="Arial" w:hAnsi="Arial"/>
          <w:sz w:val="18"/>
          <w:szCs w:val="18"/>
          <w:u w:val="single" w:color="auto"/>
          <w:color w:val="auto"/>
        </w:rPr>
        <w:t>Agrify Corporation</w:t>
      </w:r>
      <w:r>
        <w:rPr>
          <w:rFonts w:ascii="Arial" w:cs="Arial" w:eastAsia="Arial" w:hAnsi="Arial"/>
          <w:sz w:val="18"/>
          <w:szCs w:val="18"/>
          <w:color w:val="auto"/>
        </w:rPr>
        <w:t xml:space="preserve"> (NasdaqCM:AGFY) (“Agrify” or the “Company”), a developer of highly advanced and proprietary precision hardware and software grow solutions for the indoor agriculture marketplace, today reported financial results for its fourth quarter and year ended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increased 195.7% to $12.1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Began realizing higher-margin SaaS revenue as customers commenced operations utilizing the Agrify Insights™ software solution</w:t>
      </w:r>
    </w:p>
    <w:p>
      <w:pPr>
        <w:spacing w:after="0" w:line="225"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Completed the development of and started taking pre-orders for the newest generation of Agrify’s Vertical Farming Units (“VFUs”), which offer improved lighting efficiency, greater light output, and a wider range of environmental control and reproduction, furthering the Company’s mission to deliver consistency to the industry</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Acquired TriGrow Systems, Inc., which was the exclusive distributor of Agrify’s indoor grow solutions, giving Agrify full control of sales, product marketing, and customer relationships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Acquired Harbor Mountain Holdings, LLC (“HMH”), an agile manufacturer and installer of many of Agrify’s products, giving Agrify direct access to HMH’s research and development, testing, and flexible manufacturing plant located just outside Atlanta, GA, along with key engineering talent and equipment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pleased with the growth we achieved in 2020,” said Raymond Chang, Chief Executive Officer of Agrify. “On many fronts, last year was a pivotal turning point for Agrify. We successfully executed several strategic initiatives such as accelerating market adoption, focusing on customer success, and building our team, and all of these efforts provide us with the opportunity to deliver sustained revenue growth and profitability. Additionally, we advanced our technology and software platforms and expanded our customer offerings, which enabled us to significantly increase our order backlog and sales pipeline.”</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we look towards 2021, we note that we have already made progress on a number of key initiatives, including launching our Agrify TTK Solution, the industry’s first total turn-key solution. Through this program, we aim to help our customers by providing them with access to capital, leading-edge technology, and the industry expertise they need to consistently cultivate high-quality products. This should enable our customers to get to market faster, with consistent, high-quality products that are grown in a controlled and replicable environment, all at a lower cost of production. We passionately believe this new partnership opportunity will be highly desirable to customers in this rapidly evolving industry, which is experiencing a favorable shift in the regulatory landscape. We are seeing many positive signs of potential cannabis reform in new markets, and as demand continues to grow, we believe there will be an increasing number of potential customers looking to partner with us due to our premium solutions. The Agrify TKK Solution especially enables us to partner with customers early and help establish their cultivation systems to position them as well as ourselves for long-term growth, together.”</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Chang concluded, “I would like to thank each member of the Agrify team for their hard work and dedication. All of their efforts have set Agrify up for a great year in 2021. With the right team and technology, combined with a strong balance sheet and significant customer pipeline, we are well-positioned in our drive to capture additional market share and to enhance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Key 2021 Developments, To Date</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initial public offering and listing on the NASDAQ under the symbol AGFY</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Raised approximately $147 million in total net proceeds from our initial public offering and a subsequent secondary offering, including two over-allotments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Integrated Metrc with Agrify Insights™ software platform, adding regulatory tracking and compliance functionality in several states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Established a partnership with Confident Cannabis, the only cannabis B2B wholesale platform powered by verified lab data, to integrate Confident Cannabis’ lab data with the Agrify Insights™ software platform, enabling cultivators to enhance certain processes to optimize the chemical composition of plants</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Expanded relationship with Hannah Industries by entering into a binding letter of intent for an additional $3 million contract encompassing facility build-out and installation of 179 VFUs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Appointed industry veteran, Stuart Wilcox, former Curaleaf Chief Operating Officer, to the Agrify Board of Directors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Entered into a binding letter of intent to establish a partnership with Atlantis Hydroponics to build-out a research and development facility focused on the hemp market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Introduced an enhanced comprehensive customer offering with the launch of the Agrify Total Turn-Key Solution (“Agrify TTK Solution”) and currently engaged in advanced discussions on multiple potential customer opportunities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Arial" w:cs="Arial" w:eastAsia="Arial" w:hAnsi="Arial"/>
                <w:sz w:val="18"/>
                <w:szCs w:val="18"/>
                <w:b w:val="1"/>
                <w:bCs w:val="1"/>
                <w:color w:val="auto"/>
              </w:rPr>
              <w:t>Financial Summary</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jc w:val="right"/>
              <w:ind w:right="700"/>
              <w:spacing w:after="0"/>
              <w:rPr>
                <w:sz w:val="20"/>
                <w:szCs w:val="20"/>
                <w:color w:val="auto"/>
              </w:rPr>
            </w:pPr>
            <w:r>
              <w:rPr>
                <w:rFonts w:ascii="Arial" w:cs="Arial" w:eastAsia="Arial" w:hAnsi="Arial"/>
                <w:sz w:val="18"/>
                <w:szCs w:val="18"/>
                <w:color w:val="auto"/>
              </w:rPr>
              <w:t>Twelve Months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5"/>
          </w:tcPr>
          <w:p>
            <w:pPr>
              <w:jc w:val="right"/>
              <w:ind w:right="66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02"/>
        </w:trPr>
        <w:tc>
          <w:tcPr>
            <w:tcW w:w="5760" w:type="dxa"/>
            <w:vAlign w:val="bottom"/>
            <w:vMerge w:val="restart"/>
          </w:tcPr>
          <w:p>
            <w:pPr>
              <w:spacing w:after="0"/>
              <w:rPr>
                <w:sz w:val="20"/>
                <w:szCs w:val="20"/>
                <w:color w:val="auto"/>
              </w:rPr>
            </w:pPr>
            <w:r>
              <w:rPr>
                <w:rFonts w:ascii="Arial" w:cs="Arial" w:eastAsia="Arial" w:hAnsi="Arial"/>
                <w:sz w:val="18"/>
                <w:szCs w:val="18"/>
                <w:color w:val="auto"/>
              </w:rPr>
              <w:t>(in $USD 000’s)</w:t>
            </w: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560"/>
              <w:spacing w:after="0" w:line="201" w:lineRule="exact"/>
              <w:rPr>
                <w:sz w:val="20"/>
                <w:szCs w:val="20"/>
                <w:color w:val="auto"/>
              </w:rPr>
            </w:pPr>
            <w:r>
              <w:rPr>
                <w:rFonts w:ascii="Arial" w:cs="Arial" w:eastAsia="Arial" w:hAnsi="Arial"/>
                <w:sz w:val="18"/>
                <w:szCs w:val="18"/>
                <w:color w:val="auto"/>
                <w:w w:val="99"/>
              </w:rPr>
              <w:t>Dec. 31</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90"/>
              <w:spacing w:after="0" w:line="201" w:lineRule="exact"/>
              <w:rPr>
                <w:sz w:val="20"/>
                <w:szCs w:val="20"/>
                <w:color w:val="auto"/>
              </w:rPr>
            </w:pPr>
            <w:r>
              <w:rPr>
                <w:rFonts w:ascii="Arial" w:cs="Arial" w:eastAsia="Arial" w:hAnsi="Arial"/>
                <w:sz w:val="18"/>
                <w:szCs w:val="18"/>
                <w:color w:val="auto"/>
                <w:w w:val="99"/>
              </w:rPr>
              <w:t>Dec. 31</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540"/>
              <w:spacing w:after="0" w:line="201" w:lineRule="exact"/>
              <w:rPr>
                <w:sz w:val="20"/>
                <w:szCs w:val="20"/>
                <w:color w:val="auto"/>
              </w:rPr>
            </w:pPr>
            <w:r>
              <w:rPr>
                <w:rFonts w:ascii="Arial" w:cs="Arial" w:eastAsia="Arial" w:hAnsi="Arial"/>
                <w:sz w:val="18"/>
                <w:szCs w:val="18"/>
                <w:color w:val="auto"/>
                <w:w w:val="90"/>
              </w:rPr>
              <w:t>Dec. 31</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90"/>
              <w:spacing w:after="0" w:line="201" w:lineRule="exact"/>
              <w:rPr>
                <w:sz w:val="20"/>
                <w:szCs w:val="20"/>
                <w:color w:val="auto"/>
              </w:rPr>
            </w:pPr>
            <w:r>
              <w:rPr>
                <w:rFonts w:ascii="Arial" w:cs="Arial" w:eastAsia="Arial" w:hAnsi="Arial"/>
                <w:sz w:val="18"/>
                <w:szCs w:val="18"/>
                <w:color w:val="auto"/>
                <w:w w:val="99"/>
              </w:rPr>
              <w:t>Dec. 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7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12,087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4,088</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b w:val="1"/>
                <w:bCs w:val="1"/>
                <w:color w:val="auto"/>
              </w:rPr>
              <w:t>Gross Profit (loss)</w:t>
            </w: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570</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(290)</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13,186</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2,846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3,854</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1,939</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9,832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2,892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Research &amp; Development</w:t>
            </w: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3,354</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962</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Agrify Corporation*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(21,617)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(3,042)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(13,055)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Adjusted EBIDTA</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2720" w:type="dxa"/>
            <w:vAlign w:val="bottom"/>
            <w:gridSpan w:val="4"/>
          </w:tcPr>
          <w:p>
            <w:pPr>
              <w:jc w:val="right"/>
              <w:ind w:right="660"/>
              <w:spacing w:after="0"/>
              <w:rPr>
                <w:sz w:val="20"/>
                <w:szCs w:val="20"/>
                <w:color w:val="auto"/>
              </w:rPr>
            </w:pPr>
            <w:r>
              <w:rPr>
                <w:rFonts w:ascii="Arial" w:cs="Arial" w:eastAsia="Arial" w:hAnsi="Arial"/>
                <w:sz w:val="18"/>
                <w:szCs w:val="18"/>
                <w:color w:val="auto"/>
              </w:rPr>
              <w:t>Twelve Months Ended</w:t>
            </w:r>
          </w:p>
        </w:tc>
        <w:tc>
          <w:tcPr>
            <w:tcW w:w="2540" w:type="dxa"/>
            <w:vAlign w:val="bottom"/>
            <w:gridSpan w:val="4"/>
          </w:tcPr>
          <w:p>
            <w:pPr>
              <w:jc w:val="right"/>
              <w:ind w:right="56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02"/>
        </w:trPr>
        <w:tc>
          <w:tcPr>
            <w:tcW w:w="5980" w:type="dxa"/>
            <w:vAlign w:val="bottom"/>
            <w:vMerge w:val="restart"/>
          </w:tcPr>
          <w:p>
            <w:pPr>
              <w:spacing w:after="0"/>
              <w:rPr>
                <w:sz w:val="20"/>
                <w:szCs w:val="20"/>
                <w:color w:val="auto"/>
              </w:rPr>
            </w:pPr>
            <w:r>
              <w:rPr>
                <w:rFonts w:ascii="Arial" w:cs="Arial" w:eastAsia="Arial" w:hAnsi="Arial"/>
                <w:sz w:val="18"/>
                <w:szCs w:val="18"/>
                <w:color w:val="auto"/>
              </w:rPr>
              <w:t>(in $USD 000’s)</w:t>
            </w:r>
          </w:p>
        </w:tc>
        <w:tc>
          <w:tcPr>
            <w:tcW w:w="1380" w:type="dxa"/>
            <w:vAlign w:val="bottom"/>
            <w:tcBorders>
              <w:top w:val="single" w:sz="8" w:color="auto"/>
            </w:tcBorders>
            <w:gridSpan w:val="2"/>
          </w:tcPr>
          <w:p>
            <w:pPr>
              <w:jc w:val="center"/>
              <w:ind w:right="300"/>
              <w:spacing w:after="0" w:line="201" w:lineRule="exact"/>
              <w:rPr>
                <w:sz w:val="20"/>
                <w:szCs w:val="20"/>
                <w:color w:val="auto"/>
              </w:rPr>
            </w:pPr>
            <w:r>
              <w:rPr>
                <w:rFonts w:ascii="Arial" w:cs="Arial" w:eastAsia="Arial" w:hAnsi="Arial"/>
                <w:sz w:val="18"/>
                <w:szCs w:val="18"/>
                <w:color w:val="auto"/>
                <w:w w:val="90"/>
              </w:rPr>
              <w:t>Dec. 31</w:t>
            </w:r>
          </w:p>
        </w:tc>
        <w:tc>
          <w:tcPr>
            <w:tcW w:w="1120" w:type="dxa"/>
            <w:vAlign w:val="bottom"/>
            <w:tcBorders>
              <w:top w:val="single" w:sz="8" w:color="auto"/>
            </w:tcBorders>
          </w:tcPr>
          <w:p>
            <w:pPr>
              <w:jc w:val="right"/>
              <w:ind w:right="210"/>
              <w:spacing w:after="0" w:line="201" w:lineRule="exact"/>
              <w:rPr>
                <w:sz w:val="20"/>
                <w:szCs w:val="20"/>
                <w:color w:val="auto"/>
              </w:rPr>
            </w:pPr>
            <w:r>
              <w:rPr>
                <w:rFonts w:ascii="Arial" w:cs="Arial" w:eastAsia="Arial" w:hAnsi="Arial"/>
                <w:sz w:val="18"/>
                <w:szCs w:val="18"/>
                <w:color w:val="auto"/>
              </w:rPr>
              <w:t>Dec. 31</w:t>
            </w:r>
          </w:p>
        </w:tc>
        <w:tc>
          <w:tcPr>
            <w:tcW w:w="220" w:type="dxa"/>
            <w:vAlign w:val="bottom"/>
          </w:tcPr>
          <w:p>
            <w:pPr>
              <w:spacing w:after="0"/>
              <w:rPr>
                <w:sz w:val="17"/>
                <w:szCs w:val="17"/>
                <w:color w:val="auto"/>
              </w:rPr>
            </w:pPr>
          </w:p>
        </w:tc>
        <w:tc>
          <w:tcPr>
            <w:tcW w:w="1320" w:type="dxa"/>
            <w:vAlign w:val="bottom"/>
            <w:tcBorders>
              <w:top w:val="single" w:sz="8" w:color="auto"/>
            </w:tcBorders>
            <w:gridSpan w:val="2"/>
          </w:tcPr>
          <w:p>
            <w:pPr>
              <w:jc w:val="center"/>
              <w:ind w:right="200"/>
              <w:spacing w:after="0" w:line="201" w:lineRule="exact"/>
              <w:rPr>
                <w:sz w:val="20"/>
                <w:szCs w:val="20"/>
                <w:color w:val="auto"/>
              </w:rPr>
            </w:pPr>
            <w:r>
              <w:rPr>
                <w:rFonts w:ascii="Arial" w:cs="Arial" w:eastAsia="Arial" w:hAnsi="Arial"/>
                <w:sz w:val="18"/>
                <w:szCs w:val="18"/>
                <w:color w:val="auto"/>
                <w:w w:val="90"/>
              </w:rPr>
              <w:t>Dec. 31</w:t>
            </w:r>
          </w:p>
        </w:tc>
        <w:tc>
          <w:tcPr>
            <w:tcW w:w="1120" w:type="dxa"/>
            <w:vAlign w:val="bottom"/>
            <w:tcBorders>
              <w:top w:val="single" w:sz="8" w:color="auto"/>
            </w:tcBorders>
          </w:tcPr>
          <w:p>
            <w:pPr>
              <w:jc w:val="right"/>
              <w:ind w:right="210"/>
              <w:spacing w:after="0" w:line="201" w:lineRule="exact"/>
              <w:rPr>
                <w:sz w:val="20"/>
                <w:szCs w:val="20"/>
                <w:color w:val="auto"/>
              </w:rPr>
            </w:pPr>
            <w:r>
              <w:rPr>
                <w:rFonts w:ascii="Arial" w:cs="Arial" w:eastAsia="Arial" w:hAnsi="Arial"/>
                <w:sz w:val="18"/>
                <w:szCs w:val="18"/>
                <w:color w:val="auto"/>
              </w:rPr>
              <w:t>Dec.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Pro Forma Adjusted Net Income (Loss)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from continuing operations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(21,617)</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(3,042)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(13,055)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(1,841)</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expense (income), net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481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342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Loss on debt extinguishment (1)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5,618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5,618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 liabilities (2)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Stock-based compensation (3)</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1,921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1,118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write-off of and sale of fixed assets (4)</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Transaction costs (5)</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936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EBIDTA</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(8,400)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(2,972)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(2,822)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(1,773)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the elimination of loss on debt extinguishment for 2020.</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the elimination of loss from change in fair value of derivatives.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the elimination of the stock-based compensation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the elimination of loss from development of hardware solution and loss from sale of fixed assets.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costs related to our effort to become publicly listed and merger and acquisition.</w:t>
      </w:r>
    </w:p>
    <w:p>
      <w:pPr>
        <w:spacing w:after="0" w:line="211" w:lineRule="exact"/>
        <w:rPr>
          <w:sz w:val="20"/>
          <w:szCs w:val="20"/>
          <w:color w:val="auto"/>
        </w:rPr>
      </w:pPr>
    </w:p>
    <w:p>
      <w:pPr>
        <w:jc w:val="both"/>
        <w:ind w:left="340" w:hanging="332"/>
        <w:spacing w:after="0" w:line="271"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Net loss attributable to Agrify Corporation was impacted by non-cash expenses related to convertible promissory notes. During the fourth quarter of 2020, the Company modified the conversion terms of the then outstanding notes which resulted in a change in fair value of the new conversion features as compared to the conversion features immediately prior to the modification that exceeded 10% of the carrying amount of the debt, and as a result, the note modifications were accounted for as extinguishments. Accordingly, we recognized an aggregate loss on extinguishment of $5,618,000 for the difference between the net carrying amount of the extinguished debt of $10,038,000 (inclusive of $11,800,000 of principal, $4,170,000 of debt discount and $2,408,000 of derivative liabilities) and the reacquisition price of the debt in the same aggregate principal amount of $11,800,000, plus the fair value of the new notes’ conversion features of an aggregate of $3,856,000. All of the outstanding notes converted into an aggregate of 1,697,075 shares of our common stock on February 1, 2021, the closing date of our IPO.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report our financial results in accordance with generally accepted accounting principles in the United States (“GAAP”). However, management believes that certain non-GAAP financial measures provide investors with additional useful information in evaluating our performance and that excluding certain items that may vary substantially in frequency and magnitude period-to-period from net income (loss) provides useful supplemental measures that assist in evaluating our ability to generate earnings and to more readily compare these metrics between past and future periods. These non-GAAP financial measures may be different than similarly titled measures used by other companies.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supplement our audited consolidated financial statements which are prepared in accordance with GAAP, we use “Adjusted EBITDA”, which is a non-GAAP financial measure. Our non-GAAP financial measures should not be considered in isolation from, or as substitutes for, financial information prepared in accordance with GAAP. There are several limitations related to the use of our non-GAAP financial measures as compared to the closest comparable GAAP measures. Some of these limitations include: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Adjusted EBITDA as net income (loss) excluding interest expense, income taxes, depreciation and amortization, share-based compensation and other unusual and/or infrequent costs (i.e., change in fair value of derivatives liabilities, loss on debt extinguishment, one-time loss from write off and sale of fixed assets, costs associated with efforts to become public, acquisition related fees), which we do not consider in our evaluation of ongoing operating performance.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Management will host a conference call to review its financial results for the fourth quarter and year ended December 31, 2020 on April 1, 2021 at 8:30 a.m. Eastern Time (ET). The call will be hosted by Raymond Chang, Chief Executive Officer and Niv Krikov, Chief Financial Officer. All interested parties are invited to attend.</w:t>
      </w:r>
    </w:p>
    <w:p>
      <w:pPr>
        <w:sectPr>
          <w:pgSz w:w="11900" w:h="16838" w:orient="portrait"/>
          <w:cols w:equalWidth="0" w:num="1">
            <w:col w:w="11240"/>
          </w:cols>
          <w:pgMar w:left="320" w:top="904"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Thursday, April 1, 2021</w:t>
      </w:r>
    </w:p>
    <w:p>
      <w:pPr>
        <w:spacing w:after="0" w:line="211" w:lineRule="exact"/>
        <w:rPr>
          <w:sz w:val="20"/>
          <w:szCs w:val="20"/>
          <w:color w:val="auto"/>
        </w:rPr>
      </w:pPr>
    </w:p>
    <w:p>
      <w:pPr>
        <w:sectPr>
          <w:pgSz w:w="11900" w:h="16838" w:orient="portrait"/>
          <w:cols w:equalWidth="0" w:num="2">
            <w:col w:w="1520" w:space="720"/>
            <w:col w:w="9000"/>
          </w:cols>
          <w:pgMar w:left="320" w:top="904"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8:30 a.m. ET</w:t>
      </w:r>
    </w:p>
    <w:p>
      <w:pPr>
        <w:spacing w:after="0" w:line="222" w:lineRule="exact"/>
        <w:rPr>
          <w:sz w:val="20"/>
          <w:szCs w:val="20"/>
          <w:color w:val="auto"/>
        </w:rPr>
      </w:pPr>
    </w:p>
    <w:p>
      <w:pPr>
        <w:sectPr>
          <w:pgSz w:w="11900" w:h="16838" w:orient="portrait"/>
          <w:cols w:equalWidth="0" w:num="2">
            <w:col w:w="1520" w:space="720"/>
            <w:col w:w="9000"/>
          </w:cols>
          <w:pgMar w:left="320" w:top="90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DIAL-IN NUMBER: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(833) 919-0714</w:t>
      </w:r>
    </w:p>
    <w:p>
      <w:pPr>
        <w:spacing w:after="0" w:line="222" w:lineRule="exact"/>
        <w:rPr>
          <w:sz w:val="20"/>
          <w:szCs w:val="20"/>
          <w:color w:val="auto"/>
        </w:rPr>
      </w:pPr>
    </w:p>
    <w:p>
      <w:pPr>
        <w:sectPr>
          <w:pgSz w:w="11900" w:h="16838" w:orient="portrait"/>
          <w:cols w:equalWidth="0" w:num="2">
            <w:col w:w="1560" w:space="680"/>
            <w:col w:w="9000"/>
          </w:cols>
          <w:pgMar w:left="320" w:top="90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CONFERENCE ID: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1570689</w:t>
      </w:r>
    </w:p>
    <w:p>
      <w:pPr>
        <w:spacing w:after="0" w:line="211" w:lineRule="exact"/>
        <w:rPr>
          <w:sz w:val="20"/>
          <w:szCs w:val="20"/>
          <w:color w:val="auto"/>
        </w:rPr>
      </w:pPr>
    </w:p>
    <w:p>
      <w:pPr>
        <w:sectPr>
          <w:pgSz w:w="11900" w:h="16838" w:orient="portrait"/>
          <w:cols w:equalWidth="0" w:num="2">
            <w:col w:w="1520" w:space="720"/>
            <w:col w:w="9000"/>
          </w:cols>
          <w:pgMar w:left="320" w:top="904"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REPLAY: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(855) 859-2056 or (404) 537-3406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Available until 11:59 p.m. ET on Wednesday, April 14, 2021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Replay Code: 1570689</w:t>
      </w:r>
    </w:p>
    <w:p>
      <w:pPr>
        <w:spacing w:after="0" w:line="200" w:lineRule="exact"/>
        <w:rPr>
          <w:sz w:val="20"/>
          <w:szCs w:val="20"/>
          <w:color w:val="auto"/>
        </w:rPr>
      </w:pPr>
    </w:p>
    <w:p>
      <w:pPr>
        <w:sectPr>
          <w:pgSz w:w="11900" w:h="16838" w:orient="portrait"/>
          <w:cols w:equalWidth="0" w:num="2">
            <w:col w:w="1520" w:space="720"/>
            <w:col w:w="9000"/>
          </w:cols>
          <w:pgMar w:left="320" w:top="904"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Agrify (NasdaqCM:AGFY)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developer of premium grow solutions for the indoor agriculture marketplace. We use data, science, and technology to empower our customers to be more efficient, more productive, and more intelligent about how they run their businesses. Our highly advanced and proprietary hardware and software solutions have been designed to help our customers achieve the highest quality, consistency, and yield, all at the lowest possible cost. For more information, please visit our website at www.agrify.com.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our revenue growth, profitability, the Agrify TTK Solution, our order backlog and sales pipeline, future prospects and financial performance.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to be filed for the year ended December 31, 2020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Agrify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Niv Krikov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niv.krikov@agrify.com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 896-5240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Rob Kelly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ir@mattio.com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(416) 992-4539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2021-04-01T07:35:37Z</dcterms:created>
  <dcterms:modified xsi:type="dcterms:W3CDTF">2021-04-01T07:35:37Z</dcterms:modified>
</cp:coreProperties>
</file>