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808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UNITED STATES</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1280" w:type="dxa"/>
            <w:vAlign w:val="bottom"/>
          </w:tcPr>
          <w:p>
            <w:pPr>
              <w:spacing w:after="0"/>
              <w:rPr>
                <w:sz w:val="6"/>
                <w:szCs w:val="6"/>
                <w:color w:val="auto"/>
              </w:rPr>
            </w:pPr>
          </w:p>
        </w:tc>
        <w:tc>
          <w:tcPr>
            <w:tcW w:w="7660" w:type="dxa"/>
            <w:vAlign w:val="bottom"/>
            <w:vMerge w:val="restart"/>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SECURITIES AND EXCHANGE COMMISSION</w:t>
            </w:r>
          </w:p>
        </w:tc>
        <w:tc>
          <w:tcPr>
            <w:tcW w:w="42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28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420" w:type="dxa"/>
            <w:vAlign w:val="bottom"/>
            <w:tcBorders>
              <w:left w:val="single" w:sz="8" w:color="auto"/>
            </w:tcBorders>
          </w:tcPr>
          <w:p>
            <w:pPr>
              <w:spacing w:after="0"/>
              <w:rPr>
                <w:sz w:val="10"/>
                <w:szCs w:val="10"/>
                <w:color w:val="auto"/>
              </w:rPr>
            </w:pPr>
          </w:p>
        </w:tc>
        <w:tc>
          <w:tcPr>
            <w:tcW w:w="1840" w:type="dxa"/>
            <w:vAlign w:val="bottom"/>
            <w:tcBorders>
              <w:right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SEC File Number</w:t>
            </w:r>
          </w:p>
        </w:tc>
        <w:tc>
          <w:tcPr>
            <w:tcW w:w="0" w:type="dxa"/>
            <w:vAlign w:val="bottom"/>
          </w:tcPr>
          <w:p>
            <w:pPr>
              <w:spacing w:after="0"/>
              <w:rPr>
                <w:sz w:val="1"/>
                <w:szCs w:val="1"/>
                <w:color w:val="auto"/>
              </w:rPr>
            </w:pPr>
          </w:p>
        </w:tc>
      </w:tr>
      <w:tr>
        <w:trPr>
          <w:trHeight w:val="139"/>
        </w:trPr>
        <w:tc>
          <w:tcPr>
            <w:tcW w:w="1280" w:type="dxa"/>
            <w:vAlign w:val="bottom"/>
          </w:tcPr>
          <w:p>
            <w:pPr>
              <w:spacing w:after="0"/>
              <w:rPr>
                <w:sz w:val="12"/>
                <w:szCs w:val="12"/>
                <w:color w:val="auto"/>
              </w:rPr>
            </w:pPr>
          </w:p>
        </w:tc>
        <w:tc>
          <w:tcPr>
            <w:tcW w:w="7660" w:type="dxa"/>
            <w:vAlign w:val="bottom"/>
            <w:vMerge w:val="restart"/>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420" w:type="dxa"/>
            <w:vAlign w:val="bottom"/>
            <w:tcBorders>
              <w:left w:val="single" w:sz="8" w:color="auto"/>
            </w:tcBorders>
          </w:tcPr>
          <w:p>
            <w:pPr>
              <w:spacing w:after="0"/>
              <w:rPr>
                <w:sz w:val="12"/>
                <w:szCs w:val="12"/>
                <w:color w:val="auto"/>
              </w:rPr>
            </w:pPr>
          </w:p>
        </w:tc>
        <w:tc>
          <w:tcPr>
            <w:tcW w:w="1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280" w:type="dxa"/>
            <w:vAlign w:val="bottom"/>
          </w:tcPr>
          <w:p>
            <w:pPr>
              <w:spacing w:after="0"/>
              <w:rPr>
                <w:sz w:val="8"/>
                <w:szCs w:val="8"/>
                <w:color w:val="auto"/>
              </w:rPr>
            </w:pPr>
          </w:p>
        </w:tc>
        <w:tc>
          <w:tcPr>
            <w:tcW w:w="7660" w:type="dxa"/>
            <w:vAlign w:val="bottom"/>
            <w:vMerge w:val="continue"/>
          </w:tcPr>
          <w:p>
            <w:pPr>
              <w:spacing w:after="0"/>
              <w:rPr>
                <w:sz w:val="8"/>
                <w:szCs w:val="8"/>
                <w:color w:val="auto"/>
              </w:rPr>
            </w:pPr>
          </w:p>
        </w:tc>
        <w:tc>
          <w:tcPr>
            <w:tcW w:w="420" w:type="dxa"/>
            <w:vAlign w:val="bottom"/>
            <w:tcBorders>
              <w:left w:val="single" w:sz="8" w:color="auto"/>
            </w:tcBorders>
          </w:tcPr>
          <w:p>
            <w:pPr>
              <w:spacing w:after="0"/>
              <w:rPr>
                <w:sz w:val="8"/>
                <w:szCs w:val="8"/>
                <w:color w:val="auto"/>
              </w:rPr>
            </w:pPr>
          </w:p>
        </w:tc>
        <w:tc>
          <w:tcPr>
            <w:tcW w:w="1840" w:type="dxa"/>
            <w:vAlign w:val="bottom"/>
            <w:tcBorders>
              <w:right w:val="single" w:sz="8" w:color="auto"/>
            </w:tcBorders>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001-39946</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420" w:type="dxa"/>
            <w:vAlign w:val="bottom"/>
            <w:tcBorders>
              <w:left w:val="single" w:sz="8" w:color="auto"/>
            </w:tcBorders>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280" w:type="dxa"/>
            <w:vAlign w:val="bottom"/>
          </w:tcPr>
          <w:p>
            <w:pPr>
              <w:spacing w:after="0"/>
              <w:rPr>
                <w:sz w:val="7"/>
                <w:szCs w:val="7"/>
                <w:color w:val="auto"/>
              </w:rPr>
            </w:pPr>
          </w:p>
        </w:tc>
        <w:tc>
          <w:tcPr>
            <w:tcW w:w="7660" w:type="dxa"/>
            <w:vAlign w:val="bottom"/>
            <w:vMerge w:val="restart"/>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FORM 12b-25</w:t>
            </w:r>
          </w:p>
        </w:tc>
        <w:tc>
          <w:tcPr>
            <w:tcW w:w="420" w:type="dxa"/>
            <w:vAlign w:val="bottom"/>
            <w:tcBorders>
              <w:left w:val="single" w:sz="8" w:color="auto"/>
              <w:bottom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7660" w:type="dxa"/>
            <w:vAlign w:val="bottom"/>
            <w:vMerge w:val="continue"/>
          </w:tcPr>
          <w:p>
            <w:pPr>
              <w:spacing w:after="0"/>
              <w:rPr>
                <w:sz w:val="17"/>
                <w:szCs w:val="17"/>
                <w:color w:val="auto"/>
              </w:rPr>
            </w:pPr>
          </w:p>
        </w:tc>
        <w:tc>
          <w:tcPr>
            <w:tcW w:w="420" w:type="dxa"/>
            <w:vAlign w:val="bottom"/>
            <w:tcBorders>
              <w:left w:val="single" w:sz="8" w:color="auto"/>
            </w:tcBorders>
          </w:tcPr>
          <w:p>
            <w:pPr>
              <w:spacing w:after="0"/>
              <w:rPr>
                <w:sz w:val="17"/>
                <w:szCs w:val="17"/>
                <w:color w:val="auto"/>
              </w:rPr>
            </w:pPr>
          </w:p>
        </w:tc>
        <w:tc>
          <w:tcPr>
            <w:tcW w:w="1840" w:type="dxa"/>
            <w:vAlign w:val="bottom"/>
            <w:tcBorders>
              <w:right w:val="single" w:sz="8" w:color="auto"/>
            </w:tcBorders>
          </w:tcPr>
          <w:p>
            <w:pPr>
              <w:jc w:val="right"/>
              <w:ind w:right="430"/>
              <w:spacing w:after="0" w:line="198" w:lineRule="exact"/>
              <w:rPr>
                <w:sz w:val="20"/>
                <w:szCs w:val="20"/>
                <w:color w:val="auto"/>
              </w:rPr>
            </w:pPr>
            <w:r>
              <w:rPr>
                <w:rFonts w:ascii="Times New Roman" w:cs="Times New Roman" w:eastAsia="Times New Roman" w:hAnsi="Times New Roman"/>
                <w:sz w:val="18"/>
                <w:szCs w:val="18"/>
                <w:b w:val="1"/>
                <w:bCs w:val="1"/>
                <w:color w:val="auto"/>
              </w:rPr>
              <w:t>CUSIP Number</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660" w:type="dxa"/>
            <w:vAlign w:val="bottom"/>
            <w:vMerge w:val="restart"/>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NOTIFICATION OF LATE FILING</w:t>
            </w:r>
          </w:p>
        </w:tc>
        <w:tc>
          <w:tcPr>
            <w:tcW w:w="420" w:type="dxa"/>
            <w:vAlign w:val="bottom"/>
            <w:tcBorders>
              <w:left w:val="single" w:sz="8" w:color="auto"/>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00853E305</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76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6"/>
        </w:trPr>
        <w:tc>
          <w:tcPr>
            <w:tcW w:w="1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(Check One)</w:t>
            </w:r>
          </w:p>
        </w:tc>
        <w:tc>
          <w:tcPr>
            <w:tcW w:w="8080" w:type="dxa"/>
            <w:vAlign w:val="bottom"/>
            <w:gridSpan w:val="2"/>
          </w:tcPr>
          <w:p>
            <w:pPr>
              <w:ind w:left="360"/>
              <w:spacing w:after="0" w:line="207" w:lineRule="exact"/>
              <w:rPr>
                <w:sz w:val="20"/>
                <w:szCs w:val="20"/>
                <w:color w:val="auto"/>
              </w:rPr>
            </w:pPr>
            <w:r>
              <w:rPr>
                <w:rFonts w:ascii="Wingdings" w:cs="Wingdings" w:eastAsia="Wingdings" w:hAnsi="Wingdings"/>
                <w:sz w:val="18"/>
                <w:szCs w:val="18"/>
                <w:b w:val="1"/>
                <w:bCs w:val="1"/>
                <w:color w:val="auto"/>
                <w:w w:val="80"/>
              </w:rPr>
              <w:t xml:space="preserve">x </w:t>
            </w:r>
            <w:r>
              <w:rPr>
                <w:rFonts w:ascii="Times New Roman" w:cs="Times New Roman" w:eastAsia="Times New Roman" w:hAnsi="Times New Roman"/>
                <w:sz w:val="18"/>
                <w:szCs w:val="18"/>
                <w:color w:val="auto"/>
                <w:w w:val="80"/>
              </w:rPr>
              <w:t>Form 10-K</w:t>
            </w:r>
            <w:r>
              <w:rPr>
                <w:rFonts w:ascii="Wingdings" w:cs="Wingdings" w:eastAsia="Wingdings" w:hAnsi="Wingdings"/>
                <w:sz w:val="18"/>
                <w:szCs w:val="18"/>
                <w:b w:val="1"/>
                <w:bCs w:val="1"/>
                <w:color w:val="auto"/>
                <w:w w:val="80"/>
              </w:rPr>
              <w:t xml:space="preserve"> </w:t>
            </w:r>
            <w:r>
              <w:rPr>
                <w:rFonts w:ascii="MS PGothic" w:cs="MS PGothic" w:eastAsia="MS PGothic" w:hAnsi="MS PGothic"/>
                <w:sz w:val="18"/>
                <w:szCs w:val="18"/>
                <w:color w:val="auto"/>
                <w:w w:val="80"/>
              </w:rPr>
              <w:t>☐</w:t>
            </w:r>
            <w:r>
              <w:rPr>
                <w:rFonts w:ascii="Wingdings" w:cs="Wingdings" w:eastAsia="Wingdings" w:hAnsi="Wingdings"/>
                <w:sz w:val="18"/>
                <w:szCs w:val="18"/>
                <w:b w:val="1"/>
                <w:bCs w:val="1"/>
                <w:color w:val="auto"/>
                <w:w w:val="80"/>
              </w:rPr>
              <w:t xml:space="preserve"> </w:t>
            </w:r>
            <w:r>
              <w:rPr>
                <w:rFonts w:ascii="Times New Roman" w:cs="Times New Roman" w:eastAsia="Times New Roman" w:hAnsi="Times New Roman"/>
                <w:sz w:val="18"/>
                <w:szCs w:val="18"/>
                <w:color w:val="auto"/>
                <w:w w:val="80"/>
              </w:rPr>
              <w:t>Form 20-F</w:t>
            </w:r>
            <w:r>
              <w:rPr>
                <w:rFonts w:ascii="Wingdings" w:cs="Wingdings" w:eastAsia="Wingdings" w:hAnsi="Wingdings"/>
                <w:sz w:val="18"/>
                <w:szCs w:val="18"/>
                <w:b w:val="1"/>
                <w:bCs w:val="1"/>
                <w:color w:val="auto"/>
                <w:w w:val="80"/>
              </w:rPr>
              <w:t xml:space="preserve"> </w:t>
            </w:r>
            <w:r>
              <w:rPr>
                <w:rFonts w:ascii="MS PGothic" w:cs="MS PGothic" w:eastAsia="MS PGothic" w:hAnsi="MS PGothic"/>
                <w:sz w:val="18"/>
                <w:szCs w:val="18"/>
                <w:color w:val="auto"/>
                <w:w w:val="80"/>
              </w:rPr>
              <w:t>☐</w:t>
            </w:r>
            <w:r>
              <w:rPr>
                <w:rFonts w:ascii="Wingdings" w:cs="Wingdings" w:eastAsia="Wingdings" w:hAnsi="Wingdings"/>
                <w:sz w:val="18"/>
                <w:szCs w:val="18"/>
                <w:b w:val="1"/>
                <w:bCs w:val="1"/>
                <w:color w:val="auto"/>
                <w:w w:val="80"/>
              </w:rPr>
              <w:t xml:space="preserve"> </w:t>
            </w:r>
            <w:r>
              <w:rPr>
                <w:rFonts w:ascii="Times New Roman" w:cs="Times New Roman" w:eastAsia="Times New Roman" w:hAnsi="Times New Roman"/>
                <w:sz w:val="18"/>
                <w:szCs w:val="18"/>
                <w:color w:val="auto"/>
                <w:w w:val="80"/>
              </w:rPr>
              <w:t>Form 11-K</w:t>
            </w:r>
            <w:r>
              <w:rPr>
                <w:rFonts w:ascii="Wingdings" w:cs="Wingdings" w:eastAsia="Wingdings" w:hAnsi="Wingdings"/>
                <w:sz w:val="18"/>
                <w:szCs w:val="18"/>
                <w:b w:val="1"/>
                <w:bCs w:val="1"/>
                <w:color w:val="auto"/>
                <w:w w:val="80"/>
              </w:rPr>
              <w:t xml:space="preserve"> </w:t>
            </w:r>
            <w:r>
              <w:rPr>
                <w:rFonts w:ascii="MS PGothic" w:cs="MS PGothic" w:eastAsia="MS PGothic" w:hAnsi="MS PGothic"/>
                <w:sz w:val="18"/>
                <w:szCs w:val="18"/>
                <w:color w:val="auto"/>
                <w:w w:val="80"/>
              </w:rPr>
              <w:t>☐</w:t>
            </w:r>
            <w:r>
              <w:rPr>
                <w:rFonts w:ascii="Wingdings" w:cs="Wingdings" w:eastAsia="Wingdings" w:hAnsi="Wingdings"/>
                <w:sz w:val="18"/>
                <w:szCs w:val="18"/>
                <w:b w:val="1"/>
                <w:bCs w:val="1"/>
                <w:color w:val="auto"/>
                <w:w w:val="80"/>
              </w:rPr>
              <w:t xml:space="preserve"> </w:t>
            </w:r>
            <w:r>
              <w:rPr>
                <w:rFonts w:ascii="Times New Roman" w:cs="Times New Roman" w:eastAsia="Times New Roman" w:hAnsi="Times New Roman"/>
                <w:sz w:val="18"/>
                <w:szCs w:val="18"/>
                <w:color w:val="auto"/>
                <w:w w:val="80"/>
              </w:rPr>
              <w:t>Form 10-Q</w:t>
            </w:r>
            <w:r>
              <w:rPr>
                <w:rFonts w:ascii="Wingdings" w:cs="Wingdings" w:eastAsia="Wingdings" w:hAnsi="Wingdings"/>
                <w:sz w:val="18"/>
                <w:szCs w:val="18"/>
                <w:b w:val="1"/>
                <w:bCs w:val="1"/>
                <w:color w:val="auto"/>
                <w:w w:val="80"/>
              </w:rPr>
              <w:t xml:space="preserve"> </w:t>
            </w:r>
            <w:r>
              <w:rPr>
                <w:rFonts w:ascii="MS PGothic" w:cs="MS PGothic" w:eastAsia="MS PGothic" w:hAnsi="MS PGothic"/>
                <w:sz w:val="18"/>
                <w:szCs w:val="18"/>
                <w:color w:val="auto"/>
                <w:w w:val="80"/>
              </w:rPr>
              <w:t>☐</w:t>
            </w:r>
            <w:r>
              <w:rPr>
                <w:rFonts w:ascii="Wingdings" w:cs="Wingdings" w:eastAsia="Wingdings" w:hAnsi="Wingdings"/>
                <w:sz w:val="18"/>
                <w:szCs w:val="18"/>
                <w:b w:val="1"/>
                <w:bCs w:val="1"/>
                <w:color w:val="auto"/>
                <w:w w:val="80"/>
              </w:rPr>
              <w:t xml:space="preserve"> </w:t>
            </w:r>
            <w:r>
              <w:rPr>
                <w:rFonts w:ascii="Times New Roman" w:cs="Times New Roman" w:eastAsia="Times New Roman" w:hAnsi="Times New Roman"/>
                <w:sz w:val="18"/>
                <w:szCs w:val="18"/>
                <w:color w:val="auto"/>
                <w:w w:val="80"/>
              </w:rPr>
              <w:t>Form 10-D</w:t>
            </w:r>
            <w:r>
              <w:rPr>
                <w:rFonts w:ascii="Wingdings" w:cs="Wingdings" w:eastAsia="Wingdings" w:hAnsi="Wingdings"/>
                <w:sz w:val="18"/>
                <w:szCs w:val="18"/>
                <w:b w:val="1"/>
                <w:bCs w:val="1"/>
                <w:color w:val="auto"/>
                <w:w w:val="80"/>
              </w:rPr>
              <w:t xml:space="preserve"> </w:t>
            </w:r>
            <w:r>
              <w:rPr>
                <w:rFonts w:ascii="MS PGothic" w:cs="MS PGothic" w:eastAsia="MS PGothic" w:hAnsi="MS PGothic"/>
                <w:sz w:val="18"/>
                <w:szCs w:val="18"/>
                <w:color w:val="auto"/>
                <w:w w:val="80"/>
              </w:rPr>
              <w:t>☐</w:t>
            </w:r>
            <w:r>
              <w:rPr>
                <w:rFonts w:ascii="Wingdings" w:cs="Wingdings" w:eastAsia="Wingdings" w:hAnsi="Wingdings"/>
                <w:sz w:val="18"/>
                <w:szCs w:val="18"/>
                <w:b w:val="1"/>
                <w:bCs w:val="1"/>
                <w:color w:val="auto"/>
                <w:w w:val="80"/>
              </w:rPr>
              <w:t xml:space="preserve"> </w:t>
            </w:r>
            <w:r>
              <w:rPr>
                <w:rFonts w:ascii="Times New Roman" w:cs="Times New Roman" w:eastAsia="Times New Roman" w:hAnsi="Times New Roman"/>
                <w:sz w:val="18"/>
                <w:szCs w:val="18"/>
                <w:color w:val="auto"/>
                <w:w w:val="80"/>
              </w:rPr>
              <w:t>Form N-CEN</w:t>
            </w:r>
            <w:r>
              <w:rPr>
                <w:rFonts w:ascii="Wingdings" w:cs="Wingdings" w:eastAsia="Wingdings" w:hAnsi="Wingdings"/>
                <w:sz w:val="18"/>
                <w:szCs w:val="18"/>
                <w:b w:val="1"/>
                <w:bCs w:val="1"/>
                <w:color w:val="auto"/>
                <w:w w:val="80"/>
              </w:rPr>
              <w:t xml:space="preserve"> </w:t>
            </w:r>
            <w:r>
              <w:rPr>
                <w:rFonts w:ascii="MS PGothic" w:cs="MS PGothic" w:eastAsia="MS PGothic" w:hAnsi="MS PGothic"/>
                <w:sz w:val="18"/>
                <w:szCs w:val="18"/>
                <w:color w:val="auto"/>
                <w:w w:val="80"/>
              </w:rPr>
              <w:t>☐</w:t>
            </w:r>
            <w:r>
              <w:rPr>
                <w:rFonts w:ascii="Wingdings" w:cs="Wingdings" w:eastAsia="Wingdings" w:hAnsi="Wingdings"/>
                <w:sz w:val="18"/>
                <w:szCs w:val="18"/>
                <w:b w:val="1"/>
                <w:bCs w:val="1"/>
                <w:color w:val="auto"/>
                <w:w w:val="80"/>
              </w:rPr>
              <w:t xml:space="preserve"> </w:t>
            </w:r>
            <w:r>
              <w:rPr>
                <w:rFonts w:ascii="Times New Roman" w:cs="Times New Roman" w:eastAsia="Times New Roman" w:hAnsi="Times New Roman"/>
                <w:sz w:val="18"/>
                <w:szCs w:val="18"/>
                <w:color w:val="auto"/>
                <w:w w:val="80"/>
              </w:rPr>
              <w:t>Form N-CSR</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280" w:type="dxa"/>
            <w:vAlign w:val="bottom"/>
          </w:tcPr>
          <w:p>
            <w:pPr>
              <w:spacing w:after="0"/>
              <w:rPr>
                <w:sz w:val="24"/>
                <w:szCs w:val="24"/>
                <w:color w:val="auto"/>
              </w:rPr>
            </w:pPr>
          </w:p>
        </w:tc>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b w:val="1"/>
                <w:bCs w:val="1"/>
                <w:color w:val="auto"/>
              </w:rPr>
              <w:t>December 31, 2023</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8080" w:type="dxa"/>
            <w:vAlign w:val="bottom"/>
            <w:gridSpan w:val="2"/>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10-K</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080" w:type="dxa"/>
            <w:vAlign w:val="bottom"/>
            <w:gridSpan w:val="2"/>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20-F</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080" w:type="dxa"/>
            <w:vAlign w:val="bottom"/>
            <w:gridSpan w:val="2"/>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11-K</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280" w:type="dxa"/>
            <w:vAlign w:val="bottom"/>
          </w:tcPr>
          <w:p>
            <w:pPr>
              <w:spacing w:after="0"/>
              <w:rPr>
                <w:sz w:val="24"/>
                <w:szCs w:val="24"/>
                <w:color w:val="auto"/>
              </w:rPr>
            </w:pPr>
          </w:p>
        </w:tc>
        <w:tc>
          <w:tcPr>
            <w:tcW w:w="8080" w:type="dxa"/>
            <w:vAlign w:val="bottom"/>
            <w:gridSpan w:val="2"/>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10-Q</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80" w:type="dxa"/>
            <w:vAlign w:val="bottom"/>
          </w:tcPr>
          <w:p>
            <w:pPr>
              <w:spacing w:after="0"/>
              <w:rPr>
                <w:sz w:val="24"/>
                <w:szCs w:val="24"/>
                <w:color w:val="auto"/>
              </w:rPr>
            </w:pPr>
          </w:p>
        </w:tc>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 the Transition Period Ended:</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the notification relates to a portion of the filing checked above, identify the Item(s) to which the notification relates: </w:t>
      </w: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Full Name of Registrant</w:t>
      </w:r>
    </w:p>
    <w:p>
      <w:pPr>
        <w:spacing w:after="0" w:line="200" w:lineRule="exact"/>
        <w:rPr>
          <w:sz w:val="24"/>
          <w:szCs w:val="24"/>
          <w:color w:val="auto"/>
        </w:rPr>
      </w:pPr>
    </w:p>
    <w:p>
      <w:pPr>
        <w:spacing w:after="0" w:line="2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2468 Industrial Row Drive</w:t>
      </w:r>
    </w:p>
    <w:p>
      <w:pPr>
        <w:spacing w:after="0" w:line="3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Troy, MI 48084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Address of Principal Executive Office </w:t>
      </w:r>
      <w:r>
        <w:rPr>
          <w:rFonts w:ascii="Times New Roman" w:cs="Times New Roman" w:eastAsia="Times New Roman" w:hAnsi="Times New Roman"/>
          <w:sz w:val="18"/>
          <w:szCs w:val="18"/>
          <w:b w:val="1"/>
          <w:bCs w:val="1"/>
          <w:i w:val="1"/>
          <w:iCs w:val="1"/>
          <w:color w:val="auto"/>
        </w:rPr>
        <w:t>(Street and Number)</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1140" w:hanging="375"/>
        <w:spacing w:after="0"/>
        <w:tabs>
          <w:tab w:leader="none" w:pos="11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described in reasonable detail in Part III of this form could not be eliminated without unreasonable effort or expense;</w:t>
      </w:r>
    </w:p>
    <w:p>
      <w:pPr>
        <w:spacing w:after="0" w:line="27" w:lineRule="exact"/>
        <w:rPr>
          <w:rFonts w:ascii="Times New Roman" w:cs="Times New Roman" w:eastAsia="Times New Roman" w:hAnsi="Times New Roman"/>
          <w:sz w:val="18"/>
          <w:szCs w:val="18"/>
          <w:color w:val="auto"/>
        </w:rPr>
      </w:pPr>
    </w:p>
    <w:p>
      <w:pPr>
        <w:ind w:left="1140" w:hanging="380"/>
        <w:spacing w:after="0"/>
        <w:tabs>
          <w:tab w:leader="none" w:pos="11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9" w:lineRule="exact"/>
        <w:rPr>
          <w:rFonts w:ascii="Times New Roman" w:cs="Times New Roman" w:eastAsia="Times New Roman" w:hAnsi="Times New Roman"/>
          <w:sz w:val="18"/>
          <w:szCs w:val="18"/>
          <w:color w:val="auto"/>
        </w:rPr>
      </w:pPr>
    </w:p>
    <w:p>
      <w:pPr>
        <w:ind w:left="1140" w:right="140" w:hanging="946"/>
        <w:spacing w:after="0" w:line="250" w:lineRule="auto"/>
        <w:rPr>
          <w:rFonts w:ascii="Times New Roman" w:cs="Times New Roman" w:eastAsia="Times New Roman" w:hAnsi="Times New Roman"/>
          <w:sz w:val="18"/>
          <w:szCs w:val="18"/>
          <w:color w:val="auto"/>
        </w:rPr>
      </w:pPr>
      <w:r>
        <w:rPr>
          <w:rFonts w:ascii="Wingdings" w:cs="Wingdings" w:eastAsia="Wingdings" w:hAnsi="Wingdings"/>
          <w:sz w:val="35"/>
          <w:szCs w:val="35"/>
          <w:b w:val="1"/>
          <w:bCs w:val="1"/>
          <w:color w:val="auto"/>
          <w:vertAlign w:val="subscript"/>
        </w:rPr>
        <w:t>x</w:t>
      </w: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 w:lineRule="exact"/>
        <w:rPr>
          <w:rFonts w:ascii="Times New Roman" w:cs="Times New Roman" w:eastAsia="Times New Roman" w:hAnsi="Times New Roman"/>
          <w:sz w:val="18"/>
          <w:szCs w:val="18"/>
          <w:color w:val="auto"/>
        </w:rPr>
      </w:pPr>
    </w:p>
    <w:p>
      <w:pPr>
        <w:ind w:left="1140" w:hanging="375"/>
        <w:spacing w:after="0"/>
        <w:tabs>
          <w:tab w:leader="none" w:pos="11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-816610</wp:posOffset>
            </wp:positionV>
            <wp:extent cx="8255" cy="822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2960"/>
                    </a:xfrm>
                    <a:prstGeom prst="rect">
                      <a:avLst/>
                    </a:prstGeom>
                    <a:noFill/>
                  </pic:spPr>
                </pic:pic>
              </a:graphicData>
            </a:graphic>
          </wp:anchor>
        </w:drawing>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10-D, N-CEN, N-CSR or the transition report or portion thereof, could not be filed within the prescribed time period.</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Agrify Corporation (the “Company”) is unable to file its Form 10-K for the year ended December 31, 2023 (the “Form 10-K”) in a timely manner without unreasonable effort and expense due to unanticipated delays experienced in completing the audit of the Company’s financial statements and other disclosures in the Form 10-K. As a result, the Company is still in the process of compiling required information to complete the Form 10-K and requires additional time to complete its review of the financial statements for the year ended December 31, 2023 to be incorporated in the Form 10-K and to complete its assessment of the Company’s internal control over financial reporting. The Company presently anticipates that it will file the Form 10-K before the fifteenth calendar day following the prescribed due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PART IV — OTHER INFORMATION</w:t>
            </w:r>
          </w:p>
        </w:tc>
        <w:tc>
          <w:tcPr>
            <w:tcW w:w="3600" w:type="dxa"/>
            <w:vAlign w:val="bottom"/>
          </w:tcPr>
          <w:p>
            <w:pPr>
              <w:spacing w:after="0"/>
              <w:rPr>
                <w:sz w:val="20"/>
                <w:szCs w:val="20"/>
                <w:color w:val="auto"/>
              </w:rPr>
            </w:pPr>
          </w:p>
        </w:tc>
      </w:tr>
      <w:tr>
        <w:trPr>
          <w:trHeight w:val="432"/>
        </w:trPr>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tc>
        <w:tc>
          <w:tcPr>
            <w:tcW w:w="3600" w:type="dxa"/>
            <w:vAlign w:val="bottom"/>
          </w:tcPr>
          <w:p>
            <w:pPr>
              <w:spacing w:after="0"/>
              <w:rPr>
                <w:sz w:val="24"/>
                <w:szCs w:val="24"/>
                <w:color w:val="auto"/>
              </w:rPr>
            </w:pPr>
          </w:p>
        </w:tc>
      </w:tr>
      <w:tr>
        <w:trPr>
          <w:trHeight w:val="432"/>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Raymond N. Chang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(617)</w:t>
            </w:r>
          </w:p>
        </w:tc>
        <w:tc>
          <w:tcPr>
            <w:tcW w:w="200" w:type="dxa"/>
            <w:vAlign w:val="bottom"/>
          </w:tcPr>
          <w:p>
            <w:pPr>
              <w:spacing w:after="0"/>
              <w:rPr>
                <w:sz w:val="24"/>
                <w:szCs w:val="24"/>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788-9043</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(Area Code)</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ind w:firstLine="8"/>
        <w:spacing w:after="0" w:line="258"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w:t>
      </w:r>
    </w:p>
    <w:p>
      <w:pPr>
        <w:spacing w:after="0" w:line="207" w:lineRule="exact"/>
        <w:tabs>
          <w:tab w:leader="none" w:pos="1940" w:val="left"/>
        </w:tabs>
        <w:rPr>
          <w:sz w:val="20"/>
          <w:szCs w:val="20"/>
          <w:color w:val="auto"/>
        </w:rPr>
      </w:pPr>
      <w:r>
        <w:rPr>
          <w:rFonts w:ascii="Times New Roman" w:cs="Times New Roman" w:eastAsia="Times New Roman" w:hAnsi="Times New Roman"/>
          <w:sz w:val="18"/>
          <w:szCs w:val="18"/>
          <w:color w:val="auto"/>
        </w:rPr>
        <w:t xml:space="preserve">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No</w:t>
      </w:r>
    </w:p>
    <w:p>
      <w:pPr>
        <w:spacing w:after="0" w:line="212" w:lineRule="exact"/>
        <w:rPr>
          <w:sz w:val="20"/>
          <w:szCs w:val="20"/>
          <w:color w:val="auto"/>
        </w:rPr>
      </w:pPr>
    </w:p>
    <w:p>
      <w:pPr>
        <w:ind w:firstLine="8"/>
        <w:spacing w:after="0" w:line="261"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anticipated significant changes in its results of operations based on its preliminary unaudited results of operations are as follows: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currently anticipates revenue of approximately $16.87 million for the fiscal year ended December 31, 2023, compared to revenue of approximately $58.26 million for the fiscal year ended December 31, 2022. The decrease was primarily due to the company’s decision to not engage in any additional facility build-out TTK Solutions. The Company anticipates a net loss of approximately $19.95 million, compared to a net loss of $188.2 million for the year ended December 31, 2022. Net loss for the fourth fiscal quarter ended December 31, 2023 is expected to be less than $750,000.</w:t>
      </w:r>
    </w:p>
    <w:p>
      <w:pPr>
        <w:spacing w:after="0" w:line="180"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The Company believes that its results contained herein are materially correct; however, because review is ongoing, there can be no assurance that the financial and accounting information referred to in this filing will not change upon completion of the audit and filing of the Company’s Form 10-K.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matters discussed in this Form 12b-25 constitute forward-looking statements within the meaning of the federal securities laws. All statements contained in this Form 12b-25 that do not relate to matters of historical fact should be considered forward-looking statements. These forward-looking statements are based on management’s current expectation and include, but are not limited to, statements regarding the Company’s beliefs and expectations relating to the filing of the Form 10-K and the results of the ongoing review.</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not guarantees of future results and are subject to a number of risks and uncertainties, many of which are difficult to predict and beyond the Company’s control. Important factors that may cause actual results to differ materially from those in the forward-looking statements include, but are not limited to, a material delay in the Company’s financial reporting, including the possibility that the Company will not be able to file its Form 10-K within the fifteen-day extension permitted by the rules of the U.S. Securities and Exchange Commission, and the possibility that the ongoing audit may identify errors or control deficiencies in the Company’s accounting practices. The Company disclaims and does not undertake any obligation to update or revise any forward-looking statement in this report, except as required by applicable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7600" w:type="dxa"/>
            <w:vAlign w:val="bottom"/>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8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8"/>
        </w:trPr>
        <w:tc>
          <w:tcPr>
            <w:tcW w:w="7600" w:type="dxa"/>
            <w:vAlign w:val="bottom"/>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w w:val="99"/>
              </w:rPr>
              <w:t>(Name of Registrant as Specified in Charter)</w:t>
            </w:r>
          </w:p>
        </w:tc>
        <w:tc>
          <w:tcPr>
            <w:tcW w:w="84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2"/>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thereunto duly authorized.</w:t>
            </w:r>
          </w:p>
        </w:tc>
        <w:tc>
          <w:tcPr>
            <w:tcW w:w="8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648"/>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2024</w:t>
            </w:r>
          </w:p>
        </w:tc>
        <w:tc>
          <w:tcPr>
            <w:tcW w:w="3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b w:val="1"/>
                <w:bCs w:val="1"/>
                <w:color w:val="auto"/>
              </w:rPr>
              <w:t>Raymond N. Chang</w:t>
            </w:r>
          </w:p>
        </w:tc>
      </w:tr>
      <w:tr>
        <w:trPr>
          <w:trHeight w:val="191"/>
        </w:trPr>
        <w:tc>
          <w:tcPr>
            <w:tcW w:w="7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Raymond N. Chang</w:t>
            </w:r>
          </w:p>
        </w:tc>
      </w:tr>
      <w:tr>
        <w:trPr>
          <w:trHeight w:val="234"/>
        </w:trPr>
        <w:tc>
          <w:tcPr>
            <w:tcW w:w="7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
    </w:lvl>
    <w:lvl w:ilvl="1">
      <w:lvlJc w:val="left"/>
      <w:lvlText w:val="(%2)"/>
      <w:numFmt w:val="lowerLetter"/>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2024-04-06T19:44:02Z</dcterms:created>
  <dcterms:modified xsi:type="dcterms:W3CDTF">2024-04-06T19:44:02Z</dcterms:modified>
</cp:coreProperties>
</file>